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</w:rPr>
        <w:t>设备可独立监测识别无人机的远程识别广播信号(RemoteID,简称RID)，实时提取并显示无人机的序列号(SN)、型号、位置、速度、高度、起飞点以及飞手位置等多维信息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 w:eastAsia="宋体"/>
          <w:lang w:eastAsia="zh-CN"/>
        </w:rPr>
      </w:pPr>
      <w:r>
        <w:rPr>
          <w:rFonts w:hint="eastAsia"/>
        </w:rPr>
        <w:t>可广泛应用于机场、高铁、电力园区、交通枢纽、重要活动安防、全域低空管控等场景下的目标无人机监管等重要场景，实现对无人机及飞手的探测识别监管。该设备可作为新型基础设施，满足城市空域管理建设需求，助力低空经济蓬勃发展</w:t>
      </w:r>
      <w:r>
        <w:rPr>
          <w:rFonts w:hint="eastAsia"/>
          <w:lang w:eastAsia="zh-CN"/>
        </w:rPr>
        <w:t>。</w:t>
      </w:r>
    </w:p>
    <w:p>
      <w:pPr>
        <w:bidi w:val="0"/>
        <w:rPr>
          <w:rFonts w:hint="eastAsia"/>
          <w:lang w:eastAsia="zh-CN"/>
        </w:rPr>
      </w:pPr>
    </w:p>
    <w:p>
      <w:pPr>
        <w:pStyle w:val="3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1899285" cy="3712845"/>
            <wp:effectExtent l="0" t="0" r="5715" b="1905"/>
            <wp:docPr id="1" name="图片 1" descr="无人机远程识别信息监测设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无人机远程识别信息监测设备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928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图1无人机远程识别信息监测设备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目标解析定位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支持接收Remote ID报文，解析无人机ID、位置，飞手位置信息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多目标探测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探测无人机目标及轨迹数量≥12架次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多系统组网探测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支持与频谱、雷达</w:t>
      </w:r>
      <w:bookmarkStart w:id="0" w:name="_GoBack"/>
      <w:bookmarkEnd w:id="0"/>
      <w:r>
        <w:rPr>
          <w:rFonts w:hint="eastAsia"/>
        </w:rPr>
        <w:t>等设备组网，并融合探测数据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多传输方式 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支持有线网络、4G/5G等数据传输方式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多标准模式：</w:t>
      </w:r>
    </w:p>
    <w:p>
      <w:pPr>
        <w:rPr>
          <w:rFonts w:hint="eastAsia" w:eastAsia="宋体"/>
          <w:lang w:eastAsia="zh-CN"/>
        </w:rPr>
      </w:pPr>
      <w:r>
        <w:rPr>
          <w:rFonts w:hint="eastAsia"/>
        </w:rPr>
        <w:t>支持《民用无人驾驶航空器系统安全要求》(GB42590-2023)强制技术要求的无人机。支持美国ASTM F3411-22a、欧盟ASD-STAN PrEN 4709-002 标准</w:t>
      </w:r>
      <w:r>
        <w:rPr>
          <w:rFonts w:hint="eastAsia"/>
          <w:lang w:eastAsia="zh-CN"/>
        </w:rPr>
        <w:t>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 xml:space="preserve">拓展ADS-B </w:t>
      </w:r>
    </w:p>
    <w:p>
      <w:pPr>
        <w:rPr>
          <w:rFonts w:hint="eastAsia"/>
        </w:rPr>
      </w:pPr>
      <w:r>
        <w:rPr>
          <w:rFonts w:hint="eastAsia"/>
        </w:rPr>
        <w:t>具备对ADS-B报文的接收解析能力，可提供周边空域态势感知监视及碰撞冲突预警</w:t>
      </w:r>
      <w:r>
        <w:rPr>
          <w:rFonts w:hint="eastAsia"/>
          <w:lang w:eastAsia="zh-CN"/>
        </w:rPr>
        <w:t>。</w:t>
      </w: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3"/>
        <w:gridCol w:w="589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工作模式</w:t>
            </w:r>
          </w:p>
        </w:tc>
        <w:tc>
          <w:tcPr>
            <w:tcW w:w="58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Remote ID（标准）、ADS-B（拓展）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监测半径</w:t>
            </w:r>
          </w:p>
        </w:tc>
        <w:tc>
          <w:tcPr>
            <w:tcW w:w="58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1~2km(全向)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刷新率</w:t>
            </w:r>
          </w:p>
        </w:tc>
        <w:tc>
          <w:tcPr>
            <w:tcW w:w="58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2~3S/次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多目标监测</w:t>
            </w:r>
          </w:p>
        </w:tc>
        <w:tc>
          <w:tcPr>
            <w:tcW w:w="58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无人机及飞手数量≥12架次(同时)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设备尺寸</w:t>
            </w:r>
          </w:p>
        </w:tc>
        <w:tc>
          <w:tcPr>
            <w:tcW w:w="58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L*W*H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321mm*231mm*126mm（不带天线）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设备重量</w:t>
            </w:r>
          </w:p>
        </w:tc>
        <w:tc>
          <w:tcPr>
            <w:tcW w:w="58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4.2kg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58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IP65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23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5899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 xml:space="preserve"> -40</w:t>
            </w:r>
            <w:r>
              <w:rPr>
                <w:rFonts w:hint="eastAsia"/>
                <w:lang w:val="en-US" w:eastAsia="zh-CN"/>
              </w:rPr>
              <w:t>℃</w:t>
            </w:r>
            <w:r>
              <w:rPr>
                <w:rFonts w:hint="eastAsia"/>
              </w:rPr>
              <w:t xml:space="preserve"> ~ +70</w:t>
            </w:r>
            <w:r>
              <w:rPr>
                <w:rFonts w:hint="eastAsia"/>
                <w:lang w:val="en-US" w:eastAsia="zh-CN"/>
              </w:rPr>
              <w:t>℃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left="0" w:leftChars="0" w:firstLine="0" w:firstLineChars="0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FD1766"/>
    <w:rsid w:val="06FF60E1"/>
    <w:rsid w:val="094E6DD6"/>
    <w:rsid w:val="0A8327B6"/>
    <w:rsid w:val="0A833100"/>
    <w:rsid w:val="0AC548E3"/>
    <w:rsid w:val="0B6B6299"/>
    <w:rsid w:val="0D6B58F5"/>
    <w:rsid w:val="0F271833"/>
    <w:rsid w:val="13E46A39"/>
    <w:rsid w:val="14ED4087"/>
    <w:rsid w:val="155C6E24"/>
    <w:rsid w:val="15940A9D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5C2538"/>
    <w:rsid w:val="25483AD3"/>
    <w:rsid w:val="2588382B"/>
    <w:rsid w:val="25F162D7"/>
    <w:rsid w:val="27374BBE"/>
    <w:rsid w:val="280E4EBC"/>
    <w:rsid w:val="282C3FF6"/>
    <w:rsid w:val="29A378BC"/>
    <w:rsid w:val="29AB6C48"/>
    <w:rsid w:val="29DC306D"/>
    <w:rsid w:val="2B3C6151"/>
    <w:rsid w:val="2D56047F"/>
    <w:rsid w:val="2EB4742E"/>
    <w:rsid w:val="325E6B33"/>
    <w:rsid w:val="32C21A6F"/>
    <w:rsid w:val="34547799"/>
    <w:rsid w:val="37AC5545"/>
    <w:rsid w:val="39554521"/>
    <w:rsid w:val="395D4C39"/>
    <w:rsid w:val="39CC136D"/>
    <w:rsid w:val="3A404F1C"/>
    <w:rsid w:val="3A880EC1"/>
    <w:rsid w:val="3B3E208A"/>
    <w:rsid w:val="3F29024D"/>
    <w:rsid w:val="3FC608A0"/>
    <w:rsid w:val="400D42CC"/>
    <w:rsid w:val="40892650"/>
    <w:rsid w:val="416F4E6C"/>
    <w:rsid w:val="42037411"/>
    <w:rsid w:val="42982C26"/>
    <w:rsid w:val="42FA332D"/>
    <w:rsid w:val="44073B5A"/>
    <w:rsid w:val="44FA085E"/>
    <w:rsid w:val="45D82595"/>
    <w:rsid w:val="47C20A34"/>
    <w:rsid w:val="484D7CD0"/>
    <w:rsid w:val="4884010F"/>
    <w:rsid w:val="48AC3846"/>
    <w:rsid w:val="4D8D1DD3"/>
    <w:rsid w:val="4F9661E2"/>
    <w:rsid w:val="5057473D"/>
    <w:rsid w:val="51F27657"/>
    <w:rsid w:val="526136A3"/>
    <w:rsid w:val="528027FF"/>
    <w:rsid w:val="57A10BD6"/>
    <w:rsid w:val="58B83D2D"/>
    <w:rsid w:val="5976231E"/>
    <w:rsid w:val="5F1539F5"/>
    <w:rsid w:val="60F81D85"/>
    <w:rsid w:val="617460B4"/>
    <w:rsid w:val="61CB6E84"/>
    <w:rsid w:val="62120D30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D991130"/>
    <w:rsid w:val="70E017CB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0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2026-01-21T07:39:30Z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