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察打一体手持设计，无任何外挂部件，结构紧凑，方便单兵携带。设备支持3km全向侦测、2km定向打击周围空域内的DIY FPV穿越机和常规无人机。其搭载SDR干扰技术，配备辅助瞄准系统，可长时间360°测向、解析、定位无人机，并实现全面压制，迫使无人机坠落、悬停、迫降或返航。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default" w:ascii="Microsoft YaHei UI" w:hAnsi="Microsoft YaHei UI" w:eastAsia="Microsoft YaHei UI" w:cs="Microsoft YaHei UI"/>
          <w:szCs w:val="21"/>
        </w:rPr>
        <w:drawing>
          <wp:inline distT="0" distB="0" distL="114300" distR="114300">
            <wp:extent cx="3253105" cy="2018030"/>
            <wp:effectExtent l="0" t="0" r="444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</w:t>
      </w:r>
      <w:bookmarkStart w:id="1" w:name="_GoBack"/>
      <w:r>
        <w:rPr>
          <w:rFonts w:hint="eastAsia"/>
          <w:lang w:val="en-US" w:eastAsia="zh-CN"/>
        </w:rPr>
        <w:t>携式察打一体反无人机设备</w:t>
      </w:r>
    </w:p>
    <w:bookmarkEnd w:id="1"/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察打一体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集无人机侦测和干扰技术于一体，可实现3km全向侦测及2km定向反制。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灵巧干扰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采用动态适配专用干扰码，可干扰DIY FPV穿越机和常规无人机，高效阻断无人机飞控、数/图传、导航等信号。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全频段干扰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覆盖国内外常见无人机频段，支持频段任意配置，满足各种防御需求。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自定义干扰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搭载宽频频谱侦测，支持手动调频干扰，以应对非标无人机。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辅助定位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配备辅助瞄准系统，可实时显示目标信息、瞄准目标定位、同步飞手位置等。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侦测频段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100MHz~6000MHz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侦测机型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DIY FPV 穿越机（ELRS/TBS Crossfire等协议）、常规无人机（</w:t>
            </w:r>
            <w:bookmarkStart w:id="0" w:name="OLE_LINK4"/>
            <w:r>
              <w:rPr>
                <w:rFonts w:hint="eastAsia"/>
                <w:lang w:val="en-US" w:eastAsia="zh-CN"/>
              </w:rPr>
              <w:t>大疆/道通/Parrot等</w:t>
            </w:r>
            <w:bookmarkEnd w:id="0"/>
            <w:r>
              <w:rPr>
                <w:rFonts w:hint="eastAsia"/>
                <w:lang w:val="en-US" w:eastAsia="zh-CN"/>
              </w:rPr>
              <w:t>）、WiFi无人机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侦测距离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≥3km（空旷环境），0.5km~1km（城市环境）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测向精度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10°（空旷环境）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干扰频段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400MHz / 800~900MHz / 1.2GHz / 1.4GHz / 1.5GHz / 2.4GHz / 5.2GHz / 5.8GHz / 700MHz~3GHz软件自定义干扰通道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干扰角度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定向干扰，水平45°，俯仰30°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干扰距离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≥2km（干通比2:1），大疆Mini4 Pro/御3≥1km（干通比1:1），DIY FPV（ELRS/TBS Crossfire协议）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干扰响应时间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&lt;5s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屏幕显示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5寸触摸屏显示：自检状态、无人机机型、干扰频段、日期时间、电池电量、干扰时长、操作日志等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电池类型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可替换锂电池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单块电池续航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≥15min（全频段发射开启）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整机尺寸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653*407*187mm±5mm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整机重量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&lt;7kg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防护等级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IP54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工作温度</w:t>
            </w:r>
          </w:p>
        </w:tc>
        <w:tc>
          <w:tcPr>
            <w:tcW w:w="653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-30℃~+55℃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D6B58F5"/>
    <w:rsid w:val="0F271833"/>
    <w:rsid w:val="13E46A39"/>
    <w:rsid w:val="14ED4087"/>
    <w:rsid w:val="155C6E24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08A1C6E"/>
    <w:rsid w:val="225C2538"/>
    <w:rsid w:val="25483AD3"/>
    <w:rsid w:val="2588382B"/>
    <w:rsid w:val="25F162D7"/>
    <w:rsid w:val="27374BBE"/>
    <w:rsid w:val="280E4EBC"/>
    <w:rsid w:val="282C3FF6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8AC3846"/>
    <w:rsid w:val="4D8D1DD3"/>
    <w:rsid w:val="4F9661E2"/>
    <w:rsid w:val="5057473D"/>
    <w:rsid w:val="526136A3"/>
    <w:rsid w:val="57A10BD6"/>
    <w:rsid w:val="5976231E"/>
    <w:rsid w:val="5F1539F5"/>
    <w:rsid w:val="60F81D85"/>
    <w:rsid w:val="61CB6E84"/>
    <w:rsid w:val="62120D30"/>
    <w:rsid w:val="62DA11C1"/>
    <w:rsid w:val="67591D57"/>
    <w:rsid w:val="67FF1A24"/>
    <w:rsid w:val="686D79BE"/>
    <w:rsid w:val="6B030C3A"/>
    <w:rsid w:val="6B3371B9"/>
    <w:rsid w:val="6B39651F"/>
    <w:rsid w:val="7426566E"/>
    <w:rsid w:val="74296CF1"/>
    <w:rsid w:val="742E76D4"/>
    <w:rsid w:val="7597629A"/>
    <w:rsid w:val="75A3783B"/>
    <w:rsid w:val="76040AEF"/>
    <w:rsid w:val="768F54EE"/>
    <w:rsid w:val="78706A41"/>
    <w:rsid w:val="794D71F9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2025-12-18T07:50:32Z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