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360" w:lineRule="auto"/>
        <w:jc w:val="center"/>
        <w:rPr>
          <w:rFonts w:hint="eastAsia" w:ascii="宋体" w:hAnsi="宋体" w:eastAsia="宋体" w:cs="宋体"/>
          <w:b/>
          <w:color w:val="000000"/>
          <w:sz w:val="36"/>
          <w:szCs w:val="36"/>
          <w:lang w:val="en-US" w:eastAsia="zh-CN"/>
        </w:rPr>
      </w:pPr>
      <w:r>
        <w:rPr>
          <w:rFonts w:hint="eastAsia" w:ascii="宋体" w:hAnsi="宋体" w:cs="宋体"/>
          <w:b/>
          <w:color w:val="000000"/>
          <w:sz w:val="36"/>
          <w:szCs w:val="36"/>
          <w:lang w:val="en-US" w:eastAsia="zh-CN"/>
        </w:rPr>
        <w:t>FC</w:t>
      </w:r>
      <w:r>
        <w:rPr>
          <w:rFonts w:hint="eastAsia" w:ascii="宋体" w:hAnsi="宋体" w:eastAsia="宋体" w:cs="宋体"/>
          <w:b/>
          <w:color w:val="000000"/>
          <w:sz w:val="36"/>
          <w:szCs w:val="36"/>
        </w:rPr>
        <w:t>1500</w:t>
      </w:r>
      <w:r>
        <w:rPr>
          <w:rFonts w:hint="eastAsia" w:ascii="宋体" w:hAnsi="宋体" w:eastAsia="宋体" w:cs="宋体"/>
          <w:b/>
          <w:color w:val="000000"/>
          <w:sz w:val="36"/>
          <w:szCs w:val="36"/>
          <w:lang w:val="en-US" w:eastAsia="zh-CN"/>
        </w:rPr>
        <w:t>手持式液体探测仪</w:t>
      </w:r>
    </w:p>
    <w:p>
      <w:pPr>
        <w:pStyle w:val="2"/>
        <w:jc w:val="center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drawing>
          <wp:inline distT="0" distB="0" distL="114300" distR="114300">
            <wp:extent cx="5265420" cy="4169410"/>
            <wp:effectExtent l="0" t="0" r="11430" b="2540"/>
            <wp:docPr id="2" name="图片 2" descr="液体检测仪便携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液体检测仪便携式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widowControl w:val="0"/>
        <w:kinsoku/>
        <w:ind w:left="0"/>
        <w:jc w:val="left"/>
        <w:rPr>
          <w:rFonts w:hint="default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-476885</wp:posOffset>
                </wp:positionH>
                <wp:positionV relativeFrom="paragraph">
                  <wp:posOffset>108585</wp:posOffset>
                </wp:positionV>
                <wp:extent cx="440690" cy="610870"/>
                <wp:effectExtent l="0" t="0" r="16510" b="17780"/>
                <wp:wrapNone/>
                <wp:docPr id="6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690" cy="610870"/>
                        </a:xfrm>
                        <a:prstGeom prst="rect">
                          <a:avLst/>
                        </a:prstGeom>
                        <a:solidFill>
                          <a:srgbClr val="E11F2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37.55pt;margin-top:8.55pt;height:48.1pt;width:34.7pt;z-index:251661312;v-text-anchor:middle;mso-width-relative:page;mso-height-relative:page;" fillcolor="#E11F20" filled="t" stroked="f" coordsize="21600,21600" o:gfxdata="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PIQtQtgAAAAJAQAADwAAAAAAAAAB&#10;ACAAAAAiAAAAZHJzL2Rvd25yZXYueG1sUEsBAhQAFAAAAAgAh07iQHYzkYPXAQAAhQMAAA4AAAAA&#10;AAAAAQAgAAAAJwEAAGRycy9lMm9Eb2MueG1sUEsFBgAAAAAGAAYAWQEAAHA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  <w:t>产品介绍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b/>
          <w:color w:val="000000"/>
          <w:sz w:val="24"/>
          <w:szCs w:val="24"/>
        </w:rPr>
      </w:pPr>
      <w:r>
        <w:rPr>
          <w:rFonts w:hint="default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  <w:t>Product Introduct</w:t>
      </w:r>
    </w:p>
    <w:p>
      <w:pPr>
        <w:widowControl/>
        <w:spacing w:line="360" w:lineRule="auto"/>
        <w:ind w:firstLine="48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cs="宋体"/>
          <w:color w:val="000000"/>
          <w:sz w:val="24"/>
          <w:szCs w:val="24"/>
          <w:lang w:val="en-US" w:eastAsia="zh-CN"/>
        </w:rPr>
        <w:t>FC1500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手持式危险液体安全检测仪，是一款专门用于探测易燃易爆液体的安检仪器。体积小、分析快、操作简便，能够在不接触液体的情况下快速辨别出易燃易爆液体，被广泛应用于车站、地铁、机场、公检法政府机构、大型运动会等场所的安检工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微软雅黑" w:eastAsia="微软雅黑" w:hAnsiTheme="minorBidi" w:cstheme="minorBidi"/>
          <w:b/>
          <w:color w:val="auto"/>
          <w:kern w:val="24"/>
          <w:sz w:val="36"/>
          <w:szCs w:val="36"/>
          <w:lang w:val="en-US" w:eastAsia="zh-CN" w:bidi="ar-SA"/>
        </w:rPr>
      </w:pP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-489585</wp:posOffset>
                </wp:positionH>
                <wp:positionV relativeFrom="paragraph">
                  <wp:posOffset>106680</wp:posOffset>
                </wp:positionV>
                <wp:extent cx="440690" cy="610870"/>
                <wp:effectExtent l="0" t="0" r="16510" b="17780"/>
                <wp:wrapNone/>
                <wp:docPr id="16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690" cy="610870"/>
                        </a:xfrm>
                        <a:prstGeom prst="rect">
                          <a:avLst/>
                        </a:prstGeom>
                        <a:solidFill>
                          <a:srgbClr val="E11F2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38.55pt;margin-top:8.4pt;height:48.1pt;width:34.7pt;z-index:251668480;v-text-anchor:middle;mso-width-relative:page;mso-height-relative:page;" fillcolor="#E11F20" filled="t" stroked="f" coordsize="21600,21600" o:gfxdata="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KCUCd7WAAAACQEAAA8AAAAAAAAAAQAg&#10;AAAAIgAAAGRycy9kb3ducmV2LnhtbFBLAQIUABQAAAAIAIdO4kCfyiW11wEAAIYDAAAOAAAAAAAA&#10;AAEAIAAAACUBAABkcnMvZTJvRG9jLnhtbFBLBQYAAAAABgAGAFkBAABu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微软雅黑" w:eastAsia="微软雅黑" w:hAnsiTheme="minorBidi" w:cstheme="minorBidi"/>
          <w:b/>
          <w:color w:val="auto"/>
          <w:kern w:val="24"/>
          <w:sz w:val="36"/>
          <w:szCs w:val="36"/>
          <w:lang w:val="en-US" w:eastAsia="zh-CN" w:bidi="ar-SA"/>
        </w:rPr>
        <w:t>基本参数</w:t>
      </w:r>
    </w:p>
    <w:p>
      <w:pPr>
        <w:bidi w:val="0"/>
        <w:rPr>
          <w:rFonts w:hint="default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default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  <w:t xml:space="preserve">Basic </w:t>
      </w:r>
      <w:r>
        <w:rPr>
          <w:rFonts w:hint="eastAsia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  <w:t>P</w:t>
      </w:r>
      <w:r>
        <w:rPr>
          <w:rFonts w:hint="default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  <w:t>arameters</w:t>
      </w:r>
    </w:p>
    <w:p>
      <w:pPr>
        <w:pStyle w:val="16"/>
        <w:spacing w:line="360" w:lineRule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具备自校验功能</w:t>
      </w:r>
    </w:p>
    <w:p>
      <w:pPr>
        <w:pStyle w:val="16"/>
        <w:spacing w:line="360" w:lineRule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探测原理：微波方式</w:t>
      </w:r>
    </w:p>
    <w:p>
      <w:pPr>
        <w:pStyle w:val="16"/>
        <w:spacing w:line="360" w:lineRule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识别方式：被检测物的物性(传导率、阻力) 识别</w:t>
      </w:r>
    </w:p>
    <w:p>
      <w:pPr>
        <w:pStyle w:val="16"/>
        <w:spacing w:line="360" w:lineRule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探测响应时间：1秒～2.5秒</w:t>
      </w:r>
    </w:p>
    <w:p>
      <w:pPr>
        <w:pStyle w:val="16"/>
        <w:spacing w:line="360" w:lineRule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开机启动：1秒</w:t>
      </w:r>
    </w:p>
    <w:p>
      <w:pPr>
        <w:pStyle w:val="16"/>
        <w:spacing w:line="360" w:lineRule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显示探测结果：以LCD 表显示，并发出警报音</w:t>
      </w:r>
    </w:p>
    <w:p>
      <w:pPr>
        <w:pStyle w:val="16"/>
        <w:spacing w:line="360" w:lineRule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自动校验时间：5秒</w:t>
      </w:r>
    </w:p>
    <w:p>
      <w:pPr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可探测种类：汽油、煤油、柴油、乙醚、异丙醚、石油醚、乙腈、乙二醇、硝基苯、环氧丙烷、正庚烷、松节油、丙酮、苯、甲苯、二甲苯、二氯乙烷、乙醇、异丙醇、正辛烷、二硫化碳、甲醇、硝基甲烷、正己烷、三氯甲烷、油漆稀料（硝基稀料溶剂）、四氢呋喃、油漆、苯乙烯、环己酮、环戊烷、二乙胺、正戊烷、叔丁醇、丙烯酸甲酯、正丙醇、环乙烷、甲基叔丁基醚、1-4-二氧六环、双戊烯、乙醛、吡咯烷等四十多种易燃易爆危险液体。</w:t>
      </w:r>
    </w:p>
    <w:p>
      <w:pPr>
        <w:pStyle w:val="16"/>
        <w:spacing w:line="360" w:lineRule="auto"/>
        <w:ind w:left="0" w:leftChars="0" w:firstLine="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工作环境：</w:t>
      </w:r>
    </w:p>
    <w:p>
      <w:pPr>
        <w:pStyle w:val="16"/>
        <w:spacing w:line="360" w:lineRule="auto"/>
        <w:ind w:left="0" w:leftChars="0" w:firstLine="240" w:firstLineChars="10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——环境温度：0℃～＋50℃；</w:t>
      </w:r>
    </w:p>
    <w:p>
      <w:pPr>
        <w:pStyle w:val="16"/>
        <w:spacing w:line="360" w:lineRule="auto"/>
        <w:ind w:left="0" w:leftChars="0" w:firstLine="240" w:firstLineChars="10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——相对湿度：0到RH95%</w:t>
      </w:r>
    </w:p>
    <w:p>
      <w:pPr>
        <w:pStyle w:val="16"/>
        <w:spacing w:line="360" w:lineRule="auto"/>
        <w:ind w:left="0" w:leftChars="0" w:firstLine="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供电方式（两种）：可充电电池或220V 供电使用（可便携巡检，不受固定电源的限制）</w:t>
      </w:r>
    </w:p>
    <w:p>
      <w:pPr>
        <w:pStyle w:val="16"/>
        <w:spacing w:line="360" w:lineRule="auto"/>
        <w:ind w:left="0" w:leftChars="0" w:firstLine="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电池类型：锂离子电池</w:t>
      </w:r>
    </w:p>
    <w:p>
      <w:pPr>
        <w:pStyle w:val="16"/>
        <w:spacing w:line="360" w:lineRule="auto"/>
        <w:ind w:left="0" w:leftChars="0" w:firstLine="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一次充满电后检测次数：≧1250次</w:t>
      </w:r>
    </w:p>
    <w:p>
      <w:pPr>
        <w:pStyle w:val="16"/>
        <w:spacing w:line="360" w:lineRule="auto"/>
        <w:ind w:left="0" w:leftChars="0" w:firstLine="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功耗：≦0.35A</w:t>
      </w:r>
    </w:p>
    <w:p>
      <w:pPr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组成：主机，充电底座等组成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000000"/>
          <w:sz w:val="24"/>
          <w:szCs w:val="24"/>
        </w:rPr>
        <w:t>主要尺寸及重量：L216*W50*H79 mm, 约199.5克(含电池)</w:t>
      </w:r>
    </w:p>
    <w:p>
      <w:pPr>
        <w:widowControl/>
        <w:spacing w:line="360" w:lineRule="auto"/>
        <w:ind w:left="0" w:leftChars="0" w:firstLine="0" w:firstLineChars="0"/>
        <w:jc w:val="left"/>
        <w:rPr>
          <w:rFonts w:hint="eastAsia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可检测容器尺寸：不小于5.5cm*1.5cm，最小容量50ml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000000"/>
          <w:sz w:val="24"/>
          <w:szCs w:val="24"/>
        </w:rPr>
        <w:t>报警方式：可以声音报警，以及液晶图文显示报警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000000"/>
          <w:sz w:val="24"/>
          <w:szCs w:val="24"/>
        </w:rPr>
        <w:t>人机界面：提供全中文界面，自发光OLED屏显示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000000"/>
          <w:sz w:val="24"/>
          <w:szCs w:val="24"/>
        </w:rPr>
        <w:t>数据存储：提供液体检测结果存储及检索功能，存储量不少于10000次检测，并能通过USB接口将数据导出。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000000"/>
          <w:sz w:val="24"/>
          <w:szCs w:val="24"/>
        </w:rPr>
        <w:t>工作温度范围：-10℃-+55℃。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000000"/>
          <w:sz w:val="24"/>
          <w:szCs w:val="24"/>
        </w:rPr>
        <w:t>可探测种类：汽油、煤油、柴油、乙醚、异丙醚、石油醚、乙腈、乙二醇、硝基苯、环氧丙烷、正庚烷、松节油、丙酮、苯、甲苯、二甲苯、二氯乙烷、乙醇、异丙醇、正辛烷、二硫化碳、甲醇、硝基甲烷、正己烷、三氯甲烷、油漆稀料（硝基稀料溶剂）、四氢呋喃、油漆、苯乙烯、环己酮、环戊烷、二乙胺、正戊烷、叔丁醇、丙烯酸甲酯、正丙醇、环乙烷、甲基叔丁基醚、1-4-二氧六环、双戊烯、乙醛、吡咯烷等四十多种易燃易爆危险液体。</w:t>
      </w:r>
    </w:p>
    <w:p>
      <w:pPr>
        <w:widowControl w:val="0"/>
        <w:kinsoku/>
        <w:ind w:left="0"/>
        <w:jc w:val="left"/>
        <w:rPr>
          <w:rFonts w:hint="eastAsia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-476885</wp:posOffset>
                </wp:positionH>
                <wp:positionV relativeFrom="paragraph">
                  <wp:posOffset>108585</wp:posOffset>
                </wp:positionV>
                <wp:extent cx="440690" cy="610870"/>
                <wp:effectExtent l="0" t="0" r="16510" b="17780"/>
                <wp:wrapNone/>
                <wp:docPr id="14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690" cy="610870"/>
                        </a:xfrm>
                        <a:prstGeom prst="rect">
                          <a:avLst/>
                        </a:prstGeom>
                        <a:solidFill>
                          <a:srgbClr val="E11F2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37.55pt;margin-top:8.55pt;height:48.1pt;width:34.7pt;z-index:251673600;v-text-anchor:middle;mso-width-relative:page;mso-height-relative:page;" fillcolor="#E11F20" filled="t" stroked="f" coordsize="21600,21600" o:gfxdata="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8hC1C2AAAAAkBAAAPAAAAAAAAAAEA&#10;IAAAACIAAABkcnMvZG93bnJldi54bWxQSwECFAAUAAAACACHTuJArDwTr9YBAACGAwAADgAAAAAA&#10;AAABACAAAAAnAQAAZHJzL2Uyb0RvYy54bWxQSwUGAAAAAAYABgBZAQAAb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  <w:t>产品特点</w:t>
      </w:r>
    </w:p>
    <w:p>
      <w:pPr>
        <w:widowControl w:val="0"/>
        <w:kinsoku/>
        <w:ind w:left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sz w:val="36"/>
          <w:szCs w:val="36"/>
          <w:u w:val="thick"/>
          <w:lang w:val="en-US" w:eastAsia="zh-CN"/>
        </w:rPr>
      </w:pPr>
      <w:r>
        <w:rPr>
          <w:rFonts w:hint="default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  <w:t>Product Introduct</w:t>
      </w:r>
    </w:p>
    <w:p>
      <w:pPr>
        <w:pStyle w:val="17"/>
        <w:spacing w:after="0" w:line="360" w:lineRule="auto"/>
        <w:ind w:left="0" w:leftChars="0" w:firstLine="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方便性：产品轻巧；使用方便；便于携带；快速探测</w:t>
      </w:r>
    </w:p>
    <w:p>
      <w:pPr>
        <w:pStyle w:val="17"/>
        <w:spacing w:after="0" w:line="360" w:lineRule="auto"/>
        <w:ind w:left="0" w:leftChars="0" w:firstLine="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安全性：准确快速的辨别；微波探测；LCD画面显示</w:t>
      </w:r>
    </w:p>
    <w:p>
      <w:pPr>
        <w:pStyle w:val="17"/>
        <w:spacing w:after="0" w:line="360" w:lineRule="auto"/>
        <w:ind w:left="0" w:leftChars="0" w:firstLine="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新颖性：携带型；简单的培训后即可使用；不仅可探测硫酸、盐酸等其他易燃危险液体物质，还可探测液体爆炸物的主要原料：硝基甲烷</w:t>
      </w:r>
    </w:p>
    <w:p>
      <w:pPr>
        <w:pStyle w:val="17"/>
        <w:spacing w:after="0" w:line="360" w:lineRule="auto"/>
        <w:ind w:left="0" w:leftChars="0" w:firstLine="0" w:firstLineChars="0"/>
        <w:rPr>
          <w:rFonts w:hint="eastAsia" w:ascii="宋体" w:hAnsi="宋体" w:eastAsia="宋体" w:cs="宋体"/>
          <w:b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color w:val="000000"/>
          <w:sz w:val="24"/>
          <w:szCs w:val="24"/>
        </w:rPr>
        <w:t>使用范围</w:t>
      </w:r>
    </w:p>
    <w:p>
      <w:pPr>
        <w:pStyle w:val="17"/>
        <w:spacing w:after="0" w:line="360" w:lineRule="auto"/>
        <w:ind w:left="0" w:leftChars="0" w:firstLine="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此款探测器是全球首个为探测液体爆炸物及危险液体的检测仪器，主要探测成分为硝基甲烷、硫酸、盐酸、汽油等可燃易爆液体物质，能够最大程度上预防液体炸弹带来的生命及财产损害。</w:t>
      </w:r>
    </w:p>
    <w:p>
      <w:pPr>
        <w:pStyle w:val="17"/>
        <w:spacing w:after="0" w:line="360" w:lineRule="auto"/>
        <w:ind w:left="0" w:leftChars="0" w:firstLine="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① 防止恐怖事件</w:t>
      </w:r>
    </w:p>
    <w:p>
      <w:pPr>
        <w:pStyle w:val="17"/>
        <w:spacing w:after="0" w:line="360" w:lineRule="auto"/>
        <w:ind w:left="0" w:leftChars="0" w:firstLine="240" w:firstLineChars="10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机场、地铁、火车站等主要公共场所，虽然有金属探测器、爆炸物探测器等预防恐怖事件的仪器，但对于检测危险液体的探测器实为少见。通过使用本产品，能够更好地确保安全。</w:t>
      </w:r>
    </w:p>
    <w:p>
      <w:pPr>
        <w:pStyle w:val="17"/>
        <w:spacing w:after="0" w:line="360" w:lineRule="auto"/>
        <w:ind w:left="0" w:leftChars="0" w:firstLine="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② 预防火灾</w:t>
      </w:r>
    </w:p>
    <w:p>
      <w:pPr>
        <w:pStyle w:val="17"/>
        <w:spacing w:after="0" w:line="360" w:lineRule="auto"/>
        <w:ind w:left="0" w:leftChars="0" w:firstLine="240" w:firstLineChars="10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在主要公共交通设施上安装的消防仪器，大部分是在火灾发生之后启动的。在火灾发生之前能够制止的或者预防火灾的监测器几乎是没有的。使用本产品能够用低廉的费用，达到很好的火灾预防效果。</w:t>
      </w:r>
    </w:p>
    <w:p>
      <w:pPr>
        <w:spacing w:line="360" w:lineRule="auto"/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C7ACAB"/>
    <w:multiLevelType w:val="multilevel"/>
    <w:tmpl w:val="58C7ACAB"/>
    <w:lvl w:ilvl="0" w:tentative="0">
      <w:start w:val="1"/>
      <w:numFmt w:val="decimal"/>
      <w:pStyle w:val="12"/>
      <w:lvlText w:val="%1.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709"/>
        </w:tabs>
        <w:ind w:left="709" w:hanging="709"/>
      </w:pPr>
      <w:rPr>
        <w:rFonts w:hint="eastAsia" w:ascii="宋体" w:hAnsi="宋体" w:eastAsia="宋体"/>
      </w:rPr>
    </w:lvl>
    <w:lvl w:ilvl="2" w:tentative="0">
      <w:start w:val="1"/>
      <w:numFmt w:val="decimal"/>
      <w:lvlText w:val="%1.%2.%3.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58C89EFC"/>
    <w:multiLevelType w:val="singleLevel"/>
    <w:tmpl w:val="58C89EFC"/>
    <w:lvl w:ilvl="0" w:tentative="0">
      <w:start w:val="1"/>
      <w:numFmt w:val="chineseCounting"/>
      <w:pStyle w:val="3"/>
      <w:suff w:val="nothing"/>
      <w:lvlText w:val="%1、"/>
      <w:lvlJc w:val="left"/>
      <w:pPr>
        <w:ind w:left="0" w:leftChars="0" w:firstLine="420" w:firstLineChars="0"/>
      </w:pPr>
      <w:rPr>
        <w:rFonts w:hint="eastAsia"/>
      </w:rPr>
    </w:lvl>
  </w:abstractNum>
  <w:abstractNum w:abstractNumId="2">
    <w:nsid w:val="58C8A141"/>
    <w:multiLevelType w:val="multilevel"/>
    <w:tmpl w:val="58C8A141"/>
    <w:lvl w:ilvl="0" w:tentative="0">
      <w:start w:val="1"/>
      <w:numFmt w:val="chineseCounting"/>
      <w:suff w:val="nothing"/>
      <w:lvlText w:val="%1、"/>
      <w:lvlJc w:val="left"/>
      <w:pPr>
        <w:ind w:left="0" w:leftChars="0" w:firstLine="400" w:firstLineChars="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leftChars="0" w:firstLine="400" w:firstLineChars="0"/>
      </w:pPr>
      <w:rPr>
        <w:rFonts w:hint="eastAsia"/>
      </w:rPr>
    </w:lvl>
    <w:lvl w:ilvl="2" w:tentative="0">
      <w:start w:val="1"/>
      <w:numFmt w:val="decimal"/>
      <w:pStyle w:val="5"/>
      <w:suff w:val="nothing"/>
      <w:lvlText w:val="（%3）"/>
      <w:lvlJc w:val="left"/>
      <w:pPr>
        <w:ind w:left="0" w:leftChars="0" w:firstLine="402" w:firstLineChars="0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leftChars="0" w:firstLine="402" w:firstLineChars="0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leftChars="0" w:firstLine="402" w:firstLineChars="0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leftChars="0" w:firstLine="402" w:firstLineChars="0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leftChars="0" w:firstLine="402" w:firstLineChars="0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leftChars="0" w:firstLine="402" w:firstLineChars="0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leftChars="0" w:firstLine="402" w:firstLineChars="0"/>
      </w:pPr>
      <w:rPr>
        <w:rFonts w:hint="eastAsia"/>
      </w:rPr>
    </w:lvl>
  </w:abstractNum>
  <w:abstractNum w:abstractNumId="3">
    <w:nsid w:val="58C8A158"/>
    <w:multiLevelType w:val="multilevel"/>
    <w:tmpl w:val="58C8A158"/>
    <w:lvl w:ilvl="0" w:tentative="0">
      <w:start w:val="1"/>
      <w:numFmt w:val="chineseCounting"/>
      <w:suff w:val="nothing"/>
      <w:lvlText w:val="%1、"/>
      <w:lvlJc w:val="left"/>
      <w:pPr>
        <w:ind w:left="0" w:leftChars="0" w:firstLine="400" w:firstLineChars="0"/>
      </w:pPr>
      <w:rPr>
        <w:rFonts w:hint="eastAsia"/>
      </w:rPr>
    </w:lvl>
    <w:lvl w:ilvl="1" w:tentative="0">
      <w:start w:val="1"/>
      <w:numFmt w:val="decimal"/>
      <w:pStyle w:val="4"/>
      <w:suff w:val="nothing"/>
      <w:lvlText w:val="%2．"/>
      <w:lvlJc w:val="left"/>
      <w:pPr>
        <w:ind w:left="0" w:leftChars="0" w:firstLine="400" w:firstLineChars="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leftChars="0" w:firstLine="402" w:firstLineChars="0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leftChars="0" w:firstLine="402" w:firstLineChars="0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leftChars="0" w:firstLine="402" w:firstLineChars="0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leftChars="0" w:firstLine="402" w:firstLineChars="0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leftChars="0" w:firstLine="402" w:firstLineChars="0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leftChars="0" w:firstLine="402" w:firstLineChars="0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leftChars="0" w:firstLine="402" w:firstLineChars="0"/>
      </w:pPr>
      <w:rPr>
        <w:rFonts w:hint="eastAsi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F43778"/>
    <w:rsid w:val="027074CD"/>
    <w:rsid w:val="06174D3E"/>
    <w:rsid w:val="081D5787"/>
    <w:rsid w:val="0B15034E"/>
    <w:rsid w:val="0CC06DD7"/>
    <w:rsid w:val="0EA42DA3"/>
    <w:rsid w:val="0F1A4A08"/>
    <w:rsid w:val="100E4276"/>
    <w:rsid w:val="117C7AC7"/>
    <w:rsid w:val="13895A58"/>
    <w:rsid w:val="15606B69"/>
    <w:rsid w:val="21860ED5"/>
    <w:rsid w:val="299B3864"/>
    <w:rsid w:val="2B1D3720"/>
    <w:rsid w:val="2BE30F7B"/>
    <w:rsid w:val="2C1A2218"/>
    <w:rsid w:val="3ADC01FE"/>
    <w:rsid w:val="3AF43778"/>
    <w:rsid w:val="3AF73D65"/>
    <w:rsid w:val="410F5EEA"/>
    <w:rsid w:val="45842ACE"/>
    <w:rsid w:val="48314984"/>
    <w:rsid w:val="4DC95146"/>
    <w:rsid w:val="501C4631"/>
    <w:rsid w:val="516D5850"/>
    <w:rsid w:val="576031B0"/>
    <w:rsid w:val="58305CFA"/>
    <w:rsid w:val="5AC505F9"/>
    <w:rsid w:val="5F2F717F"/>
    <w:rsid w:val="5F932FE1"/>
    <w:rsid w:val="62827F35"/>
    <w:rsid w:val="628D3485"/>
    <w:rsid w:val="6405260B"/>
    <w:rsid w:val="6661110E"/>
    <w:rsid w:val="67990379"/>
    <w:rsid w:val="69A13190"/>
    <w:rsid w:val="6A4623BE"/>
    <w:rsid w:val="6D5A24F8"/>
    <w:rsid w:val="6FFC0597"/>
    <w:rsid w:val="74AB3E10"/>
    <w:rsid w:val="75BC2604"/>
    <w:rsid w:val="78490F9C"/>
    <w:rsid w:val="7EC522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link w:val="15"/>
    <w:qFormat/>
    <w:uiPriority w:val="0"/>
    <w:pPr>
      <w:keepNext/>
      <w:keepLines/>
      <w:numPr>
        <w:ilvl w:val="0"/>
        <w:numId w:val="1"/>
      </w:numPr>
      <w:tabs>
        <w:tab w:val="left" w:pos="420"/>
      </w:tabs>
      <w:spacing w:before="100" w:after="90" w:line="578" w:lineRule="auto"/>
      <w:outlineLvl w:val="0"/>
    </w:pPr>
    <w:rPr>
      <w:rFonts w:eastAsia="宋体"/>
      <w:bCs/>
      <w:kern w:val="44"/>
      <w:sz w:val="32"/>
      <w:szCs w:val="44"/>
    </w:rPr>
  </w:style>
  <w:style w:type="paragraph" w:styleId="4">
    <w:name w:val="heading 2"/>
    <w:basedOn w:val="1"/>
    <w:next w:val="1"/>
    <w:link w:val="13"/>
    <w:unhideWhenUsed/>
    <w:qFormat/>
    <w:uiPriority w:val="0"/>
    <w:pPr>
      <w:keepNext/>
      <w:keepLines/>
      <w:numPr>
        <w:ilvl w:val="1"/>
        <w:numId w:val="2"/>
      </w:numPr>
      <w:spacing w:line="416" w:lineRule="atLeast"/>
      <w:ind w:left="0"/>
      <w:outlineLvl w:val="1"/>
    </w:pPr>
    <w:rPr>
      <w:rFonts w:ascii="Arial" w:hAnsi="Arial" w:eastAsia="宋体"/>
      <w:sz w:val="28"/>
    </w:rPr>
  </w:style>
  <w:style w:type="paragraph" w:styleId="5">
    <w:name w:val="heading 3"/>
    <w:basedOn w:val="1"/>
    <w:next w:val="1"/>
    <w:link w:val="10"/>
    <w:unhideWhenUsed/>
    <w:qFormat/>
    <w:uiPriority w:val="0"/>
    <w:pPr>
      <w:keepNext/>
      <w:keepLines/>
      <w:numPr>
        <w:ilvl w:val="2"/>
        <w:numId w:val="3"/>
      </w:numPr>
      <w:spacing w:line="240" w:lineRule="auto"/>
      <w:outlineLvl w:val="2"/>
    </w:pPr>
    <w:rPr>
      <w:rFonts w:eastAsia="宋体"/>
      <w:kern w:val="2"/>
      <w:sz w:val="24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qFormat/>
    <w:uiPriority w:val="0"/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customStyle="1" w:styleId="10">
    <w:name w:val="标题 3 Char"/>
    <w:link w:val="5"/>
    <w:qFormat/>
    <w:uiPriority w:val="0"/>
    <w:rPr>
      <w:rFonts w:eastAsia="宋体" w:asciiTheme="minorAscii" w:hAnsiTheme="minorAscii"/>
      <w:b/>
      <w:kern w:val="2"/>
      <w:sz w:val="24"/>
      <w:lang w:val="en-US" w:eastAsia="zh-CN"/>
    </w:rPr>
  </w:style>
  <w:style w:type="character" w:customStyle="1" w:styleId="11">
    <w:name w:val="样式2"/>
    <w:basedOn w:val="9"/>
    <w:qFormat/>
    <w:uiPriority w:val="0"/>
    <w:rPr>
      <w:rFonts w:ascii="Calibri" w:hAnsi="Calibri"/>
    </w:rPr>
  </w:style>
  <w:style w:type="paragraph" w:customStyle="1" w:styleId="12">
    <w:name w:val="样式1"/>
    <w:basedOn w:val="1"/>
    <w:qFormat/>
    <w:uiPriority w:val="0"/>
    <w:pPr>
      <w:numPr>
        <w:ilvl w:val="0"/>
        <w:numId w:val="4"/>
      </w:numPr>
      <w:spacing w:line="240" w:lineRule="auto"/>
      <w:jc w:val="both"/>
    </w:pPr>
    <w:rPr>
      <w:rFonts w:ascii="宋体" w:hAnsi="宋体"/>
      <w:sz w:val="28"/>
      <w:szCs w:val="22"/>
    </w:rPr>
  </w:style>
  <w:style w:type="character" w:customStyle="1" w:styleId="13">
    <w:name w:val="标题 2 Char"/>
    <w:link w:val="4"/>
    <w:qFormat/>
    <w:uiPriority w:val="0"/>
    <w:rPr>
      <w:rFonts w:ascii="Arial" w:hAnsi="Arial" w:eastAsia="宋体"/>
      <w:b/>
      <w:sz w:val="28"/>
    </w:rPr>
  </w:style>
  <w:style w:type="character" w:customStyle="1" w:styleId="14">
    <w:name w:val="样式3"/>
    <w:basedOn w:val="9"/>
    <w:qFormat/>
    <w:uiPriority w:val="0"/>
    <w:rPr>
      <w:rFonts w:ascii="Calibri" w:hAnsi="Calibri"/>
      <w:b/>
    </w:rPr>
  </w:style>
  <w:style w:type="character" w:customStyle="1" w:styleId="15">
    <w:name w:val="标题 1 Char"/>
    <w:link w:val="3"/>
    <w:qFormat/>
    <w:uiPriority w:val="0"/>
    <w:rPr>
      <w:rFonts w:eastAsia="宋体"/>
      <w:b/>
      <w:bCs/>
      <w:kern w:val="44"/>
      <w:sz w:val="32"/>
      <w:szCs w:val="44"/>
    </w:rPr>
  </w:style>
  <w:style w:type="paragraph" w:customStyle="1" w:styleId="16">
    <w:name w:val="p0"/>
    <w:basedOn w:val="1"/>
    <w:qFormat/>
    <w:uiPriority w:val="0"/>
    <w:pPr>
      <w:widowControl/>
    </w:pPr>
    <w:rPr>
      <w:kern w:val="0"/>
      <w:szCs w:val="21"/>
    </w:rPr>
  </w:style>
  <w:style w:type="paragraph" w:customStyle="1" w:styleId="17">
    <w:name w:val="p15"/>
    <w:basedOn w:val="1"/>
    <w:qFormat/>
    <w:uiPriority w:val="0"/>
    <w:pPr>
      <w:widowControl/>
      <w:spacing w:after="120"/>
    </w:pPr>
    <w:rPr>
      <w:kern w:val="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2020-07-30T02:50:00Z</dcterms:created>
  <dc:creator>༻黎花络༺</dc:creator>
  <cp:lastModifiedBy>admin</cp:lastModifiedBy>
  <dcterms:modified xsi:type="dcterms:W3CDTF">2026-01-22T06:11:44Z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  <property fmtid="{D5CDD505-2E9C-101B-9397-08002B2CF9AE}" pid="3" name="ICV">
    <vt:lpwstr>EDC966E5BA13408A9712C9E3C5E06CBC</vt:lpwstr>
  </property>
</Properties>
</file>