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0"/>
        <w:bidi w:val="0"/>
        <w:rPr>
          <w:rFonts w:hint="eastAsia"/>
          <w:lang w:eastAsia="zh-CN"/>
        </w:rPr>
      </w:pPr>
      <w:r>
        <w:rPr>
          <w:rFonts w:hint="eastAsia"/>
          <w:lang w:eastAsia="zh-CN"/>
        </w:rPr>
        <w:t>200型装配式公路钢桥(贝雷桥)</w:t>
      </w:r>
    </w:p>
    <w:p>
      <w:pPr>
        <w:pStyle w:val="39"/>
        <w:bidi w:val="0"/>
        <w:rPr>
          <w:rFonts w:hint="eastAsia"/>
          <w:lang w:eastAsia="zh-CN"/>
        </w:rPr>
      </w:pPr>
      <w:r>
        <w:rPr>
          <w:rFonts w:hint="eastAsia"/>
          <w:lang w:eastAsia="zh-CN"/>
        </w:rPr>
        <w:drawing>
          <wp:inline distT="0" distB="0" distL="114300" distR="114300">
            <wp:extent cx="5277485" cy="3536950"/>
            <wp:effectExtent l="0" t="0" r="18415" b="6350"/>
            <wp:docPr id="8" name="图片 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
                    <pic:cNvPicPr>
                      <a:picLocks noChangeAspect="1"/>
                    </pic:cNvPicPr>
                  </pic:nvPicPr>
                  <pic:blipFill>
                    <a:blip r:embed="rId6"/>
                    <a:stretch>
                      <a:fillRect/>
                    </a:stretch>
                  </pic:blipFill>
                  <pic:spPr>
                    <a:xfrm>
                      <a:off x="0" y="0"/>
                      <a:ext cx="5277485" cy="3536950"/>
                    </a:xfrm>
                    <a:prstGeom prst="rect">
                      <a:avLst/>
                    </a:prstGeom>
                  </pic:spPr>
                </pic:pic>
              </a:graphicData>
            </a:graphic>
          </wp:inline>
        </w:drawing>
      </w:r>
    </w:p>
    <w:p>
      <w:pPr>
        <w:pStyle w:val="39"/>
        <w:bidi w:val="0"/>
        <w:rPr>
          <w:rFonts w:hint="eastAsia"/>
          <w:lang w:eastAsia="zh-CN"/>
        </w:rPr>
      </w:pPr>
      <w:r>
        <w:rPr>
          <w:rFonts w:hint="eastAsia"/>
          <w:lang w:eastAsia="zh-CN"/>
        </w:rPr>
        <w:drawing>
          <wp:inline distT="0" distB="0" distL="114300" distR="114300">
            <wp:extent cx="5280660" cy="3550920"/>
            <wp:effectExtent l="0" t="0" r="15240" b="11430"/>
            <wp:docPr id="7" name="图片 7" descr="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2"/>
                    <pic:cNvPicPr>
                      <a:picLocks noChangeAspect="1"/>
                    </pic:cNvPicPr>
                  </pic:nvPicPr>
                  <pic:blipFill>
                    <a:blip r:embed="rId7"/>
                    <a:stretch>
                      <a:fillRect/>
                    </a:stretch>
                  </pic:blipFill>
                  <pic:spPr>
                    <a:xfrm>
                      <a:off x="0" y="0"/>
                      <a:ext cx="5280660" cy="3550920"/>
                    </a:xfrm>
                    <a:prstGeom prst="rect">
                      <a:avLst/>
                    </a:prstGeom>
                  </pic:spPr>
                </pic:pic>
              </a:graphicData>
            </a:graphic>
          </wp:inline>
        </w:drawing>
      </w:r>
    </w:p>
    <w:p>
      <w:pPr>
        <w:bidi w:val="0"/>
        <w:rPr>
          <w:rFonts w:hint="eastAsia"/>
          <w:lang w:val="en-US" w:eastAsia="zh-CN"/>
        </w:rPr>
      </w:pPr>
    </w:p>
    <w:p>
      <w:pPr>
        <w:bidi w:val="0"/>
        <w:rPr>
          <w:rFonts w:hint="eastAsia"/>
        </w:rPr>
      </w:pPr>
      <w:r>
        <w:rPr>
          <w:rFonts w:hint="eastAsia"/>
        </w:rPr>
        <w:t>200型装配式钢桥从外观上看与"321"型贝雷钢桥相似，但将桁架高度提高到2.134米。对于部分较长跨径的钢桥，可以采取加强弦杆间的接头与桁架间的接头错开布置，减小因销孔间隙引起的非弹性变形，并采用预拱的方法，大大减少桥梁跨中竖向挠度。螺栓连接构件采用导向套定位固定的方法增加了产品连接精度，导向套受剪，螺栓受拉，提高了螺栓的使用寿命，保证了装配式钢桥的安全性。抗风拉杆制作成整体式，并与横梁连接，提高装配式钢桥的整体稳定性。水平支撑架与桁架片之间是跨接固定，这样可保证整桥没有侧弯，整桥架好后并带预拱度。200型装配式钢桥除可组装成单车道桥梁外，还可组装成双车道桥梁，从而扩大了桥梁的使用范围。</w:t>
      </w:r>
    </w:p>
    <w:tbl>
      <w:tblPr>
        <w:tblStyle w:val="28"/>
        <w:tblW w:w="93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5"/>
        <w:gridCol w:w="70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53" w:type="dxa"/>
            <w:gridSpan w:val="2"/>
          </w:tcPr>
          <w:p>
            <w:pPr>
              <w:pStyle w:val="64"/>
              <w:bidi w:val="0"/>
              <w:rPr>
                <w:rFonts w:hint="eastAsia"/>
              </w:rPr>
            </w:pPr>
            <w:r>
              <w:rPr>
                <w:rFonts w:hint="eastAsia"/>
              </w:rPr>
              <w:t>产品属性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tcPr>
          <w:p>
            <w:pPr>
              <w:pStyle w:val="75"/>
              <w:bidi w:val="0"/>
            </w:pPr>
            <w:r>
              <w:rPr>
                <w:rFonts w:hint="eastAsia"/>
              </w:rPr>
              <w:t>品名</w:t>
            </w:r>
          </w:p>
        </w:tc>
        <w:tc>
          <w:tcPr>
            <w:tcW w:w="7098" w:type="dxa"/>
          </w:tcPr>
          <w:p>
            <w:pPr>
              <w:pStyle w:val="75"/>
              <w:bidi w:val="0"/>
              <w:jc w:val="center"/>
            </w:pPr>
            <w:r>
              <w:rPr>
                <w:rFonts w:hint="eastAsia"/>
              </w:rPr>
              <w:t>200型装配式公路钢桥（贝雷钢桥）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tcPr>
          <w:p>
            <w:pPr>
              <w:pStyle w:val="75"/>
              <w:bidi w:val="0"/>
            </w:pPr>
            <w:r>
              <w:rPr>
                <w:rFonts w:hint="eastAsia"/>
              </w:rPr>
              <w:t>型号别名</w:t>
            </w:r>
          </w:p>
        </w:tc>
        <w:tc>
          <w:tcPr>
            <w:tcW w:w="7098" w:type="dxa"/>
          </w:tcPr>
          <w:p>
            <w:pPr>
              <w:pStyle w:val="75"/>
              <w:bidi w:val="0"/>
            </w:pPr>
            <w:r>
              <w:rPr>
                <w:rFonts w:hint="eastAsia"/>
              </w:rPr>
              <w:t>HD200型，CB200型，ZB200型装配式公路钢桥（贝雷钢桥）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tcPr>
          <w:p>
            <w:pPr>
              <w:pStyle w:val="75"/>
              <w:bidi w:val="0"/>
            </w:pPr>
            <w:r>
              <w:rPr>
                <w:rFonts w:hint="eastAsia"/>
              </w:rPr>
              <w:t>桁架片型号</w:t>
            </w:r>
          </w:p>
        </w:tc>
        <w:tc>
          <w:tcPr>
            <w:tcW w:w="7098" w:type="dxa"/>
          </w:tcPr>
          <w:p>
            <w:pPr>
              <w:pStyle w:val="75"/>
              <w:bidi w:val="0"/>
            </w:pPr>
            <w:r>
              <w:rPr>
                <w:rFonts w:hint="eastAsia"/>
              </w:rPr>
              <w:t>200型贝雷片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tcPr>
          <w:p>
            <w:pPr>
              <w:pStyle w:val="75"/>
              <w:bidi w:val="0"/>
            </w:pPr>
            <w:r>
              <w:rPr>
                <w:rFonts w:hint="eastAsia"/>
              </w:rPr>
              <w:t>桁架片常规尺寸</w:t>
            </w:r>
          </w:p>
        </w:tc>
        <w:tc>
          <w:tcPr>
            <w:tcW w:w="7098" w:type="dxa"/>
          </w:tcPr>
          <w:p>
            <w:pPr>
              <w:pStyle w:val="75"/>
              <w:bidi w:val="0"/>
            </w:pPr>
            <w:r>
              <w:rPr>
                <w:rFonts w:hint="eastAsia"/>
              </w:rPr>
              <w:t>3.048米（10英尺）× 2.134米（孔到孔)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tcPr>
          <w:p>
            <w:pPr>
              <w:pStyle w:val="75"/>
              <w:bidi w:val="0"/>
            </w:pPr>
            <w:r>
              <w:rPr>
                <w:rFonts w:hint="eastAsia"/>
              </w:rPr>
              <w:t>钢桥标准车道净宽</w:t>
            </w:r>
          </w:p>
        </w:tc>
        <w:tc>
          <w:tcPr>
            <w:tcW w:w="7098" w:type="dxa"/>
          </w:tcPr>
          <w:p>
            <w:pPr>
              <w:pStyle w:val="75"/>
              <w:bidi w:val="0"/>
            </w:pPr>
            <w:r>
              <w:rPr>
                <w:rFonts w:hint="eastAsia"/>
              </w:rPr>
              <w:t xml:space="preserve"> 3.15米特制单车道； 4.2米标准单车道； 7.35米标准双车道；（也可根据客户需求特制）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tcPr>
          <w:p>
            <w:pPr>
              <w:pStyle w:val="75"/>
              <w:bidi w:val="0"/>
            </w:pPr>
            <w:r>
              <w:rPr>
                <w:rFonts w:hint="eastAsia"/>
              </w:rPr>
              <w:t>钢桥设计最大跨度</w:t>
            </w:r>
          </w:p>
        </w:tc>
        <w:tc>
          <w:tcPr>
            <w:tcW w:w="7098" w:type="dxa"/>
          </w:tcPr>
          <w:p>
            <w:pPr>
              <w:pStyle w:val="75"/>
              <w:bidi w:val="0"/>
            </w:pPr>
            <w:r>
              <w:rPr>
                <w:rFonts w:hint="eastAsia"/>
              </w:rPr>
              <w:t>单车道60.96米单跨</w:t>
            </w:r>
            <w:r>
              <w:rPr>
                <w:rFonts w:hint="eastAsia"/>
                <w:lang w:eastAsia="zh-CN"/>
              </w:rPr>
              <w:t>；</w:t>
            </w:r>
            <w:r>
              <w:rPr>
                <w:rFonts w:hint="eastAsia"/>
              </w:rPr>
              <w:t>双车道45.72米单跨；（若总长大于最大单跨长度，可做多跨连续梁，也可选择GWD型钢桥）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tcPr>
          <w:p>
            <w:pPr>
              <w:pStyle w:val="75"/>
              <w:bidi w:val="0"/>
            </w:pPr>
            <w:r>
              <w:rPr>
                <w:rFonts w:hint="eastAsia"/>
              </w:rPr>
              <w:t>荷载等级</w:t>
            </w:r>
          </w:p>
        </w:tc>
        <w:tc>
          <w:tcPr>
            <w:tcW w:w="7098" w:type="dxa"/>
          </w:tcPr>
          <w:p>
            <w:pPr>
              <w:pStyle w:val="75"/>
              <w:bidi w:val="0"/>
            </w:pPr>
            <w:r>
              <w:rPr>
                <w:rFonts w:hint="eastAsia"/>
              </w:rPr>
              <w:t>汽车10级；汽车15级；汽车20级；履带-50级；挂车-80级；单车40吨；单车60吨；单车150吨；AASHTO HS20</w:t>
            </w:r>
            <w:r>
              <w:rPr>
                <w:rFonts w:hint="eastAsia"/>
                <w:lang w:eastAsia="zh-CN"/>
              </w:rPr>
              <w:t>，</w:t>
            </w:r>
            <w:r>
              <w:rPr>
                <w:rFonts w:hint="eastAsia"/>
              </w:rPr>
              <w:t>HS25-44</w:t>
            </w:r>
            <w:r>
              <w:rPr>
                <w:rFonts w:hint="eastAsia"/>
                <w:lang w:eastAsia="zh-CN"/>
              </w:rPr>
              <w:t>，</w:t>
            </w:r>
            <w:r>
              <w:rPr>
                <w:rFonts w:hint="eastAsia"/>
              </w:rPr>
              <w:t>HL93</w:t>
            </w:r>
            <w:r>
              <w:rPr>
                <w:rFonts w:hint="eastAsia"/>
                <w:lang w:eastAsia="zh-CN"/>
              </w:rPr>
              <w:t>，</w:t>
            </w:r>
            <w:r>
              <w:rPr>
                <w:rFonts w:hint="eastAsia"/>
              </w:rPr>
              <w:t>BS5400 HA + HB；域-A；域-B；公路-I级；公路-II级；印度标准Class-40；澳大利亚标准T44；韩国标准D24 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vAlign w:val="top"/>
          </w:tcPr>
          <w:p>
            <w:pPr>
              <w:pStyle w:val="75"/>
              <w:bidi w:val="0"/>
            </w:pPr>
            <w:r>
              <w:rPr>
                <w:rFonts w:hint="eastAsia"/>
              </w:rPr>
              <w:t>钢桥主要材质</w:t>
            </w:r>
          </w:p>
        </w:tc>
        <w:tc>
          <w:tcPr>
            <w:tcW w:w="7098" w:type="dxa"/>
            <w:vAlign w:val="top"/>
          </w:tcPr>
          <w:p>
            <w:pPr>
              <w:pStyle w:val="75"/>
              <w:bidi w:val="0"/>
              <w:jc w:val="center"/>
            </w:pPr>
            <w:r>
              <w:rPr>
                <w:rFonts w:hint="eastAsia"/>
              </w:rPr>
              <w:t>GB Q345B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vAlign w:val="top"/>
          </w:tcPr>
          <w:p>
            <w:pPr>
              <w:pStyle w:val="75"/>
              <w:bidi w:val="0"/>
            </w:pPr>
            <w:r>
              <w:rPr>
                <w:rFonts w:hint="eastAsia"/>
              </w:rPr>
              <w:t>连接销子材质</w:t>
            </w:r>
          </w:p>
        </w:tc>
        <w:tc>
          <w:tcPr>
            <w:tcW w:w="7098" w:type="dxa"/>
            <w:vAlign w:val="top"/>
          </w:tcPr>
          <w:p>
            <w:pPr>
              <w:pStyle w:val="75"/>
              <w:bidi w:val="0"/>
              <w:jc w:val="center"/>
            </w:pPr>
            <w:r>
              <w:rPr>
                <w:rFonts w:hint="eastAsia"/>
              </w:rPr>
              <w:t>30CrMnTi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vAlign w:val="top"/>
          </w:tcPr>
          <w:p>
            <w:pPr>
              <w:pStyle w:val="75"/>
              <w:bidi w:val="0"/>
            </w:pPr>
            <w:r>
              <w:rPr>
                <w:rFonts w:hint="eastAsia"/>
              </w:rPr>
              <w:t>连接螺栓等级</w:t>
            </w:r>
          </w:p>
        </w:tc>
        <w:tc>
          <w:tcPr>
            <w:tcW w:w="7098" w:type="dxa"/>
            <w:vAlign w:val="top"/>
          </w:tcPr>
          <w:p>
            <w:pPr>
              <w:pStyle w:val="75"/>
              <w:bidi w:val="0"/>
              <w:jc w:val="center"/>
            </w:pPr>
            <w:r>
              <w:rPr>
                <w:rFonts w:hint="eastAsia"/>
              </w:rPr>
              <w:t>8.8级高强螺栓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vAlign w:val="top"/>
          </w:tcPr>
          <w:p>
            <w:pPr>
              <w:pStyle w:val="75"/>
              <w:bidi w:val="0"/>
            </w:pPr>
            <w:r>
              <w:rPr>
                <w:rFonts w:hint="eastAsia"/>
              </w:rPr>
              <w:t>表面防腐</w:t>
            </w:r>
          </w:p>
        </w:tc>
        <w:tc>
          <w:tcPr>
            <w:tcW w:w="7098" w:type="dxa"/>
            <w:vAlign w:val="top"/>
          </w:tcPr>
          <w:p>
            <w:pPr>
              <w:pStyle w:val="75"/>
              <w:bidi w:val="0"/>
              <w:jc w:val="center"/>
            </w:pPr>
            <w:r>
              <w:rPr>
                <w:rFonts w:hint="eastAsia"/>
              </w:rPr>
              <w:t>热镀锌；油漆；钢结构重型防腐油漆；沥青漆；桥面板防滑骨料处理等。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vAlign w:val="top"/>
          </w:tcPr>
          <w:p>
            <w:pPr>
              <w:pStyle w:val="75"/>
              <w:bidi w:val="0"/>
            </w:pPr>
            <w:r>
              <w:rPr>
                <w:rFonts w:hint="eastAsia"/>
              </w:rPr>
              <w:t>桥梁架设方法</w:t>
            </w:r>
          </w:p>
        </w:tc>
        <w:tc>
          <w:tcPr>
            <w:tcW w:w="7098" w:type="dxa"/>
            <w:vAlign w:val="top"/>
          </w:tcPr>
          <w:p>
            <w:pPr>
              <w:pStyle w:val="75"/>
              <w:bidi w:val="0"/>
              <w:jc w:val="center"/>
            </w:pPr>
            <w:r>
              <w:rPr>
                <w:rFonts w:hint="eastAsia"/>
              </w:rPr>
              <w:t>悬臂推出法；吊装法；浮运法；就地拼装法；堆土施工法等。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vAlign w:val="top"/>
          </w:tcPr>
          <w:p>
            <w:pPr>
              <w:pStyle w:val="75"/>
              <w:bidi w:val="0"/>
            </w:pPr>
            <w:r>
              <w:rPr>
                <w:rFonts w:hint="eastAsia"/>
              </w:rPr>
              <w:t>安装需要时间</w:t>
            </w:r>
          </w:p>
        </w:tc>
        <w:tc>
          <w:tcPr>
            <w:tcW w:w="7098" w:type="dxa"/>
            <w:vAlign w:val="top"/>
          </w:tcPr>
          <w:p>
            <w:pPr>
              <w:pStyle w:val="75"/>
              <w:bidi w:val="0"/>
              <w:jc w:val="center"/>
            </w:pPr>
            <w:r>
              <w:rPr>
                <w:rFonts w:hint="eastAsia"/>
              </w:rPr>
              <w:t>桥台等条件具备后7-14个晴天日（根据桥梁长度和现场条件确定）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vAlign w:val="top"/>
          </w:tcPr>
          <w:p>
            <w:pPr>
              <w:pStyle w:val="75"/>
              <w:bidi w:val="0"/>
            </w:pPr>
            <w:r>
              <w:rPr>
                <w:rFonts w:hint="eastAsia"/>
              </w:rPr>
              <w:t>安装需要工人</w:t>
            </w:r>
          </w:p>
        </w:tc>
        <w:tc>
          <w:tcPr>
            <w:tcW w:w="7098" w:type="dxa"/>
            <w:vAlign w:val="top"/>
          </w:tcPr>
          <w:p>
            <w:pPr>
              <w:pStyle w:val="75"/>
              <w:bidi w:val="0"/>
              <w:jc w:val="center"/>
            </w:pPr>
            <w:r>
              <w:rPr>
                <w:rFonts w:hint="eastAsia"/>
              </w:rPr>
              <w:t>6-8名（根据现场条件确定）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vAlign w:val="top"/>
          </w:tcPr>
          <w:p>
            <w:pPr>
              <w:pStyle w:val="75"/>
              <w:bidi w:val="0"/>
            </w:pPr>
            <w:r>
              <w:rPr>
                <w:rFonts w:hint="eastAsia"/>
              </w:rPr>
              <w:t>安装需要设备</w:t>
            </w:r>
          </w:p>
        </w:tc>
        <w:tc>
          <w:tcPr>
            <w:tcW w:w="7098" w:type="dxa"/>
            <w:vAlign w:val="top"/>
          </w:tcPr>
          <w:p>
            <w:pPr>
              <w:pStyle w:val="75"/>
              <w:bidi w:val="0"/>
              <w:jc w:val="center"/>
            </w:pPr>
            <w:r>
              <w:rPr>
                <w:rFonts w:hint="eastAsia"/>
              </w:rPr>
              <w:t>吊车，卷扬机，千斤顶，手拉葫芦等。（可根据现场条件调整）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vAlign w:val="top"/>
          </w:tcPr>
          <w:p>
            <w:pPr>
              <w:pStyle w:val="75"/>
              <w:bidi w:val="0"/>
            </w:pPr>
            <w:r>
              <w:rPr>
                <w:rFonts w:hint="eastAsia"/>
              </w:rPr>
              <w:t>钢桥特点</w:t>
            </w:r>
          </w:p>
        </w:tc>
        <w:tc>
          <w:tcPr>
            <w:tcW w:w="7098" w:type="dxa"/>
            <w:vAlign w:val="top"/>
          </w:tcPr>
          <w:p>
            <w:pPr>
              <w:pStyle w:val="75"/>
              <w:bidi w:val="0"/>
              <w:jc w:val="center"/>
            </w:pPr>
            <w:r>
              <w:rPr>
                <w:rFonts w:hint="eastAsia"/>
              </w:rPr>
              <w:t>交货期短，配件轻便，装配快速，可互换，可拆卸，寿命长</w:t>
            </w:r>
            <w:r>
              <w:rPr>
                <w:rFonts w:hint="eastAsia"/>
                <w:lang w:eastAsia="zh-CN"/>
              </w:rPr>
              <w:t>；</w:t>
            </w:r>
            <w:r>
              <w:rPr>
                <w:rFonts w:hint="eastAsia"/>
              </w:rPr>
              <w:t>承载能力大，寿命长。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vAlign w:val="top"/>
          </w:tcPr>
          <w:p>
            <w:pPr>
              <w:pStyle w:val="75"/>
              <w:bidi w:val="0"/>
            </w:pPr>
            <w:r>
              <w:rPr>
                <w:rFonts w:hint="eastAsia"/>
              </w:rPr>
              <w:t>通过认证</w:t>
            </w:r>
          </w:p>
        </w:tc>
        <w:tc>
          <w:tcPr>
            <w:tcW w:w="7098" w:type="dxa"/>
            <w:vAlign w:val="top"/>
          </w:tcPr>
          <w:p>
            <w:pPr>
              <w:pStyle w:val="75"/>
              <w:bidi w:val="0"/>
              <w:jc w:val="center"/>
              <w:rPr>
                <w:rFonts w:hint="eastAsia"/>
                <w:lang w:eastAsia="zh-CN"/>
              </w:rPr>
            </w:pPr>
            <w:r>
              <w:rPr>
                <w:rFonts w:hint="eastAsia"/>
              </w:rPr>
              <w:t>ISO</w:t>
            </w:r>
            <w:r>
              <w:rPr>
                <w:rFonts w:hint="eastAsia"/>
                <w:lang w:eastAsia="zh-CN"/>
              </w:rPr>
              <w:t>，</w:t>
            </w:r>
            <w:r>
              <w:rPr>
                <w:rFonts w:hint="eastAsia"/>
              </w:rPr>
              <w:t>CCIC</w:t>
            </w:r>
            <w:r>
              <w:rPr>
                <w:rFonts w:hint="eastAsia"/>
                <w:lang w:eastAsia="zh-CN"/>
              </w:rPr>
              <w:t>，</w:t>
            </w:r>
            <w:r>
              <w:rPr>
                <w:rFonts w:hint="eastAsia"/>
              </w:rPr>
              <w:t>BV</w:t>
            </w:r>
            <w:r>
              <w:rPr>
                <w:rFonts w:hint="eastAsia"/>
                <w:lang w:eastAsia="zh-CN"/>
              </w:rPr>
              <w:t>，</w:t>
            </w:r>
            <w:r>
              <w:rPr>
                <w:rFonts w:hint="eastAsia"/>
              </w:rPr>
              <w:t>SGS</w:t>
            </w:r>
            <w:r>
              <w:rPr>
                <w:rFonts w:hint="eastAsia"/>
                <w:lang w:eastAsia="zh-CN"/>
              </w:rPr>
              <w:t>，</w:t>
            </w:r>
            <w:r>
              <w:rPr>
                <w:rFonts w:hint="eastAsia"/>
              </w:rPr>
              <w:t>CNAS等</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55" w:type="dxa"/>
            <w:vAlign w:val="top"/>
          </w:tcPr>
          <w:p>
            <w:pPr>
              <w:pStyle w:val="75"/>
              <w:bidi w:val="0"/>
            </w:pPr>
            <w:r>
              <w:rPr>
                <w:rFonts w:hint="eastAsia"/>
              </w:rPr>
              <w:t>执行标准</w:t>
            </w:r>
          </w:p>
        </w:tc>
        <w:tc>
          <w:tcPr>
            <w:tcW w:w="7098" w:type="dxa"/>
            <w:vAlign w:val="top"/>
          </w:tcPr>
          <w:p>
            <w:pPr>
              <w:pStyle w:val="75"/>
              <w:bidi w:val="0"/>
              <w:jc w:val="center"/>
            </w:pPr>
            <w:r>
              <w:rPr>
                <w:rFonts w:hint="eastAsia"/>
              </w:rPr>
              <w:t>JT-T/728-2008</w:t>
            </w:r>
          </w:p>
        </w:tc>
      </w:tr>
    </w:tbl>
    <w:p>
      <w:pPr>
        <w:bidi w:val="0"/>
        <w:rPr>
          <w:rFonts w:hint="eastAsia"/>
        </w:rPr>
      </w:pPr>
    </w:p>
    <w:p>
      <w:pPr>
        <w:pStyle w:val="50"/>
        <w:bidi w:val="0"/>
        <w:rPr>
          <w:rFonts w:hint="eastAsia"/>
          <w:lang w:eastAsia="zh-CN"/>
        </w:rPr>
      </w:pPr>
      <w:r>
        <w:rPr>
          <w:rFonts w:hint="eastAsia"/>
          <w:lang w:eastAsia="zh-CN"/>
        </w:rPr>
        <w:t>321型装配式公路钢桥(贝雷桥)</w:t>
      </w:r>
    </w:p>
    <w:p>
      <w:pPr>
        <w:pStyle w:val="39"/>
        <w:bidi w:val="0"/>
        <w:rPr>
          <w:rFonts w:hint="eastAsia"/>
          <w:lang w:eastAsia="zh-CN"/>
        </w:rPr>
      </w:pPr>
      <w:r>
        <w:rPr>
          <w:rFonts w:hint="eastAsia"/>
          <w:lang w:eastAsia="zh-CN"/>
        </w:rPr>
        <w:drawing>
          <wp:inline distT="0" distB="0" distL="114300" distR="114300">
            <wp:extent cx="5280025" cy="3518535"/>
            <wp:effectExtent l="0" t="0" r="15875" b="5715"/>
            <wp:docPr id="19" name="图片 1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3"/>
                    <pic:cNvPicPr>
                      <a:picLocks noChangeAspect="1"/>
                    </pic:cNvPicPr>
                  </pic:nvPicPr>
                  <pic:blipFill>
                    <a:blip r:embed="rId8"/>
                    <a:stretch>
                      <a:fillRect/>
                    </a:stretch>
                  </pic:blipFill>
                  <pic:spPr>
                    <a:xfrm>
                      <a:off x="0" y="0"/>
                      <a:ext cx="5280025" cy="3518535"/>
                    </a:xfrm>
                    <a:prstGeom prst="rect">
                      <a:avLst/>
                    </a:prstGeom>
                  </pic:spPr>
                </pic:pic>
              </a:graphicData>
            </a:graphic>
          </wp:inline>
        </w:drawing>
      </w:r>
    </w:p>
    <w:p>
      <w:pPr>
        <w:pStyle w:val="39"/>
        <w:bidi w:val="0"/>
        <w:rPr>
          <w:rFonts w:hint="eastAsia"/>
          <w:lang w:eastAsia="zh-CN"/>
        </w:rPr>
      </w:pPr>
      <w:r>
        <w:rPr>
          <w:rFonts w:hint="eastAsia"/>
          <w:lang w:eastAsia="zh-CN"/>
        </w:rPr>
        <w:drawing>
          <wp:inline distT="0" distB="0" distL="114300" distR="114300">
            <wp:extent cx="5278120" cy="3515360"/>
            <wp:effectExtent l="0" t="0" r="17780" b="8890"/>
            <wp:docPr id="9" name="图片 9"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2"/>
                    <pic:cNvPicPr>
                      <a:picLocks noChangeAspect="1"/>
                    </pic:cNvPicPr>
                  </pic:nvPicPr>
                  <pic:blipFill>
                    <a:blip r:embed="rId9"/>
                    <a:stretch>
                      <a:fillRect/>
                    </a:stretch>
                  </pic:blipFill>
                  <pic:spPr>
                    <a:xfrm>
                      <a:off x="0" y="0"/>
                      <a:ext cx="5278120" cy="3515360"/>
                    </a:xfrm>
                    <a:prstGeom prst="rect">
                      <a:avLst/>
                    </a:prstGeom>
                  </pic:spPr>
                </pic:pic>
              </a:graphicData>
            </a:graphic>
          </wp:inline>
        </w:drawing>
      </w:r>
    </w:p>
    <w:p>
      <w:pPr>
        <w:pStyle w:val="39"/>
        <w:bidi w:val="0"/>
        <w:jc w:val="both"/>
        <w:rPr>
          <w:rFonts w:hint="eastAsia"/>
          <w:lang w:eastAsia="zh-CN"/>
        </w:rPr>
      </w:pPr>
      <w:r>
        <w:rPr>
          <w:rFonts w:hint="eastAsia"/>
          <w:lang w:eastAsia="zh-CN"/>
        </w:rPr>
        <w:t xml:space="preserve"> </w:t>
      </w:r>
    </w:p>
    <w:p>
      <w:pPr>
        <w:bidi w:val="0"/>
        <w:rPr>
          <w:rFonts w:hint="eastAsia"/>
          <w:lang w:eastAsia="zh-CN"/>
        </w:rPr>
      </w:pPr>
      <w:r>
        <w:rPr>
          <w:rFonts w:hint="eastAsia"/>
          <w:lang w:eastAsia="zh-CN"/>
        </w:rPr>
        <w:t>321型装配式钢桥，是一款经典的模块化、快速反应制式桥梁系统。该桥梁整体结构精选高强度</w:t>
      </w:r>
      <w:r>
        <w:rPr>
          <w:rFonts w:hint="eastAsia"/>
          <w:lang w:val="en-US" w:eastAsia="zh-CN"/>
        </w:rPr>
        <w:t>钢材</w:t>
      </w:r>
      <w:r>
        <w:rPr>
          <w:rFonts w:hint="eastAsia"/>
          <w:lang w:eastAsia="zh-CN"/>
        </w:rPr>
        <w:t>，通过精密的全焊接工艺制造，兼具优异的结构刚度与韧性。其核心主梁采用可分解的轻型桁架结构，节段之间通过独特的单销连接方式进行固定，这种设计不仅赋予了构件极高的标准化互换性，更大幅降低了结构自重，使得整桥的物流运输与现场拆装极为便捷，即便在缺乏大型起重设备的复杂地形下也能高效作业。</w:t>
      </w:r>
      <w:r>
        <w:t>作为一种高度成熟的</w:t>
      </w:r>
      <w:r>
        <w:rPr>
          <w:rFonts w:hint="default"/>
        </w:rPr>
        <w:t>应急交通保障解决方案，321型钢桥具备极强的适应性，可根据实际跨径需求和通载等级，广泛应用于抢险救灾、工程便道等领域。</w:t>
      </w:r>
    </w:p>
    <w:tbl>
      <w:tblPr>
        <w:tblStyle w:val="28"/>
        <w:tblW w:w="8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7"/>
        <w:gridCol w:w="6013"/>
      </w:tblGrid>
      <w:tr>
        <w:tblPrEx>
          <w:tblLayout w:type="fixed"/>
          <w:tblCellMar>
            <w:top w:w="0" w:type="dxa"/>
            <w:left w:w="108" w:type="dxa"/>
            <w:bottom w:w="0" w:type="dxa"/>
            <w:right w:w="108" w:type="dxa"/>
          </w:tblCellMar>
        </w:tblPrEx>
        <w:trPr>
          <w:trHeight w:val="90" w:hRule="atLeast"/>
        </w:trPr>
        <w:tc>
          <w:tcPr>
            <w:tcW w:w="8160" w:type="dxa"/>
            <w:gridSpan w:val="2"/>
          </w:tcPr>
          <w:p>
            <w:pPr>
              <w:pStyle w:val="64"/>
              <w:bidi w:val="0"/>
            </w:pPr>
            <w:r>
              <w:rPr>
                <w:rFonts w:hint="eastAsia"/>
              </w:rPr>
              <w:t>产品属性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tcPr>
          <w:p>
            <w:pPr>
              <w:pStyle w:val="75"/>
              <w:bidi w:val="0"/>
            </w:pPr>
            <w:r>
              <w:rPr>
                <w:rFonts w:hint="eastAsia"/>
              </w:rPr>
              <w:t>品名</w:t>
            </w:r>
          </w:p>
        </w:tc>
        <w:tc>
          <w:tcPr>
            <w:tcW w:w="6013" w:type="dxa"/>
          </w:tcPr>
          <w:p>
            <w:pPr>
              <w:pStyle w:val="75"/>
              <w:bidi w:val="0"/>
              <w:jc w:val="center"/>
            </w:pPr>
            <w:r>
              <w:rPr>
                <w:rFonts w:hint="eastAsia"/>
              </w:rPr>
              <w:t>321型装配式公路钢桥（贝雷钢桥）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tcPr>
          <w:p>
            <w:pPr>
              <w:pStyle w:val="75"/>
              <w:bidi w:val="0"/>
            </w:pPr>
            <w:r>
              <w:rPr>
                <w:rFonts w:hint="eastAsia"/>
              </w:rPr>
              <w:t>型号别名</w:t>
            </w:r>
          </w:p>
        </w:tc>
        <w:tc>
          <w:tcPr>
            <w:tcW w:w="6013" w:type="dxa"/>
          </w:tcPr>
          <w:p>
            <w:pPr>
              <w:pStyle w:val="75"/>
              <w:bidi w:val="0"/>
              <w:jc w:val="center"/>
            </w:pPr>
            <w:r>
              <w:rPr>
                <w:rFonts w:hint="eastAsia"/>
              </w:rPr>
              <w:t>100型装配式公路钢桥（贝雷钢桥）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tcPr>
          <w:p>
            <w:pPr>
              <w:pStyle w:val="75"/>
              <w:bidi w:val="0"/>
            </w:pPr>
            <w:r>
              <w:rPr>
                <w:rFonts w:hint="eastAsia"/>
              </w:rPr>
              <w:t>衍生型号</w:t>
            </w:r>
          </w:p>
        </w:tc>
        <w:tc>
          <w:tcPr>
            <w:tcW w:w="6013" w:type="dxa"/>
          </w:tcPr>
          <w:p>
            <w:pPr>
              <w:pStyle w:val="75"/>
              <w:bidi w:val="0"/>
              <w:jc w:val="center"/>
              <w:rPr>
                <w:rFonts w:hint="eastAsia" w:eastAsia="仿宋"/>
                <w:lang w:eastAsia="zh-CN"/>
              </w:rPr>
            </w:pPr>
            <w:r>
              <w:rPr>
                <w:rFonts w:hint="eastAsia"/>
              </w:rPr>
              <w:t>CB100, Compact-100</w:t>
            </w:r>
            <w:r>
              <w:rPr>
                <w:rFonts w:hint="eastAsia"/>
                <w:lang w:eastAsia="zh-CN"/>
              </w:rPr>
              <w:t>，</w:t>
            </w:r>
            <w:r>
              <w:rPr>
                <w:rFonts w:hint="eastAsia"/>
              </w:rPr>
              <w:t>英制321型</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tcPr>
          <w:p>
            <w:pPr>
              <w:pStyle w:val="75"/>
              <w:bidi w:val="0"/>
            </w:pPr>
            <w:r>
              <w:rPr>
                <w:rFonts w:hint="eastAsia"/>
              </w:rPr>
              <w:t>桁架片型号</w:t>
            </w:r>
          </w:p>
        </w:tc>
        <w:tc>
          <w:tcPr>
            <w:tcW w:w="6013" w:type="dxa"/>
          </w:tcPr>
          <w:p>
            <w:pPr>
              <w:pStyle w:val="75"/>
              <w:bidi w:val="0"/>
              <w:jc w:val="center"/>
            </w:pPr>
            <w:r>
              <w:rPr>
                <w:rFonts w:hint="eastAsia"/>
              </w:rPr>
              <w:t>321型贝雷片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tcPr>
          <w:p>
            <w:pPr>
              <w:pStyle w:val="75"/>
              <w:bidi w:val="0"/>
            </w:pPr>
            <w:r>
              <w:rPr>
                <w:rFonts w:hint="eastAsia"/>
              </w:rPr>
              <w:t>桁架片常规尺寸</w:t>
            </w:r>
          </w:p>
        </w:tc>
        <w:tc>
          <w:tcPr>
            <w:tcW w:w="6013" w:type="dxa"/>
          </w:tcPr>
          <w:p>
            <w:pPr>
              <w:pStyle w:val="75"/>
              <w:bidi w:val="0"/>
              <w:jc w:val="center"/>
            </w:pPr>
            <w:r>
              <w:rPr>
                <w:rFonts w:hint="eastAsia"/>
              </w:rPr>
              <w:t>3米</w:t>
            </w:r>
            <w:r>
              <w:rPr>
                <w:rFonts w:hint="eastAsia"/>
                <w:lang w:val="en-US" w:eastAsia="zh-CN"/>
              </w:rPr>
              <w:t>×</w:t>
            </w:r>
            <w:r>
              <w:rPr>
                <w:rFonts w:hint="eastAsia"/>
              </w:rPr>
              <w:t>1.4米（孔到孔）通常也说</w:t>
            </w:r>
            <w:r>
              <w:rPr>
                <w:rFonts w:hint="eastAsia"/>
                <w:lang w:eastAsia="zh-CN"/>
              </w:rPr>
              <w:t>：</w:t>
            </w:r>
            <w:r>
              <w:rPr>
                <w:rFonts w:hint="eastAsia"/>
              </w:rPr>
              <w:t>3米</w:t>
            </w:r>
            <w:r>
              <w:rPr>
                <w:rFonts w:hint="eastAsia"/>
                <w:lang w:val="en-US" w:eastAsia="zh-CN"/>
              </w:rPr>
              <w:t>×</w:t>
            </w:r>
            <w:r>
              <w:rPr>
                <w:rFonts w:hint="eastAsia"/>
              </w:rPr>
              <w:t>1.5米（边到边）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tcPr>
          <w:p>
            <w:pPr>
              <w:pStyle w:val="75"/>
              <w:bidi w:val="0"/>
            </w:pPr>
            <w:r>
              <w:rPr>
                <w:rFonts w:hint="eastAsia"/>
              </w:rPr>
              <w:t>钢桥设计最大跨度</w:t>
            </w:r>
          </w:p>
        </w:tc>
        <w:tc>
          <w:tcPr>
            <w:tcW w:w="6013" w:type="dxa"/>
          </w:tcPr>
          <w:p>
            <w:pPr>
              <w:pStyle w:val="75"/>
              <w:bidi w:val="0"/>
              <w:jc w:val="center"/>
            </w:pPr>
            <w:r>
              <w:rPr>
                <w:rFonts w:hint="eastAsia"/>
              </w:rPr>
              <w:t>51米单跨（若总长大于51米，可做多跨连续梁，也可选择200型，GWD型钢桥）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tcPr>
          <w:p>
            <w:pPr>
              <w:pStyle w:val="75"/>
              <w:bidi w:val="0"/>
            </w:pPr>
            <w:r>
              <w:rPr>
                <w:rFonts w:hint="eastAsia"/>
              </w:rPr>
              <w:t>钢桥标准车道净宽</w:t>
            </w:r>
          </w:p>
        </w:tc>
        <w:tc>
          <w:tcPr>
            <w:tcW w:w="6013" w:type="dxa"/>
          </w:tcPr>
          <w:p>
            <w:pPr>
              <w:pStyle w:val="75"/>
              <w:bidi w:val="0"/>
              <w:jc w:val="center"/>
            </w:pPr>
            <w:r>
              <w:rPr>
                <w:rFonts w:hint="eastAsia"/>
              </w:rPr>
              <w:t>4米单车道（也可根据客户需求特制）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tcPr>
          <w:p>
            <w:pPr>
              <w:pStyle w:val="75"/>
              <w:bidi w:val="0"/>
            </w:pPr>
            <w:r>
              <w:rPr>
                <w:rFonts w:hint="eastAsia"/>
              </w:rPr>
              <w:t>荷载等级</w:t>
            </w:r>
          </w:p>
        </w:tc>
        <w:tc>
          <w:tcPr>
            <w:tcW w:w="6013" w:type="dxa"/>
          </w:tcPr>
          <w:p>
            <w:pPr>
              <w:pStyle w:val="75"/>
              <w:bidi w:val="0"/>
              <w:jc w:val="center"/>
              <w:rPr>
                <w:rFonts w:hint="eastAsia"/>
                <w:lang w:eastAsia="zh-CN"/>
              </w:rPr>
            </w:pPr>
            <w:r>
              <w:rPr>
                <w:rFonts w:hint="eastAsia"/>
              </w:rPr>
              <w:t>汽车10级汽车15级</w:t>
            </w:r>
            <w:r>
              <w:rPr>
                <w:rFonts w:hint="eastAsia"/>
                <w:lang w:eastAsia="zh-CN"/>
              </w:rPr>
              <w:t>；</w:t>
            </w:r>
            <w:r>
              <w:rPr>
                <w:rFonts w:hint="eastAsia"/>
              </w:rPr>
              <w:t>汽车20级</w:t>
            </w:r>
            <w:r>
              <w:rPr>
                <w:rFonts w:hint="eastAsia"/>
                <w:lang w:eastAsia="zh-CN"/>
              </w:rPr>
              <w:t>；</w:t>
            </w:r>
            <w:r>
              <w:rPr>
                <w:rFonts w:hint="eastAsia"/>
              </w:rPr>
              <w:t>履带-50级</w:t>
            </w:r>
            <w:r>
              <w:rPr>
                <w:rFonts w:hint="eastAsia"/>
                <w:lang w:eastAsia="zh-CN"/>
              </w:rPr>
              <w:t>；</w:t>
            </w:r>
            <w:r>
              <w:rPr>
                <w:rFonts w:hint="eastAsia"/>
              </w:rPr>
              <w:t>挂车-80级</w:t>
            </w:r>
            <w:r>
              <w:rPr>
                <w:rFonts w:hint="eastAsia"/>
                <w:lang w:eastAsia="zh-CN"/>
              </w:rPr>
              <w:t>；</w:t>
            </w:r>
            <w:r>
              <w:rPr>
                <w:rFonts w:hint="eastAsia"/>
              </w:rPr>
              <w:t>单车40吨</w:t>
            </w:r>
            <w:r>
              <w:rPr>
                <w:rFonts w:hint="eastAsia"/>
                <w:lang w:eastAsia="zh-CN"/>
              </w:rPr>
              <w:t>；</w:t>
            </w:r>
            <w:r>
              <w:rPr>
                <w:rFonts w:hint="eastAsia"/>
              </w:rPr>
              <w:t>AASHTO HS20,HS25-44,HL93,BS5400 HA + HB</w:t>
            </w:r>
            <w:r>
              <w:rPr>
                <w:rFonts w:hint="eastAsia"/>
                <w:lang w:eastAsia="zh-CN"/>
              </w:rPr>
              <w:t>；</w:t>
            </w:r>
            <w:r>
              <w:rPr>
                <w:rFonts w:hint="eastAsia"/>
              </w:rPr>
              <w:t>域-A</w:t>
            </w:r>
            <w:r>
              <w:rPr>
                <w:rFonts w:hint="eastAsia"/>
                <w:lang w:eastAsia="zh-CN"/>
              </w:rPr>
              <w:t>；</w:t>
            </w:r>
            <w:r>
              <w:rPr>
                <w:rFonts w:hint="eastAsia"/>
              </w:rPr>
              <w:t>域-B</w:t>
            </w:r>
            <w:r>
              <w:rPr>
                <w:rFonts w:hint="eastAsia"/>
                <w:lang w:eastAsia="zh-CN"/>
              </w:rPr>
              <w:t>；</w:t>
            </w:r>
            <w:r>
              <w:rPr>
                <w:rFonts w:hint="eastAsia"/>
              </w:rPr>
              <w:t>公路-I级</w:t>
            </w:r>
            <w:r>
              <w:rPr>
                <w:rFonts w:hint="eastAsia"/>
                <w:lang w:eastAsia="zh-CN"/>
              </w:rPr>
              <w:t>；</w:t>
            </w:r>
            <w:r>
              <w:rPr>
                <w:rFonts w:hint="eastAsia"/>
              </w:rPr>
              <w:t>公路-II级</w:t>
            </w:r>
            <w:r>
              <w:rPr>
                <w:rFonts w:hint="eastAsia"/>
                <w:lang w:eastAsia="zh-CN"/>
              </w:rPr>
              <w:t>；</w:t>
            </w:r>
            <w:r>
              <w:rPr>
                <w:rFonts w:hint="eastAsia"/>
              </w:rPr>
              <w:t>印度标准Class-40</w:t>
            </w:r>
            <w:r>
              <w:rPr>
                <w:rFonts w:hint="eastAsia"/>
                <w:lang w:eastAsia="zh-CN"/>
              </w:rPr>
              <w:t>；</w:t>
            </w:r>
            <w:r>
              <w:rPr>
                <w:rFonts w:hint="eastAsia"/>
              </w:rPr>
              <w:t>澳大利亚标准T44</w:t>
            </w:r>
            <w:r>
              <w:rPr>
                <w:rFonts w:hint="eastAsia"/>
                <w:lang w:eastAsia="zh-CN"/>
              </w:rPr>
              <w:t>；</w:t>
            </w:r>
            <w:r>
              <w:rPr>
                <w:rFonts w:hint="eastAsia"/>
              </w:rPr>
              <w:t>韩国标准D24 等</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vAlign w:val="top"/>
          </w:tcPr>
          <w:p>
            <w:pPr>
              <w:pStyle w:val="75"/>
              <w:bidi w:val="0"/>
              <w:rPr>
                <w:rFonts w:hint="eastAsia"/>
              </w:rPr>
            </w:pPr>
            <w:r>
              <w:rPr>
                <w:rFonts w:hint="eastAsia"/>
              </w:rPr>
              <w:t>钢桥主要材质</w:t>
            </w:r>
          </w:p>
        </w:tc>
        <w:tc>
          <w:tcPr>
            <w:tcW w:w="6013" w:type="dxa"/>
            <w:vAlign w:val="top"/>
          </w:tcPr>
          <w:p>
            <w:pPr>
              <w:pStyle w:val="75"/>
              <w:bidi w:val="0"/>
              <w:jc w:val="center"/>
              <w:rPr>
                <w:rFonts w:hint="eastAsia"/>
              </w:rPr>
            </w:pPr>
            <w:r>
              <w:rPr>
                <w:rFonts w:hint="eastAsia"/>
              </w:rPr>
              <w:t>GB Q345B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vAlign w:val="top"/>
          </w:tcPr>
          <w:p>
            <w:pPr>
              <w:pStyle w:val="75"/>
              <w:bidi w:val="0"/>
              <w:rPr>
                <w:rFonts w:hint="eastAsia"/>
              </w:rPr>
            </w:pPr>
            <w:r>
              <w:rPr>
                <w:rFonts w:hint="eastAsia"/>
              </w:rPr>
              <w:t>连接销子材质</w:t>
            </w:r>
          </w:p>
        </w:tc>
        <w:tc>
          <w:tcPr>
            <w:tcW w:w="6013" w:type="dxa"/>
            <w:vAlign w:val="top"/>
          </w:tcPr>
          <w:p>
            <w:pPr>
              <w:pStyle w:val="75"/>
              <w:bidi w:val="0"/>
              <w:jc w:val="center"/>
              <w:rPr>
                <w:rFonts w:hint="eastAsia"/>
              </w:rPr>
            </w:pPr>
            <w:r>
              <w:rPr>
                <w:rFonts w:hint="eastAsia"/>
              </w:rPr>
              <w:t>30CrMnTi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vAlign w:val="top"/>
          </w:tcPr>
          <w:p>
            <w:pPr>
              <w:pStyle w:val="75"/>
              <w:bidi w:val="0"/>
              <w:rPr>
                <w:rFonts w:hint="eastAsia"/>
              </w:rPr>
            </w:pPr>
            <w:r>
              <w:rPr>
                <w:rFonts w:hint="eastAsia"/>
              </w:rPr>
              <w:t>连接螺栓等级</w:t>
            </w:r>
          </w:p>
        </w:tc>
        <w:tc>
          <w:tcPr>
            <w:tcW w:w="6013" w:type="dxa"/>
            <w:vAlign w:val="top"/>
          </w:tcPr>
          <w:p>
            <w:pPr>
              <w:pStyle w:val="75"/>
              <w:bidi w:val="0"/>
              <w:jc w:val="center"/>
              <w:rPr>
                <w:rFonts w:hint="eastAsia"/>
              </w:rPr>
            </w:pPr>
            <w:r>
              <w:rPr>
                <w:rFonts w:hint="eastAsia"/>
              </w:rPr>
              <w:t>8.8级高强螺栓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vAlign w:val="top"/>
          </w:tcPr>
          <w:p>
            <w:pPr>
              <w:pStyle w:val="75"/>
              <w:bidi w:val="0"/>
              <w:rPr>
                <w:rFonts w:hint="eastAsia"/>
              </w:rPr>
            </w:pPr>
            <w:r>
              <w:rPr>
                <w:rFonts w:hint="eastAsia"/>
              </w:rPr>
              <w:t>表面防腐</w:t>
            </w:r>
          </w:p>
        </w:tc>
        <w:tc>
          <w:tcPr>
            <w:tcW w:w="6013" w:type="dxa"/>
            <w:vAlign w:val="top"/>
          </w:tcPr>
          <w:p>
            <w:pPr>
              <w:pStyle w:val="75"/>
              <w:bidi w:val="0"/>
              <w:jc w:val="center"/>
              <w:rPr>
                <w:rFonts w:hint="eastAsia"/>
              </w:rPr>
            </w:pPr>
            <w:r>
              <w:rPr>
                <w:rFonts w:hint="eastAsia"/>
              </w:rPr>
              <w:t>热镀锌；油漆；钢结构重型防腐油漆；沥青漆；桥面板防滑骨料处理等。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vAlign w:val="top"/>
          </w:tcPr>
          <w:p>
            <w:pPr>
              <w:pStyle w:val="75"/>
              <w:bidi w:val="0"/>
              <w:rPr>
                <w:rFonts w:hint="eastAsia"/>
              </w:rPr>
            </w:pPr>
            <w:r>
              <w:rPr>
                <w:rFonts w:hint="eastAsia"/>
              </w:rPr>
              <w:t>桥梁架设方法</w:t>
            </w:r>
          </w:p>
        </w:tc>
        <w:tc>
          <w:tcPr>
            <w:tcW w:w="6013" w:type="dxa"/>
            <w:vAlign w:val="top"/>
          </w:tcPr>
          <w:p>
            <w:pPr>
              <w:pStyle w:val="75"/>
              <w:bidi w:val="0"/>
              <w:jc w:val="center"/>
              <w:rPr>
                <w:rFonts w:hint="eastAsia"/>
              </w:rPr>
            </w:pPr>
            <w:r>
              <w:rPr>
                <w:rFonts w:hint="eastAsia"/>
              </w:rPr>
              <w:t>悬臂推出法</w:t>
            </w:r>
            <w:r>
              <w:rPr>
                <w:rFonts w:hint="eastAsia"/>
                <w:lang w:eastAsia="zh-CN"/>
              </w:rPr>
              <w:t>；</w:t>
            </w:r>
            <w:r>
              <w:rPr>
                <w:rFonts w:hint="eastAsia"/>
              </w:rPr>
              <w:t>吊装法</w:t>
            </w:r>
            <w:r>
              <w:rPr>
                <w:rFonts w:hint="eastAsia"/>
                <w:lang w:eastAsia="zh-CN"/>
              </w:rPr>
              <w:t>；</w:t>
            </w:r>
            <w:r>
              <w:rPr>
                <w:rFonts w:hint="eastAsia"/>
              </w:rPr>
              <w:t>浮运法</w:t>
            </w:r>
            <w:r>
              <w:rPr>
                <w:rFonts w:hint="eastAsia"/>
                <w:lang w:eastAsia="zh-CN"/>
              </w:rPr>
              <w:t>；</w:t>
            </w:r>
            <w:r>
              <w:rPr>
                <w:rFonts w:hint="eastAsia"/>
              </w:rPr>
              <w:t>就地拼装法；堆土施工法等。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vAlign w:val="top"/>
          </w:tcPr>
          <w:p>
            <w:pPr>
              <w:pStyle w:val="75"/>
              <w:bidi w:val="0"/>
              <w:rPr>
                <w:rFonts w:hint="eastAsia"/>
              </w:rPr>
            </w:pPr>
            <w:r>
              <w:rPr>
                <w:rFonts w:hint="eastAsia"/>
              </w:rPr>
              <w:t>安装需要时间</w:t>
            </w:r>
          </w:p>
        </w:tc>
        <w:tc>
          <w:tcPr>
            <w:tcW w:w="6013" w:type="dxa"/>
            <w:vAlign w:val="top"/>
          </w:tcPr>
          <w:p>
            <w:pPr>
              <w:pStyle w:val="75"/>
              <w:bidi w:val="0"/>
              <w:jc w:val="center"/>
              <w:rPr>
                <w:rFonts w:hint="eastAsia"/>
              </w:rPr>
            </w:pPr>
            <w:r>
              <w:rPr>
                <w:rFonts w:hint="eastAsia"/>
              </w:rPr>
              <w:t>桥台等条件具备后7-14个晴天日（根据桥梁长度和现场条件确定）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vAlign w:val="top"/>
          </w:tcPr>
          <w:p>
            <w:pPr>
              <w:pStyle w:val="75"/>
              <w:bidi w:val="0"/>
              <w:rPr>
                <w:rFonts w:hint="eastAsia"/>
              </w:rPr>
            </w:pPr>
            <w:r>
              <w:rPr>
                <w:rFonts w:hint="eastAsia"/>
              </w:rPr>
              <w:t>安装需要工人</w:t>
            </w:r>
          </w:p>
        </w:tc>
        <w:tc>
          <w:tcPr>
            <w:tcW w:w="6013" w:type="dxa"/>
            <w:vAlign w:val="top"/>
          </w:tcPr>
          <w:p>
            <w:pPr>
              <w:pStyle w:val="75"/>
              <w:bidi w:val="0"/>
              <w:jc w:val="center"/>
              <w:rPr>
                <w:rFonts w:hint="eastAsia"/>
              </w:rPr>
            </w:pPr>
            <w:r>
              <w:rPr>
                <w:rFonts w:hint="eastAsia"/>
              </w:rPr>
              <w:t>6-8名（根据现场条件确定）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vAlign w:val="top"/>
          </w:tcPr>
          <w:p>
            <w:pPr>
              <w:pStyle w:val="75"/>
              <w:bidi w:val="0"/>
              <w:rPr>
                <w:rFonts w:hint="eastAsia"/>
              </w:rPr>
            </w:pPr>
            <w:r>
              <w:rPr>
                <w:rFonts w:hint="eastAsia"/>
              </w:rPr>
              <w:t>安装需要设备</w:t>
            </w:r>
          </w:p>
        </w:tc>
        <w:tc>
          <w:tcPr>
            <w:tcW w:w="6013" w:type="dxa"/>
            <w:vAlign w:val="top"/>
          </w:tcPr>
          <w:p>
            <w:pPr>
              <w:pStyle w:val="75"/>
              <w:bidi w:val="0"/>
              <w:jc w:val="center"/>
              <w:rPr>
                <w:rFonts w:hint="eastAsia"/>
              </w:rPr>
            </w:pPr>
            <w:r>
              <w:rPr>
                <w:rFonts w:hint="eastAsia"/>
              </w:rPr>
              <w:t>吊车，卷扬机，千斤顶，手拉葫芦等。（可根据现场条件调整）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vAlign w:val="top"/>
          </w:tcPr>
          <w:p>
            <w:pPr>
              <w:pStyle w:val="75"/>
              <w:bidi w:val="0"/>
              <w:rPr>
                <w:rFonts w:hint="eastAsia"/>
              </w:rPr>
            </w:pPr>
            <w:r>
              <w:rPr>
                <w:rFonts w:hint="eastAsia"/>
              </w:rPr>
              <w:t>钢桥特点</w:t>
            </w:r>
          </w:p>
        </w:tc>
        <w:tc>
          <w:tcPr>
            <w:tcW w:w="6013" w:type="dxa"/>
            <w:vAlign w:val="top"/>
          </w:tcPr>
          <w:p>
            <w:pPr>
              <w:pStyle w:val="75"/>
              <w:bidi w:val="0"/>
              <w:jc w:val="center"/>
              <w:rPr>
                <w:rFonts w:hint="eastAsia" w:eastAsia="仿宋"/>
                <w:lang w:eastAsia="zh-CN"/>
              </w:rPr>
            </w:pPr>
            <w:r>
              <w:rPr>
                <w:rFonts w:hint="eastAsia"/>
              </w:rPr>
              <w:t>交货期短，配件轻便，装配快速，可互换，可拆卸，寿命长</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vAlign w:val="top"/>
          </w:tcPr>
          <w:p>
            <w:pPr>
              <w:pStyle w:val="75"/>
              <w:bidi w:val="0"/>
              <w:rPr>
                <w:rFonts w:hint="eastAsia"/>
              </w:rPr>
            </w:pPr>
            <w:r>
              <w:rPr>
                <w:rFonts w:hint="eastAsia"/>
              </w:rPr>
              <w:t>通过认证</w:t>
            </w:r>
          </w:p>
        </w:tc>
        <w:tc>
          <w:tcPr>
            <w:tcW w:w="6013" w:type="dxa"/>
            <w:vAlign w:val="top"/>
          </w:tcPr>
          <w:p>
            <w:pPr>
              <w:pStyle w:val="75"/>
              <w:bidi w:val="0"/>
              <w:jc w:val="center"/>
              <w:rPr>
                <w:rFonts w:hint="eastAsia"/>
              </w:rPr>
            </w:pPr>
            <w:r>
              <w:rPr>
                <w:rFonts w:hint="eastAsia"/>
              </w:rPr>
              <w:t>ISO, CCIC, BV,SGS, CNAS等.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2147" w:type="dxa"/>
            <w:vAlign w:val="top"/>
          </w:tcPr>
          <w:p>
            <w:pPr>
              <w:pStyle w:val="75"/>
              <w:bidi w:val="0"/>
              <w:rPr>
                <w:rFonts w:hint="eastAsia"/>
              </w:rPr>
            </w:pPr>
            <w:r>
              <w:rPr>
                <w:rFonts w:hint="eastAsia"/>
              </w:rPr>
              <w:t>执行标准</w:t>
            </w:r>
          </w:p>
        </w:tc>
        <w:tc>
          <w:tcPr>
            <w:tcW w:w="6013" w:type="dxa"/>
            <w:vAlign w:val="top"/>
          </w:tcPr>
          <w:p>
            <w:pPr>
              <w:pStyle w:val="75"/>
              <w:bidi w:val="0"/>
              <w:jc w:val="center"/>
              <w:rPr>
                <w:rFonts w:hint="eastAsia"/>
              </w:rPr>
            </w:pPr>
            <w:r>
              <w:rPr>
                <w:rFonts w:hint="eastAsia"/>
              </w:rPr>
              <w:t>JT-T/728-2008</w:t>
            </w:r>
          </w:p>
        </w:tc>
      </w:tr>
    </w:tbl>
    <w:p>
      <w:pPr>
        <w:bidi w:val="0"/>
        <w:rPr>
          <w:rFonts w:hint="eastAsia"/>
          <w:lang w:eastAsia="zh-CN"/>
        </w:rPr>
      </w:pPr>
    </w:p>
    <w:p>
      <w:pPr>
        <w:pStyle w:val="50"/>
        <w:bidi w:val="0"/>
      </w:pPr>
      <w:r>
        <w:rPr>
          <w:rFonts w:hint="eastAsia"/>
        </w:rPr>
        <w:t>贝雷人行桥</w:t>
      </w:r>
    </w:p>
    <w:p>
      <w:pPr>
        <w:pStyle w:val="39"/>
        <w:bidi w:val="0"/>
        <w:rPr>
          <w:rFonts w:hint="eastAsia" w:eastAsia="宋体"/>
          <w:lang w:eastAsia="zh-CN"/>
        </w:rPr>
      </w:pPr>
      <w:r>
        <w:rPr>
          <w:rFonts w:hint="eastAsia" w:eastAsia="宋体"/>
          <w:lang w:eastAsia="zh-CN"/>
        </w:rPr>
        <w:drawing>
          <wp:inline distT="0" distB="0" distL="114300" distR="114300">
            <wp:extent cx="5274310" cy="3648710"/>
            <wp:effectExtent l="0" t="0" r="2540" b="8890"/>
            <wp:docPr id="20" name="图片 20"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5"/>
                    <pic:cNvPicPr>
                      <a:picLocks noChangeAspect="1"/>
                    </pic:cNvPicPr>
                  </pic:nvPicPr>
                  <pic:blipFill>
                    <a:blip r:embed="rId10"/>
                    <a:stretch>
                      <a:fillRect/>
                    </a:stretch>
                  </pic:blipFill>
                  <pic:spPr>
                    <a:xfrm>
                      <a:off x="0" y="0"/>
                      <a:ext cx="5274310" cy="3648710"/>
                    </a:xfrm>
                    <a:prstGeom prst="rect">
                      <a:avLst/>
                    </a:prstGeom>
                  </pic:spPr>
                </pic:pic>
              </a:graphicData>
            </a:graphic>
          </wp:inline>
        </w:drawing>
      </w:r>
    </w:p>
    <w:p>
      <w:pPr>
        <w:pStyle w:val="39"/>
        <w:bidi w:val="0"/>
        <w:rPr>
          <w:rFonts w:hint="eastAsia" w:eastAsia="宋体"/>
          <w:lang w:eastAsia="zh-CN"/>
        </w:rPr>
      </w:pPr>
      <w:r>
        <w:rPr>
          <w:rFonts w:hint="eastAsia" w:eastAsia="宋体"/>
          <w:lang w:eastAsia="zh-CN"/>
        </w:rPr>
        <w:drawing>
          <wp:inline distT="0" distB="0" distL="114300" distR="114300">
            <wp:extent cx="5277485" cy="3686175"/>
            <wp:effectExtent l="0" t="0" r="18415" b="9525"/>
            <wp:docPr id="21" name="图片 21"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4"/>
                    <pic:cNvPicPr>
                      <a:picLocks noChangeAspect="1"/>
                    </pic:cNvPicPr>
                  </pic:nvPicPr>
                  <pic:blipFill>
                    <a:blip r:embed="rId11"/>
                    <a:stretch>
                      <a:fillRect/>
                    </a:stretch>
                  </pic:blipFill>
                  <pic:spPr>
                    <a:xfrm>
                      <a:off x="0" y="0"/>
                      <a:ext cx="5277485" cy="3686175"/>
                    </a:xfrm>
                    <a:prstGeom prst="rect">
                      <a:avLst/>
                    </a:prstGeom>
                  </pic:spPr>
                </pic:pic>
              </a:graphicData>
            </a:graphic>
          </wp:inline>
        </w:drawing>
      </w:r>
    </w:p>
    <w:p>
      <w:pPr>
        <w:bidi w:val="0"/>
        <w:rPr>
          <w:rFonts w:hint="eastAsia"/>
          <w:lang w:eastAsia="zh-CN"/>
        </w:rPr>
      </w:pPr>
      <w:r>
        <w:rPr>
          <w:rFonts w:hint="eastAsia"/>
          <w:lang w:eastAsia="zh-CN"/>
        </w:rPr>
        <w:t>装配式人行贝雷桥是一款基于经典贝雷片结构优化设计的模块化钢桥系统，专为满足现代城市建设、景区开发及应急抢险中的人行通行需求而打造。该产品采用高强度钢材预制构件，通过销轴连接实现快速拼装，具备结构轻盈、承载力强、跨度适应性广等特点。无论是跨越河流、公路还是峡谷，其灵活的结构形式都能在极短的工期内完成架设。</w:t>
      </w:r>
    </w:p>
    <w:p>
      <w:pPr>
        <w:bidi w:val="0"/>
        <w:rPr>
          <w:rFonts w:hint="eastAsia"/>
          <w:lang w:eastAsia="zh-CN"/>
        </w:rPr>
      </w:pPr>
      <w:r>
        <w:rPr>
          <w:rFonts w:hint="eastAsia"/>
          <w:lang w:eastAsia="zh-CN"/>
        </w:rPr>
        <w:t>除了卓越的工程性能，人行贝雷桥还兼顾了美观与耐用性。桥体经过专业的防腐处理，能够适应各种恶劣气候环境，维护成本低廉，使用寿命长。</w:t>
      </w:r>
    </w:p>
    <w:tbl>
      <w:tblPr>
        <w:tblStyle w:val="2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7"/>
        <w:gridCol w:w="5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pStyle w:val="64"/>
              <w:bidi w:val="0"/>
            </w:pPr>
            <w:r>
              <w:rPr>
                <w:rFonts w:hint="eastAsia"/>
              </w:rPr>
              <w:t>产品属性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品名</w:t>
            </w:r>
          </w:p>
        </w:tc>
        <w:tc>
          <w:tcPr>
            <w:tcW w:w="5855" w:type="dxa"/>
          </w:tcPr>
          <w:p>
            <w:pPr>
              <w:pStyle w:val="75"/>
              <w:bidi w:val="0"/>
              <w:jc w:val="center"/>
            </w:pPr>
            <w:r>
              <w:rPr>
                <w:rFonts w:hint="eastAsia"/>
              </w:rPr>
              <w:t>装配式人行桥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别称</w:t>
            </w:r>
          </w:p>
        </w:tc>
        <w:tc>
          <w:tcPr>
            <w:tcW w:w="5855" w:type="dxa"/>
          </w:tcPr>
          <w:p>
            <w:pPr>
              <w:pStyle w:val="75"/>
              <w:bidi w:val="0"/>
              <w:jc w:val="center"/>
            </w:pPr>
            <w:r>
              <w:rPr>
                <w:rFonts w:hint="eastAsia"/>
              </w:rPr>
              <w:t>人行道；钢结构人行桥；城市人行桥；钢便桥；临时便道；临时便桥；贝雷人行桥；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型号</w:t>
            </w:r>
          </w:p>
        </w:tc>
        <w:tc>
          <w:tcPr>
            <w:tcW w:w="5855" w:type="dxa"/>
          </w:tcPr>
          <w:p>
            <w:pPr>
              <w:pStyle w:val="75"/>
              <w:bidi w:val="0"/>
              <w:jc w:val="center"/>
            </w:pPr>
            <w:r>
              <w:rPr>
                <w:rFonts w:hint="eastAsia"/>
              </w:rPr>
              <w:t>321型；200型；GWD型；特制钢架等。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常用架片型号</w:t>
            </w:r>
          </w:p>
        </w:tc>
        <w:tc>
          <w:tcPr>
            <w:tcW w:w="5855" w:type="dxa"/>
          </w:tcPr>
          <w:p>
            <w:pPr>
              <w:pStyle w:val="75"/>
              <w:bidi w:val="0"/>
              <w:jc w:val="center"/>
            </w:pPr>
            <w:r>
              <w:rPr>
                <w:rFonts w:hint="eastAsia"/>
              </w:rPr>
              <w:t>321型贝雷片；200型贝雷片；GWD型贝雷片等。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钢桥设计最大单跨</w:t>
            </w:r>
          </w:p>
        </w:tc>
        <w:tc>
          <w:tcPr>
            <w:tcW w:w="5855" w:type="dxa"/>
          </w:tcPr>
          <w:p>
            <w:pPr>
              <w:pStyle w:val="75"/>
              <w:bidi w:val="0"/>
              <w:jc w:val="center"/>
            </w:pPr>
            <w:r>
              <w:rPr>
                <w:rFonts w:hint="eastAsia"/>
              </w:rPr>
              <w:t>60米左右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钢桥标准车道净宽</w:t>
            </w:r>
          </w:p>
        </w:tc>
        <w:tc>
          <w:tcPr>
            <w:tcW w:w="5855" w:type="dxa"/>
          </w:tcPr>
          <w:p>
            <w:pPr>
              <w:pStyle w:val="75"/>
              <w:bidi w:val="0"/>
              <w:jc w:val="center"/>
            </w:pPr>
            <w:r>
              <w:rPr>
                <w:rFonts w:hint="eastAsia"/>
              </w:rPr>
              <w:t>1.2米，1.5米，2米或者根据需求定制。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荷载等级</w:t>
            </w:r>
          </w:p>
        </w:tc>
        <w:tc>
          <w:tcPr>
            <w:tcW w:w="5855" w:type="dxa"/>
          </w:tcPr>
          <w:p>
            <w:pPr>
              <w:pStyle w:val="75"/>
              <w:bidi w:val="0"/>
              <w:jc w:val="center"/>
            </w:pPr>
            <w:r>
              <w:rPr>
                <w:rFonts w:hint="eastAsia"/>
              </w:rPr>
              <w:t>人群荷载或者小型车辆通行。一股不超过5吨。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设计方案</w:t>
            </w:r>
          </w:p>
        </w:tc>
        <w:tc>
          <w:tcPr>
            <w:tcW w:w="5855" w:type="dxa"/>
          </w:tcPr>
          <w:p>
            <w:pPr>
              <w:pStyle w:val="75"/>
              <w:bidi w:val="0"/>
              <w:jc w:val="center"/>
            </w:pPr>
            <w:r>
              <w:rPr>
                <w:rFonts w:hint="eastAsia"/>
              </w:rPr>
              <w:t>根据跨径与荷载的不同选择合适的组排。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钢桥主要材质</w:t>
            </w:r>
          </w:p>
        </w:tc>
        <w:tc>
          <w:tcPr>
            <w:tcW w:w="5855" w:type="dxa"/>
          </w:tcPr>
          <w:p>
            <w:pPr>
              <w:pStyle w:val="75"/>
              <w:bidi w:val="0"/>
              <w:jc w:val="center"/>
            </w:pPr>
            <w:r>
              <w:rPr>
                <w:rFonts w:hint="eastAsia"/>
              </w:rPr>
              <w:t>GB Q345B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连接销子材质</w:t>
            </w:r>
          </w:p>
        </w:tc>
        <w:tc>
          <w:tcPr>
            <w:tcW w:w="5855" w:type="dxa"/>
          </w:tcPr>
          <w:p>
            <w:pPr>
              <w:pStyle w:val="75"/>
              <w:bidi w:val="0"/>
              <w:jc w:val="center"/>
            </w:pPr>
            <w:r>
              <w:rPr>
                <w:rFonts w:hint="eastAsia"/>
              </w:rPr>
              <w:t>30CrM</w:t>
            </w:r>
            <w:r>
              <w:rPr>
                <w:rFonts w:hint="eastAsia"/>
                <w:lang w:val="en-US" w:eastAsia="zh-CN"/>
              </w:rPr>
              <w:t>n</w:t>
            </w:r>
            <w:r>
              <w:rPr>
                <w:rFonts w:hint="eastAsia"/>
              </w:rPr>
              <w:t>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连接螺栓等级</w:t>
            </w:r>
          </w:p>
        </w:tc>
        <w:tc>
          <w:tcPr>
            <w:tcW w:w="5855" w:type="dxa"/>
          </w:tcPr>
          <w:p>
            <w:pPr>
              <w:pStyle w:val="75"/>
              <w:bidi w:val="0"/>
              <w:jc w:val="center"/>
            </w:pPr>
            <w:r>
              <w:rPr>
                <w:rFonts w:hint="eastAsia"/>
              </w:rPr>
              <w:t>8.8级高强螺栓；G10.9级高强螺栓。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表面防腐</w:t>
            </w:r>
          </w:p>
        </w:tc>
        <w:tc>
          <w:tcPr>
            <w:tcW w:w="5855" w:type="dxa"/>
          </w:tcPr>
          <w:p>
            <w:pPr>
              <w:pStyle w:val="75"/>
              <w:bidi w:val="0"/>
              <w:jc w:val="center"/>
            </w:pPr>
            <w:r>
              <w:rPr>
                <w:rFonts w:hint="eastAsia"/>
              </w:rPr>
              <w:t>热镀锌；油漆；钢结构重型防腐油漆；沥青漆；桥面板防滑骨料处理等。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桥梁架设方法</w:t>
            </w:r>
          </w:p>
        </w:tc>
        <w:tc>
          <w:tcPr>
            <w:tcW w:w="5855" w:type="dxa"/>
          </w:tcPr>
          <w:p>
            <w:pPr>
              <w:pStyle w:val="75"/>
              <w:bidi w:val="0"/>
              <w:jc w:val="center"/>
            </w:pPr>
            <w:r>
              <w:rPr>
                <w:rFonts w:hint="eastAsia"/>
              </w:rPr>
              <w:t>悬臂推出法；就地拼装法；堆土施工法；吊装法；浮运法等。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安装需要时间</w:t>
            </w:r>
          </w:p>
        </w:tc>
        <w:tc>
          <w:tcPr>
            <w:tcW w:w="5855" w:type="dxa"/>
          </w:tcPr>
          <w:p>
            <w:pPr>
              <w:pStyle w:val="75"/>
              <w:bidi w:val="0"/>
              <w:jc w:val="center"/>
            </w:pPr>
            <w:r>
              <w:rPr>
                <w:rFonts w:hint="eastAsia"/>
              </w:rPr>
              <w:t>桥台等条件具备后3-7个晴天日（根据桥梁长度和现场条件确定）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安装需要工人</w:t>
            </w:r>
          </w:p>
        </w:tc>
        <w:tc>
          <w:tcPr>
            <w:tcW w:w="5855" w:type="dxa"/>
          </w:tcPr>
          <w:p>
            <w:pPr>
              <w:pStyle w:val="75"/>
              <w:bidi w:val="0"/>
              <w:jc w:val="center"/>
            </w:pPr>
            <w:r>
              <w:rPr>
                <w:rFonts w:hint="eastAsia"/>
              </w:rPr>
              <w:t>5-6名（根据现场条件确定）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安装需要设备</w:t>
            </w:r>
          </w:p>
        </w:tc>
        <w:tc>
          <w:tcPr>
            <w:tcW w:w="5855" w:type="dxa"/>
          </w:tcPr>
          <w:p>
            <w:pPr>
              <w:pStyle w:val="75"/>
              <w:bidi w:val="0"/>
              <w:jc w:val="center"/>
            </w:pPr>
            <w:r>
              <w:rPr>
                <w:rFonts w:hint="eastAsia"/>
              </w:rPr>
              <w:t>吊车，卷扬机，千斤顶，手拉葫芦，焊机，发电机等。（可根据现场条件调整）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钢桥特点</w:t>
            </w:r>
          </w:p>
        </w:tc>
        <w:tc>
          <w:tcPr>
            <w:tcW w:w="5855" w:type="dxa"/>
          </w:tcPr>
          <w:p>
            <w:pPr>
              <w:pStyle w:val="75"/>
              <w:bidi w:val="0"/>
              <w:jc w:val="center"/>
            </w:pPr>
            <w:r>
              <w:rPr>
                <w:rFonts w:hint="eastAsia"/>
              </w:rPr>
              <w:t>造价低，外形美观，配件轻便，装配迅速，可互换，可拆卸，寿命长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通过认证</w:t>
            </w:r>
          </w:p>
        </w:tc>
        <w:tc>
          <w:tcPr>
            <w:tcW w:w="5855" w:type="dxa"/>
          </w:tcPr>
          <w:p>
            <w:pPr>
              <w:pStyle w:val="75"/>
              <w:bidi w:val="0"/>
              <w:jc w:val="center"/>
            </w:pPr>
            <w:r>
              <w:rPr>
                <w:rFonts w:hint="eastAsia"/>
              </w:rPr>
              <w:t>ISO</w:t>
            </w:r>
            <w:r>
              <w:rPr>
                <w:rFonts w:hint="eastAsia"/>
                <w:lang w:eastAsia="zh-CN"/>
              </w:rPr>
              <w:t>，</w:t>
            </w:r>
            <w:r>
              <w:rPr>
                <w:rFonts w:hint="eastAsia"/>
              </w:rPr>
              <w:t>CCIC</w:t>
            </w:r>
            <w:r>
              <w:rPr>
                <w:rFonts w:hint="eastAsia"/>
                <w:lang w:eastAsia="zh-CN"/>
              </w:rPr>
              <w:t>，</w:t>
            </w:r>
            <w:r>
              <w:rPr>
                <w:rFonts w:hint="eastAsia"/>
              </w:rPr>
              <w:t>BV</w:t>
            </w:r>
            <w:r>
              <w:rPr>
                <w:rFonts w:hint="eastAsia"/>
                <w:lang w:eastAsia="zh-CN"/>
              </w:rPr>
              <w:t>，</w:t>
            </w:r>
            <w:r>
              <w:rPr>
                <w:rFonts w:hint="eastAsia"/>
              </w:rPr>
              <w:t>SGS</w:t>
            </w:r>
            <w:r>
              <w:rPr>
                <w:rFonts w:hint="eastAsia"/>
                <w:lang w:eastAsia="zh-CN"/>
              </w:rPr>
              <w:t>，</w:t>
            </w:r>
            <w:r>
              <w:rPr>
                <w:rFonts w:hint="eastAsia"/>
              </w:rPr>
              <w:t>CNAS等。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667" w:type="dxa"/>
          </w:tcPr>
          <w:p>
            <w:pPr>
              <w:pStyle w:val="75"/>
              <w:bidi w:val="0"/>
            </w:pPr>
            <w:r>
              <w:rPr>
                <w:rFonts w:hint="eastAsia"/>
              </w:rPr>
              <w:t>执行标准</w:t>
            </w:r>
          </w:p>
        </w:tc>
        <w:tc>
          <w:tcPr>
            <w:tcW w:w="5855" w:type="dxa"/>
          </w:tcPr>
          <w:p>
            <w:pPr>
              <w:pStyle w:val="75"/>
              <w:bidi w:val="0"/>
              <w:jc w:val="center"/>
            </w:pPr>
            <w:r>
              <w:rPr>
                <w:rFonts w:hint="eastAsia"/>
              </w:rPr>
              <w:t>JT-T/728-2008</w:t>
            </w:r>
          </w:p>
        </w:tc>
      </w:tr>
    </w:tbl>
    <w:p>
      <w:pPr>
        <w:bidi w:val="0"/>
        <w:rPr>
          <w:rFonts w:hint="eastAsia"/>
          <w:lang w:eastAsia="zh-CN"/>
        </w:rPr>
      </w:pPr>
    </w:p>
    <w:p>
      <w:pPr>
        <w:bidi w:val="0"/>
        <w:rPr>
          <w:rFonts w:hint="eastAsia"/>
          <w:lang w:eastAsia="zh-CN"/>
        </w:rPr>
      </w:pPr>
    </w:p>
    <w:p>
      <w:pPr>
        <w:bidi w:val="0"/>
        <w:rPr>
          <w:rFonts w:hint="eastAsia"/>
          <w:lang w:eastAsia="zh-CN"/>
        </w:rPr>
      </w:pPr>
    </w:p>
    <w:p>
      <w:pPr>
        <w:pStyle w:val="50"/>
        <w:bidi w:val="0"/>
        <w:rPr>
          <w:rFonts w:hint="eastAsia"/>
          <w:lang w:eastAsia="zh-CN"/>
        </w:rPr>
      </w:pPr>
      <w:r>
        <w:rPr>
          <w:rFonts w:hint="eastAsia"/>
          <w:lang w:eastAsia="zh-CN"/>
        </w:rPr>
        <w:t>贝雷悬索桥</w:t>
      </w:r>
    </w:p>
    <w:p>
      <w:pPr>
        <w:pStyle w:val="39"/>
        <w:bidi w:val="0"/>
        <w:rPr>
          <w:rFonts w:hint="eastAsia"/>
          <w:lang w:eastAsia="zh-CN"/>
        </w:rPr>
      </w:pPr>
      <w:r>
        <w:rPr>
          <w:rFonts w:hint="eastAsia"/>
          <w:lang w:eastAsia="zh-CN"/>
        </w:rPr>
        <w:drawing>
          <wp:inline distT="0" distB="0" distL="114300" distR="114300">
            <wp:extent cx="5272405" cy="3538855"/>
            <wp:effectExtent l="0" t="0" r="4445" b="444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2"/>
                    <a:stretch>
                      <a:fillRect/>
                    </a:stretch>
                  </pic:blipFill>
                  <pic:spPr>
                    <a:xfrm>
                      <a:off x="0" y="0"/>
                      <a:ext cx="5272405" cy="3538855"/>
                    </a:xfrm>
                    <a:prstGeom prst="rect">
                      <a:avLst/>
                    </a:prstGeom>
                  </pic:spPr>
                </pic:pic>
              </a:graphicData>
            </a:graphic>
          </wp:inline>
        </w:drawing>
      </w:r>
    </w:p>
    <w:p>
      <w:pPr>
        <w:pStyle w:val="39"/>
        <w:bidi w:val="0"/>
        <w:rPr>
          <w:rFonts w:hint="eastAsia"/>
          <w:lang w:eastAsia="zh-CN"/>
        </w:rPr>
      </w:pPr>
      <w:r>
        <w:rPr>
          <w:rFonts w:hint="eastAsia"/>
          <w:lang w:eastAsia="zh-CN"/>
        </w:rPr>
        <w:drawing>
          <wp:inline distT="0" distB="0" distL="114300" distR="114300">
            <wp:extent cx="5272405" cy="3528695"/>
            <wp:effectExtent l="0" t="0" r="4445" b="14605"/>
            <wp:docPr id="18" name="图片 1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2"/>
                    <pic:cNvPicPr>
                      <a:picLocks noChangeAspect="1"/>
                    </pic:cNvPicPr>
                  </pic:nvPicPr>
                  <pic:blipFill>
                    <a:blip r:embed="rId13"/>
                    <a:stretch>
                      <a:fillRect/>
                    </a:stretch>
                  </pic:blipFill>
                  <pic:spPr>
                    <a:xfrm>
                      <a:off x="0" y="0"/>
                      <a:ext cx="5272405" cy="3528695"/>
                    </a:xfrm>
                    <a:prstGeom prst="rect">
                      <a:avLst/>
                    </a:prstGeom>
                  </pic:spPr>
                </pic:pic>
              </a:graphicData>
            </a:graphic>
          </wp:inline>
        </w:drawing>
      </w:r>
    </w:p>
    <w:p>
      <w:pPr>
        <w:bidi w:val="0"/>
        <w:rPr>
          <w:rFonts w:hint="eastAsia"/>
          <w:lang w:eastAsia="zh-CN"/>
        </w:rPr>
      </w:pPr>
      <w:r>
        <w:rPr>
          <w:rFonts w:hint="eastAsia"/>
          <w:lang w:eastAsia="zh-CN"/>
        </w:rPr>
        <w:t>贝雷悬索桥是一款专为跨越河</w:t>
      </w:r>
      <w:r>
        <w:rPr>
          <w:rFonts w:hint="eastAsia"/>
          <w:lang w:val="en-US" w:eastAsia="zh-CN"/>
        </w:rPr>
        <w:t>流</w:t>
      </w:r>
      <w:r>
        <w:rPr>
          <w:rFonts w:hint="eastAsia"/>
          <w:lang w:eastAsia="zh-CN"/>
        </w:rPr>
        <w:t>、而设计的装配式大跨度钢桥系统。该产品巧妙融合了悬索桥卓越的跨越能力与贝雷梁模块化的拼装优势，采用高强度钢绞线作为主缆，通过刚性吊杆将标准化的钢桥面板牢固悬吊于两岸锚固点之间。这种结构充分发挥了钢材优异的受拉特性，使其成为60至300米中大跨度场景下的理想解决方案，不仅结构轻盈稳固，更具备极强的地形适应性。</w:t>
      </w:r>
    </w:p>
    <w:p>
      <w:pPr>
        <w:bidi w:val="0"/>
        <w:rPr>
          <w:rFonts w:hint="eastAsia"/>
          <w:lang w:eastAsia="zh-CN"/>
        </w:rPr>
      </w:pPr>
      <w:r>
        <w:rPr>
          <w:rFonts w:hint="eastAsia"/>
          <w:lang w:eastAsia="zh-CN"/>
        </w:rPr>
        <w:t>贝雷悬索桥其所有构件均在工厂预制，现场仅需简单拼装，能够实现极速架设，大幅缩短施工工期，特别适用于应急抢险或工期紧迫的项目。同时，该桥梁系统具备高度的可重复利用性，拆卸方便且损耗极低，能够多次周转使用，极大降低了全生命周期的综合成本，是兼顾经济效益与工程效率的优选桥型。</w:t>
      </w:r>
    </w:p>
    <w:tbl>
      <w:tblPr>
        <w:tblStyle w:val="28"/>
        <w:tblW w:w="88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0"/>
        <w:gridCol w:w="66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0" w:hRule="atLeast"/>
        </w:trPr>
        <w:tc>
          <w:tcPr>
            <w:tcW w:w="8866" w:type="dxa"/>
            <w:gridSpan w:val="2"/>
          </w:tcPr>
          <w:p>
            <w:pPr>
              <w:pStyle w:val="64"/>
              <w:bidi w:val="0"/>
            </w:pPr>
            <w:r>
              <w:rPr>
                <w:rFonts w:hint="eastAsia"/>
              </w:rPr>
              <w:t>产品属性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品名</w:t>
            </w:r>
          </w:p>
        </w:tc>
        <w:tc>
          <w:tcPr>
            <w:tcW w:w="6656" w:type="dxa"/>
          </w:tcPr>
          <w:p>
            <w:pPr>
              <w:pStyle w:val="75"/>
              <w:bidi w:val="0"/>
              <w:jc w:val="center"/>
            </w:pPr>
            <w:r>
              <w:rPr>
                <w:rFonts w:hint="eastAsia"/>
              </w:rPr>
              <w:t>贝雷悬素桥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别称</w:t>
            </w:r>
          </w:p>
        </w:tc>
        <w:tc>
          <w:tcPr>
            <w:tcW w:w="6656" w:type="dxa"/>
          </w:tcPr>
          <w:p>
            <w:pPr>
              <w:pStyle w:val="75"/>
              <w:bidi w:val="0"/>
            </w:pPr>
            <w:r>
              <w:rPr>
                <w:rFonts w:hint="eastAsia"/>
              </w:rPr>
              <w:t>贝雷吊桥；装配式公路钢桥，钢便桥，钢栈桥；临时便道；临时便桥；贝雷桥；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型号</w:t>
            </w:r>
          </w:p>
        </w:tc>
        <w:tc>
          <w:tcPr>
            <w:tcW w:w="6656" w:type="dxa"/>
          </w:tcPr>
          <w:p>
            <w:pPr>
              <w:pStyle w:val="75"/>
              <w:bidi w:val="0"/>
            </w:pPr>
            <w:r>
              <w:rPr>
                <w:rFonts w:hint="eastAsia"/>
              </w:rPr>
              <w:t>321型200型</w:t>
            </w:r>
            <w:r>
              <w:rPr>
                <w:rFonts w:hint="eastAsia"/>
                <w:lang w:eastAsia="zh-CN"/>
              </w:rPr>
              <w:t>；</w:t>
            </w:r>
            <w:r>
              <w:rPr>
                <w:rFonts w:hint="eastAsia"/>
              </w:rPr>
              <w:t>GWD型；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常用桁架片型号</w:t>
            </w:r>
          </w:p>
        </w:tc>
        <w:tc>
          <w:tcPr>
            <w:tcW w:w="6656" w:type="dxa"/>
          </w:tcPr>
          <w:p>
            <w:pPr>
              <w:pStyle w:val="75"/>
              <w:bidi w:val="0"/>
            </w:pPr>
            <w:r>
              <w:rPr>
                <w:rFonts w:hint="eastAsia"/>
              </w:rPr>
              <w:t>321型贝雷片；200型贝雷片；GWD型贝雷片等。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钢桥设计最大单跨</w:t>
            </w:r>
          </w:p>
        </w:tc>
        <w:tc>
          <w:tcPr>
            <w:tcW w:w="6656" w:type="dxa"/>
          </w:tcPr>
          <w:p>
            <w:pPr>
              <w:pStyle w:val="75"/>
              <w:bidi w:val="0"/>
            </w:pPr>
            <w:r>
              <w:rPr>
                <w:rFonts w:hint="eastAsia"/>
              </w:rPr>
              <w:t>300米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钢桥标准车道净宽</w:t>
            </w:r>
          </w:p>
        </w:tc>
        <w:tc>
          <w:tcPr>
            <w:tcW w:w="6656" w:type="dxa"/>
          </w:tcPr>
          <w:p>
            <w:pPr>
              <w:pStyle w:val="75"/>
              <w:bidi w:val="0"/>
            </w:pPr>
            <w:r>
              <w:rPr>
                <w:rFonts w:hint="eastAsia"/>
              </w:rPr>
              <w:t>单车道4米；双车道7.35米；根据需求进行设计。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汽车10级</w:t>
            </w:r>
          </w:p>
        </w:tc>
        <w:tc>
          <w:tcPr>
            <w:tcW w:w="6656" w:type="dxa"/>
          </w:tcPr>
          <w:p>
            <w:pPr>
              <w:pStyle w:val="75"/>
              <w:bidi w:val="0"/>
            </w:pPr>
            <w:r>
              <w:rPr>
                <w:rFonts w:hint="eastAsia"/>
              </w:rPr>
              <w:t>汽车15级；汽车20级；履带-50级；挂车-80级；单车40吨；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荷载等级</w:t>
            </w:r>
          </w:p>
        </w:tc>
        <w:tc>
          <w:tcPr>
            <w:tcW w:w="6656" w:type="dxa"/>
          </w:tcPr>
          <w:p>
            <w:pPr>
              <w:pStyle w:val="75"/>
              <w:bidi w:val="0"/>
            </w:pPr>
            <w:r>
              <w:rPr>
                <w:rFonts w:hint="eastAsia"/>
              </w:rPr>
              <w:t>AASHTOHS20</w:t>
            </w:r>
            <w:r>
              <w:rPr>
                <w:rFonts w:hint="eastAsia"/>
                <w:lang w:eastAsia="zh-CN"/>
              </w:rPr>
              <w:t>，</w:t>
            </w:r>
            <w:r>
              <w:rPr>
                <w:rFonts w:hint="eastAsia"/>
              </w:rPr>
              <w:t>HS25-44</w:t>
            </w:r>
            <w:r>
              <w:rPr>
                <w:rFonts w:hint="eastAsia"/>
                <w:lang w:eastAsia="zh-CN"/>
              </w:rPr>
              <w:t>，</w:t>
            </w:r>
            <w:r>
              <w:rPr>
                <w:rFonts w:hint="eastAsia"/>
              </w:rPr>
              <w:t>HL93</w:t>
            </w:r>
            <w:r>
              <w:rPr>
                <w:rFonts w:hint="eastAsia"/>
                <w:lang w:eastAsia="zh-CN"/>
              </w:rPr>
              <w:t>，</w:t>
            </w:r>
            <w:r>
              <w:rPr>
                <w:rFonts w:hint="eastAsia"/>
              </w:rPr>
              <w:t>BS5400HA+HB；域-A；域-B</w:t>
            </w:r>
            <w:r>
              <w:rPr>
                <w:rFonts w:hint="eastAsia"/>
                <w:lang w:eastAsia="zh-CN"/>
              </w:rPr>
              <w:t>；</w:t>
            </w:r>
            <w:r>
              <w:rPr>
                <w:rFonts w:hint="eastAsia"/>
              </w:rPr>
              <w:t>公路-I级；公路-II级；印度标准Class-40；澳大利亚标准T44；韩国标准D24等。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设计方案</w:t>
            </w:r>
          </w:p>
        </w:tc>
        <w:tc>
          <w:tcPr>
            <w:tcW w:w="6656" w:type="dxa"/>
          </w:tcPr>
          <w:p>
            <w:pPr>
              <w:pStyle w:val="75"/>
              <w:bidi w:val="0"/>
            </w:pPr>
            <w:r>
              <w:rPr>
                <w:rFonts w:hint="eastAsia"/>
              </w:rPr>
              <w:t>根据跨径与荷载的不同选择合适的组排与悬素吊桥方案。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钢桥主要材质</w:t>
            </w:r>
          </w:p>
        </w:tc>
        <w:tc>
          <w:tcPr>
            <w:tcW w:w="6656" w:type="dxa"/>
          </w:tcPr>
          <w:p>
            <w:pPr>
              <w:pStyle w:val="75"/>
              <w:bidi w:val="0"/>
            </w:pPr>
            <w:r>
              <w:rPr>
                <w:rFonts w:hint="eastAsia"/>
              </w:rPr>
              <w:t>GB</w:t>
            </w:r>
            <w:r>
              <w:rPr>
                <w:rFonts w:hint="eastAsia"/>
                <w:lang w:val="en-US" w:eastAsia="zh-CN"/>
              </w:rPr>
              <w:t xml:space="preserve"> </w:t>
            </w:r>
            <w:r>
              <w:rPr>
                <w:rFonts w:hint="eastAsia"/>
              </w:rPr>
              <w:t>Q345B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连接销子材质</w:t>
            </w:r>
          </w:p>
        </w:tc>
        <w:tc>
          <w:tcPr>
            <w:tcW w:w="6656" w:type="dxa"/>
          </w:tcPr>
          <w:p>
            <w:pPr>
              <w:pStyle w:val="75"/>
              <w:bidi w:val="0"/>
            </w:pPr>
            <w:r>
              <w:rPr>
                <w:rFonts w:hint="eastAsia"/>
              </w:rPr>
              <w:t>30CrMnTi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连接螺栓等级</w:t>
            </w:r>
          </w:p>
        </w:tc>
        <w:tc>
          <w:tcPr>
            <w:tcW w:w="6656" w:type="dxa"/>
          </w:tcPr>
          <w:p>
            <w:pPr>
              <w:pStyle w:val="75"/>
              <w:bidi w:val="0"/>
            </w:pPr>
            <w:r>
              <w:rPr>
                <w:rFonts w:hint="eastAsia"/>
              </w:rPr>
              <w:t>8.8级高强螺栓</w:t>
            </w:r>
            <w:r>
              <w:rPr>
                <w:rFonts w:hint="eastAsia"/>
                <w:lang w:eastAsia="zh-CN"/>
              </w:rPr>
              <w:t>；</w:t>
            </w:r>
            <w:r>
              <w:rPr>
                <w:rFonts w:hint="eastAsia"/>
              </w:rPr>
              <w:t>10.9级高强螺栓。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表面防腐</w:t>
            </w:r>
          </w:p>
        </w:tc>
        <w:tc>
          <w:tcPr>
            <w:tcW w:w="6656" w:type="dxa"/>
          </w:tcPr>
          <w:p>
            <w:pPr>
              <w:pStyle w:val="75"/>
              <w:bidi w:val="0"/>
            </w:pPr>
            <w:r>
              <w:rPr>
                <w:rFonts w:hint="eastAsia"/>
              </w:rPr>
              <w:t>热镀锌；油漆；钢结构重型防腐油漆；沥青漆；桥面板防滑骨料处理等。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桥梁架设方法</w:t>
            </w:r>
          </w:p>
        </w:tc>
        <w:tc>
          <w:tcPr>
            <w:tcW w:w="6656" w:type="dxa"/>
          </w:tcPr>
          <w:p>
            <w:pPr>
              <w:pStyle w:val="75"/>
              <w:bidi w:val="0"/>
            </w:pPr>
            <w:r>
              <w:rPr>
                <w:rFonts w:hint="eastAsia"/>
              </w:rPr>
              <w:t>悬臂推出法；吊装法；浮运法；就地拼装法；堆土施工法等。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安装需要时间</w:t>
            </w:r>
          </w:p>
        </w:tc>
        <w:tc>
          <w:tcPr>
            <w:tcW w:w="6656" w:type="dxa"/>
          </w:tcPr>
          <w:p>
            <w:pPr>
              <w:pStyle w:val="75"/>
              <w:bidi w:val="0"/>
            </w:pPr>
            <w:r>
              <w:rPr>
                <w:rFonts w:hint="eastAsia"/>
              </w:rPr>
              <w:t>桥台等条件具备后30-60个晴天日（根据桥梁长度和现场条件确定）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安装需要工人</w:t>
            </w:r>
          </w:p>
        </w:tc>
        <w:tc>
          <w:tcPr>
            <w:tcW w:w="6656" w:type="dxa"/>
          </w:tcPr>
          <w:p>
            <w:pPr>
              <w:pStyle w:val="75"/>
              <w:bidi w:val="0"/>
            </w:pPr>
            <w:r>
              <w:rPr>
                <w:rFonts w:hint="eastAsia"/>
              </w:rPr>
              <w:t>15-20名（根据现场条件确定）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安装需要设备</w:t>
            </w:r>
          </w:p>
        </w:tc>
        <w:tc>
          <w:tcPr>
            <w:tcW w:w="6656" w:type="dxa"/>
          </w:tcPr>
          <w:p>
            <w:pPr>
              <w:pStyle w:val="75"/>
              <w:bidi w:val="0"/>
            </w:pPr>
            <w:r>
              <w:rPr>
                <w:rFonts w:hint="eastAsia"/>
              </w:rPr>
              <w:t>吊车，卷扬机，千斤顶，手拉葫芦，焊机，发电机等。（可根据现场条件调整）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钢桥特点</w:t>
            </w:r>
          </w:p>
        </w:tc>
        <w:tc>
          <w:tcPr>
            <w:tcW w:w="6656" w:type="dxa"/>
          </w:tcPr>
          <w:p>
            <w:pPr>
              <w:pStyle w:val="75"/>
              <w:bidi w:val="0"/>
            </w:pPr>
            <w:r>
              <w:rPr>
                <w:rFonts w:hint="eastAsia"/>
              </w:rPr>
              <w:t>跨度大，不需要做桥墩，装配快速，可互换，可拆卸，寿命长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通过认证</w:t>
            </w:r>
          </w:p>
        </w:tc>
        <w:tc>
          <w:tcPr>
            <w:tcW w:w="6656" w:type="dxa"/>
          </w:tcPr>
          <w:p>
            <w:pPr>
              <w:pStyle w:val="75"/>
              <w:bidi w:val="0"/>
            </w:pPr>
            <w:r>
              <w:rPr>
                <w:rFonts w:hint="eastAsia"/>
              </w:rPr>
              <w:t>ISO</w:t>
            </w:r>
            <w:r>
              <w:rPr>
                <w:rFonts w:hint="eastAsia"/>
                <w:lang w:eastAsia="zh-CN"/>
              </w:rPr>
              <w:t>，</w:t>
            </w:r>
            <w:r>
              <w:rPr>
                <w:rFonts w:hint="eastAsia"/>
              </w:rPr>
              <w:t>CCIC</w:t>
            </w:r>
            <w:r>
              <w:rPr>
                <w:rFonts w:hint="eastAsia"/>
                <w:lang w:eastAsia="zh-CN"/>
              </w:rPr>
              <w:t>，</w:t>
            </w:r>
            <w:r>
              <w:rPr>
                <w:rFonts w:hint="eastAsia"/>
              </w:rPr>
              <w:t xml:space="preserve"> BV</w:t>
            </w:r>
            <w:r>
              <w:rPr>
                <w:rFonts w:hint="eastAsia"/>
                <w:lang w:eastAsia="zh-CN"/>
              </w:rPr>
              <w:t>，</w:t>
            </w:r>
            <w:r>
              <w:rPr>
                <w:rFonts w:hint="eastAsia"/>
              </w:rPr>
              <w:t>SGS</w:t>
            </w:r>
            <w:r>
              <w:rPr>
                <w:rFonts w:hint="eastAsia"/>
                <w:lang w:eastAsia="zh-CN"/>
              </w:rPr>
              <w:t>，</w:t>
            </w:r>
            <w:bookmarkStart w:id="0" w:name="_GoBack"/>
            <w:bookmarkEnd w:id="0"/>
            <w:r>
              <w:rPr>
                <w:rFonts w:hint="eastAsia"/>
              </w:rPr>
              <w:t>CNAS等。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10" w:type="dxa"/>
          </w:tcPr>
          <w:p>
            <w:pPr>
              <w:pStyle w:val="75"/>
              <w:bidi w:val="0"/>
            </w:pPr>
            <w:r>
              <w:rPr>
                <w:rFonts w:hint="eastAsia"/>
              </w:rPr>
              <w:t>执行标准</w:t>
            </w:r>
          </w:p>
        </w:tc>
        <w:tc>
          <w:tcPr>
            <w:tcW w:w="6656" w:type="dxa"/>
          </w:tcPr>
          <w:p>
            <w:pPr>
              <w:pStyle w:val="75"/>
              <w:bidi w:val="0"/>
            </w:pPr>
            <w:r>
              <w:rPr>
                <w:rFonts w:hint="eastAsia"/>
              </w:rPr>
              <w:t>JT-T/728-2008</w:t>
            </w:r>
          </w:p>
        </w:tc>
      </w:tr>
    </w:tbl>
    <w:p>
      <w:pPr>
        <w:bidi w:val="0"/>
        <w:rPr>
          <w:rFonts w:hint="eastAsia"/>
          <w:lang w:eastAsia="zh-CN"/>
        </w:rPr>
      </w:pP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RgAyAA==" wne:acdName="acd0" wne:fciIndexBasedOn="0065"/>
    <wne:acd wne:argValue="AgAxAKd+B2iYmEEAbAB0ACsAMQA=" wne:acdName="acd1" wne:fciIndexBasedOn="0065"/>
    <wne:acd wne:argValue="AgAyAKd+B2iYmEEAbAB0ACsAMgA=" wne:acdName="acd2" wne:fciIndexBasedOn="0065"/>
    <wne:acd wne:argValue="AgAzAKd+B2iYmEEAbAB0ACsAMwA=" wne:acdName="acd3" wne:fciIndexBasedOn="0065"/>
    <wne:acd wne:argValue="AgA0AKd+B2iYmEEAbAB0ACsANAA=" wne:acdName="acd4" wne:fciIndexBasedOn="0065"/>
    <wne:acd wne:argValue="AgBja4dlNQCnfmEAbAB0ACsANQA=" wne:acdName="acd5" wne:fciIndexBasedOn="0065"/>
    <wne:acd wne:argValue="AgBja4dlNgCnfmEAbAB0ACsANgA=" wne:acdName="acd6" wne:fciIndexBasedOn="0065"/>
    <wne:acd wne:argValue="AgBoiJiYQQBsAHQAKwBCAA==" wne:acdName="acd7" wne:fciIndexBasedOn="0065"/>
    <wne:acd wne:argValue="AgDCUwOAh2Uuc0EAbAB0ACsAYwA=" wne:acdName="acd8" wne:fciIndexBasedOn="0065"/>
    <wne:acd wne:argValue="AgAme/dTMQBBAGwAdAArAEYA" wne:acdName="acd9" wne:fciIndexBasedOn="0065"/>
    <wne:acd wne:argValue="AgBoiDxoQQBsAHQAKwBnAA==" wne:acdName="acd10" wne:fciIndexBasedOn="0065"/>
    <wne:acd wne:argValue="AgAWf/dTF1JoiC0AcGVXWw==" wne:acdName="acd11" wne:fciIndexBasedOn="0065"/>
    <wne:acd wne:argValue="AgAWf/dTF1JoiC0AV1vNaw==" wne:acdName="acd12" wne:fciIndexBasedOn="0065"/>
    <wne:acd wne:argValue="AgD+VpiYQQBsAHQAKwBUAA==" wne:acdName="acd13" wne:fciIndexBasedOn="0065"/>
    <wne:acd wne:argValue="AgBja4dlRVwtTkEAbAB0ACsAeAA=" wne:acdName="acd14" wne:fciIndexBasedOn="0065"/>
    <wne:acd wne:argValue="AQAAAAAA" wne:acdName="acd15" wne:fciIndexBasedOn="0065"/>
    <wne:acd wne:argValue="AgAme/dTMgAM/0EAbAB0ACsARgAyAA==" wne:acdName="acd16" wne:fciIndexBasedOn="0065"/>
    <wne:acd wne:argValue="AgAme/dTMwBBAGwAdAArAEYA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10</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3"/>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50"/>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8"/>
      <w:suff w:val="space"/>
      <w:lvlText w:val="%1.%2.%3.%4"/>
      <w:lvlJc w:val="left"/>
      <w:pPr>
        <w:ind w:left="0" w:firstLine="0"/>
      </w:pPr>
      <w:rPr>
        <w:rFonts w:hint="eastAsia"/>
      </w:rPr>
    </w:lvl>
    <w:lvl w:ilvl="4" w:tentative="0">
      <w:start w:val="1"/>
      <w:numFmt w:val="decimal"/>
      <w:pStyle w:val="77"/>
      <w:suff w:val="space"/>
      <w:lvlText w:val="%1.%2.%3.%4.%5"/>
      <w:lvlJc w:val="left"/>
      <w:pPr>
        <w:ind w:left="0" w:firstLine="0"/>
      </w:pPr>
      <w:rPr>
        <w:rFonts w:hint="eastAsia"/>
      </w:rPr>
    </w:lvl>
    <w:lvl w:ilvl="5" w:tentative="0">
      <w:start w:val="1"/>
      <w:numFmt w:val="decimal"/>
      <w:pStyle w:val="78"/>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4"/>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69"/>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0"/>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6"/>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381B"/>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26B0A"/>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2CB4"/>
    <w:rsid w:val="00EA3515"/>
    <w:rsid w:val="00EA359F"/>
    <w:rsid w:val="00EB0B31"/>
    <w:rsid w:val="00EB394D"/>
    <w:rsid w:val="00EB7DD3"/>
    <w:rsid w:val="00EC026C"/>
    <w:rsid w:val="00EC0965"/>
    <w:rsid w:val="00EC16E6"/>
    <w:rsid w:val="00EC38EF"/>
    <w:rsid w:val="00EC39E3"/>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1C66EF5"/>
    <w:rsid w:val="01CC65A7"/>
    <w:rsid w:val="01F72955"/>
    <w:rsid w:val="02124B48"/>
    <w:rsid w:val="02373BAB"/>
    <w:rsid w:val="03BA2134"/>
    <w:rsid w:val="05207E8D"/>
    <w:rsid w:val="05FD1766"/>
    <w:rsid w:val="062C68FF"/>
    <w:rsid w:val="063152BB"/>
    <w:rsid w:val="063843E8"/>
    <w:rsid w:val="06DA39E2"/>
    <w:rsid w:val="06FF60E1"/>
    <w:rsid w:val="077171DF"/>
    <w:rsid w:val="07A62897"/>
    <w:rsid w:val="08294292"/>
    <w:rsid w:val="094E6DD6"/>
    <w:rsid w:val="09612BBB"/>
    <w:rsid w:val="09787A33"/>
    <w:rsid w:val="0A180409"/>
    <w:rsid w:val="0A323E7B"/>
    <w:rsid w:val="0A57322E"/>
    <w:rsid w:val="0A7A5127"/>
    <w:rsid w:val="0A833100"/>
    <w:rsid w:val="0AC548E3"/>
    <w:rsid w:val="0ACB1333"/>
    <w:rsid w:val="0AF007AD"/>
    <w:rsid w:val="0B105BC7"/>
    <w:rsid w:val="0B6B6299"/>
    <w:rsid w:val="0CF678F6"/>
    <w:rsid w:val="0D486D29"/>
    <w:rsid w:val="0D6B58F5"/>
    <w:rsid w:val="0D7B3F46"/>
    <w:rsid w:val="0DC21EF7"/>
    <w:rsid w:val="0DED29B3"/>
    <w:rsid w:val="0E3058FC"/>
    <w:rsid w:val="0E5953CF"/>
    <w:rsid w:val="0EB94727"/>
    <w:rsid w:val="0F271833"/>
    <w:rsid w:val="0FB53425"/>
    <w:rsid w:val="0FF417DC"/>
    <w:rsid w:val="10230757"/>
    <w:rsid w:val="10DE668B"/>
    <w:rsid w:val="10E5738E"/>
    <w:rsid w:val="11466D9E"/>
    <w:rsid w:val="11D114D3"/>
    <w:rsid w:val="11F22613"/>
    <w:rsid w:val="12313736"/>
    <w:rsid w:val="12623524"/>
    <w:rsid w:val="12DB4E47"/>
    <w:rsid w:val="130A7084"/>
    <w:rsid w:val="135F6C8E"/>
    <w:rsid w:val="13641568"/>
    <w:rsid w:val="136E1E3C"/>
    <w:rsid w:val="13AA4FB7"/>
    <w:rsid w:val="13E46A39"/>
    <w:rsid w:val="14882BA5"/>
    <w:rsid w:val="14903BFF"/>
    <w:rsid w:val="14ED4087"/>
    <w:rsid w:val="14FB590A"/>
    <w:rsid w:val="155C6E24"/>
    <w:rsid w:val="15940A9D"/>
    <w:rsid w:val="15AB0E4B"/>
    <w:rsid w:val="16272839"/>
    <w:rsid w:val="16EB087E"/>
    <w:rsid w:val="17354178"/>
    <w:rsid w:val="174A4456"/>
    <w:rsid w:val="17540203"/>
    <w:rsid w:val="18376073"/>
    <w:rsid w:val="18995B10"/>
    <w:rsid w:val="19191C0D"/>
    <w:rsid w:val="193B6D88"/>
    <w:rsid w:val="19893C54"/>
    <w:rsid w:val="199B63D1"/>
    <w:rsid w:val="199D0215"/>
    <w:rsid w:val="1A23346A"/>
    <w:rsid w:val="1A9C38A5"/>
    <w:rsid w:val="1ACE783A"/>
    <w:rsid w:val="1B43065A"/>
    <w:rsid w:val="1B5D62F1"/>
    <w:rsid w:val="1B601E57"/>
    <w:rsid w:val="1BA57490"/>
    <w:rsid w:val="1BBE5554"/>
    <w:rsid w:val="1C040677"/>
    <w:rsid w:val="1C212BE8"/>
    <w:rsid w:val="1C487F56"/>
    <w:rsid w:val="1C630478"/>
    <w:rsid w:val="1CAB7E2E"/>
    <w:rsid w:val="1CEF6249"/>
    <w:rsid w:val="1DA20E79"/>
    <w:rsid w:val="1DA2793D"/>
    <w:rsid w:val="1DF8637C"/>
    <w:rsid w:val="1E0771C9"/>
    <w:rsid w:val="1EDC3B29"/>
    <w:rsid w:val="1EE31E32"/>
    <w:rsid w:val="1EF35BE7"/>
    <w:rsid w:val="1F261434"/>
    <w:rsid w:val="1F31085F"/>
    <w:rsid w:val="1FDF6E0D"/>
    <w:rsid w:val="212A308A"/>
    <w:rsid w:val="225C2538"/>
    <w:rsid w:val="22CB3A41"/>
    <w:rsid w:val="23707F9C"/>
    <w:rsid w:val="249E1C53"/>
    <w:rsid w:val="24A604AD"/>
    <w:rsid w:val="25483AD3"/>
    <w:rsid w:val="25490F63"/>
    <w:rsid w:val="2588382B"/>
    <w:rsid w:val="25B37E37"/>
    <w:rsid w:val="25F162D7"/>
    <w:rsid w:val="27374BBE"/>
    <w:rsid w:val="27FE4B34"/>
    <w:rsid w:val="280E4EBC"/>
    <w:rsid w:val="282C3FF6"/>
    <w:rsid w:val="28E72F3C"/>
    <w:rsid w:val="29A378BC"/>
    <w:rsid w:val="29AB6C48"/>
    <w:rsid w:val="29DC306D"/>
    <w:rsid w:val="2ABE1023"/>
    <w:rsid w:val="2AF95573"/>
    <w:rsid w:val="2B3C6151"/>
    <w:rsid w:val="2B8159BB"/>
    <w:rsid w:val="2BB04553"/>
    <w:rsid w:val="2BB36C26"/>
    <w:rsid w:val="2BF06C7C"/>
    <w:rsid w:val="2C980CE5"/>
    <w:rsid w:val="2D2D154D"/>
    <w:rsid w:val="2D4B5040"/>
    <w:rsid w:val="2D56047F"/>
    <w:rsid w:val="2DE75233"/>
    <w:rsid w:val="2E3A3E96"/>
    <w:rsid w:val="2EB4742E"/>
    <w:rsid w:val="2EB5215A"/>
    <w:rsid w:val="2F063335"/>
    <w:rsid w:val="2F385170"/>
    <w:rsid w:val="30783E4B"/>
    <w:rsid w:val="30D73675"/>
    <w:rsid w:val="311C00C0"/>
    <w:rsid w:val="3177424E"/>
    <w:rsid w:val="322263B0"/>
    <w:rsid w:val="325E6B33"/>
    <w:rsid w:val="32C21A6F"/>
    <w:rsid w:val="32D41172"/>
    <w:rsid w:val="33461DE5"/>
    <w:rsid w:val="3360332F"/>
    <w:rsid w:val="342D4C5B"/>
    <w:rsid w:val="34547799"/>
    <w:rsid w:val="34803EEB"/>
    <w:rsid w:val="34EA7ACC"/>
    <w:rsid w:val="34F12833"/>
    <w:rsid w:val="35012162"/>
    <w:rsid w:val="3616595B"/>
    <w:rsid w:val="370D3726"/>
    <w:rsid w:val="37180CC2"/>
    <w:rsid w:val="37AC5545"/>
    <w:rsid w:val="38517A35"/>
    <w:rsid w:val="38857559"/>
    <w:rsid w:val="38867FD3"/>
    <w:rsid w:val="390F0160"/>
    <w:rsid w:val="39554521"/>
    <w:rsid w:val="395D4C39"/>
    <w:rsid w:val="399F1422"/>
    <w:rsid w:val="39CC136D"/>
    <w:rsid w:val="3A0C627F"/>
    <w:rsid w:val="3A1077C1"/>
    <w:rsid w:val="3A404F1C"/>
    <w:rsid w:val="3A996948"/>
    <w:rsid w:val="3B28369F"/>
    <w:rsid w:val="3B3E208A"/>
    <w:rsid w:val="3BC83AD9"/>
    <w:rsid w:val="3D101F99"/>
    <w:rsid w:val="3EA6090B"/>
    <w:rsid w:val="3F29024D"/>
    <w:rsid w:val="3F3F7642"/>
    <w:rsid w:val="3F9065C5"/>
    <w:rsid w:val="3FC608A0"/>
    <w:rsid w:val="400C1E9C"/>
    <w:rsid w:val="400D42CC"/>
    <w:rsid w:val="402D2423"/>
    <w:rsid w:val="4058301F"/>
    <w:rsid w:val="40892650"/>
    <w:rsid w:val="416F4E6C"/>
    <w:rsid w:val="42037411"/>
    <w:rsid w:val="42982C26"/>
    <w:rsid w:val="42B6170E"/>
    <w:rsid w:val="42FA332D"/>
    <w:rsid w:val="435F03D6"/>
    <w:rsid w:val="43904168"/>
    <w:rsid w:val="43BE2E83"/>
    <w:rsid w:val="44073B5A"/>
    <w:rsid w:val="441A30F8"/>
    <w:rsid w:val="44D665A1"/>
    <w:rsid w:val="44FA085E"/>
    <w:rsid w:val="45821E26"/>
    <w:rsid w:val="45B36FC0"/>
    <w:rsid w:val="45D82595"/>
    <w:rsid w:val="463A50D1"/>
    <w:rsid w:val="464F7E09"/>
    <w:rsid w:val="46C20BC2"/>
    <w:rsid w:val="4727160F"/>
    <w:rsid w:val="476C7E82"/>
    <w:rsid w:val="47C20A34"/>
    <w:rsid w:val="47CE6F0A"/>
    <w:rsid w:val="47E74D7A"/>
    <w:rsid w:val="47E85008"/>
    <w:rsid w:val="482F3426"/>
    <w:rsid w:val="4884010F"/>
    <w:rsid w:val="48AC3846"/>
    <w:rsid w:val="48AE520A"/>
    <w:rsid w:val="494F10C5"/>
    <w:rsid w:val="4B712DA5"/>
    <w:rsid w:val="4BBD75A8"/>
    <w:rsid w:val="4C7134C1"/>
    <w:rsid w:val="4CCE18C9"/>
    <w:rsid w:val="4D354EDC"/>
    <w:rsid w:val="4D8D1DD3"/>
    <w:rsid w:val="4DE94C07"/>
    <w:rsid w:val="4F704088"/>
    <w:rsid w:val="4F844FB9"/>
    <w:rsid w:val="4F9661E2"/>
    <w:rsid w:val="4FA70F71"/>
    <w:rsid w:val="50164E90"/>
    <w:rsid w:val="5057473D"/>
    <w:rsid w:val="50607742"/>
    <w:rsid w:val="509320E1"/>
    <w:rsid w:val="50E43CCA"/>
    <w:rsid w:val="51F27657"/>
    <w:rsid w:val="526136A3"/>
    <w:rsid w:val="528027FF"/>
    <w:rsid w:val="528D3700"/>
    <w:rsid w:val="52CE42DF"/>
    <w:rsid w:val="54646704"/>
    <w:rsid w:val="54F97713"/>
    <w:rsid w:val="55C5185D"/>
    <w:rsid w:val="55D12B84"/>
    <w:rsid w:val="55E625DD"/>
    <w:rsid w:val="569A3CB1"/>
    <w:rsid w:val="569F254D"/>
    <w:rsid w:val="570E4784"/>
    <w:rsid w:val="5724257A"/>
    <w:rsid w:val="572E41F6"/>
    <w:rsid w:val="57694E2C"/>
    <w:rsid w:val="57A10BD6"/>
    <w:rsid w:val="58376327"/>
    <w:rsid w:val="586634B9"/>
    <w:rsid w:val="58882E80"/>
    <w:rsid w:val="58DE0511"/>
    <w:rsid w:val="596E4710"/>
    <w:rsid w:val="5976231E"/>
    <w:rsid w:val="597E7B07"/>
    <w:rsid w:val="5A181DB0"/>
    <w:rsid w:val="5B4269DD"/>
    <w:rsid w:val="5B8100E7"/>
    <w:rsid w:val="5BB911BD"/>
    <w:rsid w:val="5C736A5A"/>
    <w:rsid w:val="5CAC57C8"/>
    <w:rsid w:val="5D495E95"/>
    <w:rsid w:val="5DAC1285"/>
    <w:rsid w:val="5E581CEF"/>
    <w:rsid w:val="5ED8231E"/>
    <w:rsid w:val="5F1539F5"/>
    <w:rsid w:val="5FF25FCB"/>
    <w:rsid w:val="600B7EF9"/>
    <w:rsid w:val="60F81D85"/>
    <w:rsid w:val="61906763"/>
    <w:rsid w:val="61CB6E84"/>
    <w:rsid w:val="61F206AF"/>
    <w:rsid w:val="61F630CE"/>
    <w:rsid w:val="61F85B2E"/>
    <w:rsid w:val="62120D30"/>
    <w:rsid w:val="62B962AC"/>
    <w:rsid w:val="62DA11C1"/>
    <w:rsid w:val="62DC1B88"/>
    <w:rsid w:val="64CC3B13"/>
    <w:rsid w:val="64EF1985"/>
    <w:rsid w:val="64F05195"/>
    <w:rsid w:val="6500772C"/>
    <w:rsid w:val="657A0DD7"/>
    <w:rsid w:val="65AE4F1D"/>
    <w:rsid w:val="65D70683"/>
    <w:rsid w:val="666750D3"/>
    <w:rsid w:val="66E02BF4"/>
    <w:rsid w:val="67206E77"/>
    <w:rsid w:val="67591D57"/>
    <w:rsid w:val="67782E92"/>
    <w:rsid w:val="67FF1A24"/>
    <w:rsid w:val="686D79BE"/>
    <w:rsid w:val="68E71061"/>
    <w:rsid w:val="68EA3C29"/>
    <w:rsid w:val="691D465E"/>
    <w:rsid w:val="69267401"/>
    <w:rsid w:val="696C1A4E"/>
    <w:rsid w:val="69A12A72"/>
    <w:rsid w:val="6B030C3A"/>
    <w:rsid w:val="6B3371B9"/>
    <w:rsid w:val="6B39651F"/>
    <w:rsid w:val="6BB720B0"/>
    <w:rsid w:val="6BC1429E"/>
    <w:rsid w:val="6C465938"/>
    <w:rsid w:val="6D427A9D"/>
    <w:rsid w:val="6D991130"/>
    <w:rsid w:val="6E5F0672"/>
    <w:rsid w:val="6E667093"/>
    <w:rsid w:val="6ECA5789"/>
    <w:rsid w:val="6F161607"/>
    <w:rsid w:val="6F224802"/>
    <w:rsid w:val="6F812EF9"/>
    <w:rsid w:val="6FAC1A53"/>
    <w:rsid w:val="6FB53F75"/>
    <w:rsid w:val="6FC46C5F"/>
    <w:rsid w:val="70422647"/>
    <w:rsid w:val="70C71138"/>
    <w:rsid w:val="70E017CB"/>
    <w:rsid w:val="71511EB8"/>
    <w:rsid w:val="71CA3A9C"/>
    <w:rsid w:val="72D726E1"/>
    <w:rsid w:val="7383242E"/>
    <w:rsid w:val="73E44C94"/>
    <w:rsid w:val="7426566E"/>
    <w:rsid w:val="74296CF1"/>
    <w:rsid w:val="742E76D4"/>
    <w:rsid w:val="74F578D5"/>
    <w:rsid w:val="75355DF8"/>
    <w:rsid w:val="75533C38"/>
    <w:rsid w:val="7597629A"/>
    <w:rsid w:val="75A3783B"/>
    <w:rsid w:val="76040AEF"/>
    <w:rsid w:val="760E3645"/>
    <w:rsid w:val="768213D4"/>
    <w:rsid w:val="768F54EE"/>
    <w:rsid w:val="76EE55D8"/>
    <w:rsid w:val="77BF52C3"/>
    <w:rsid w:val="7839767D"/>
    <w:rsid w:val="78706A41"/>
    <w:rsid w:val="78CA2283"/>
    <w:rsid w:val="78CB3E1A"/>
    <w:rsid w:val="79023B3E"/>
    <w:rsid w:val="79410CE6"/>
    <w:rsid w:val="794D71F9"/>
    <w:rsid w:val="7950278F"/>
    <w:rsid w:val="7990710E"/>
    <w:rsid w:val="79D31647"/>
    <w:rsid w:val="7A1B1C5C"/>
    <w:rsid w:val="7C1A3E34"/>
    <w:rsid w:val="7C642C1E"/>
    <w:rsid w:val="7C894407"/>
    <w:rsid w:val="7CF22FEE"/>
    <w:rsid w:val="7CFE57B8"/>
    <w:rsid w:val="7D1114DA"/>
    <w:rsid w:val="7D7F6A4B"/>
    <w:rsid w:val="7DD7265B"/>
    <w:rsid w:val="7E2369F4"/>
    <w:rsid w:val="7E5F4C6C"/>
    <w:rsid w:val="7E915500"/>
    <w:rsid w:val="7EF71630"/>
    <w:rsid w:val="7F263B24"/>
    <w:rsid w:val="7F6C2D28"/>
    <w:rsid w:val="7F853E8B"/>
    <w:rsid w:val="7FD03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5"/>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8"/>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6"/>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7"/>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5"/>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Alt+3"/>
    <w:basedOn w:val="7"/>
    <w:next w:val="1"/>
    <w:link w:val="53"/>
    <w:qFormat/>
    <w:uiPriority w:val="0"/>
    <w:pPr>
      <w:keepNext w:val="0"/>
      <w:numPr>
        <w:ilvl w:val="2"/>
      </w:numPr>
      <w:outlineLvl w:val="2"/>
    </w:pPr>
  </w:style>
  <w:style w:type="paragraph" w:customStyle="1" w:styleId="7">
    <w:name w:val="2级标题Alt+2"/>
    <w:basedOn w:val="3"/>
    <w:link w:val="51"/>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0"/>
    <w:unhideWhenUsed/>
    <w:qFormat/>
    <w:uiPriority w:val="0"/>
    <w:rPr>
      <w:rFonts w:ascii="等线 Light" w:hAnsi="等线 Light" w:eastAsia="黑体"/>
      <w:sz w:val="20"/>
      <w:szCs w:val="20"/>
    </w:rPr>
  </w:style>
  <w:style w:type="paragraph" w:styleId="11">
    <w:name w:val="annotation text"/>
    <w:basedOn w:val="1"/>
    <w:link w:val="54"/>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7"/>
    <w:semiHidden/>
    <w:unhideWhenUsed/>
    <w:qFormat/>
    <w:uiPriority w:val="99"/>
    <w:pPr>
      <w:jc w:val="left"/>
    </w:pPr>
  </w:style>
  <w:style w:type="paragraph" w:styleId="16">
    <w:name w:val="Balloon Text"/>
    <w:basedOn w:val="1"/>
    <w:link w:val="56"/>
    <w:semiHidden/>
    <w:unhideWhenUsed/>
    <w:qFormat/>
    <w:uiPriority w:val="99"/>
    <w:pPr>
      <w:spacing w:line="240" w:lineRule="auto"/>
    </w:pPr>
    <w:rPr>
      <w:sz w:val="18"/>
      <w:szCs w:val="18"/>
    </w:rPr>
  </w:style>
  <w:style w:type="paragraph" w:styleId="17">
    <w:name w:val="footer"/>
    <w:basedOn w:val="1"/>
    <w:link w:val="42"/>
    <w:unhideWhenUsed/>
    <w:qFormat/>
    <w:uiPriority w:val="99"/>
    <w:pPr>
      <w:tabs>
        <w:tab w:val="center" w:pos="4153"/>
        <w:tab w:val="right" w:pos="8306"/>
      </w:tabs>
      <w:jc w:val="left"/>
    </w:pPr>
    <w:rPr>
      <w:sz w:val="18"/>
      <w:szCs w:val="18"/>
    </w:rPr>
  </w:style>
  <w:style w:type="paragraph" w:styleId="18">
    <w:name w:val="header"/>
    <w:basedOn w:val="1"/>
    <w:link w:val="41"/>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8"/>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5"/>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Hyperlink"/>
    <w:unhideWhenUsed/>
    <w:qFormat/>
    <w:uiPriority w:val="99"/>
    <w:rPr>
      <w:color w:val="0563C1"/>
      <w:u w:val="single"/>
    </w:rPr>
  </w:style>
  <w:style w:type="character" w:styleId="34">
    <w:name w:val="annotation reference"/>
    <w:semiHidden/>
    <w:unhideWhenUsed/>
    <w:qFormat/>
    <w:uiPriority w:val="99"/>
    <w:rPr>
      <w:sz w:val="21"/>
      <w:szCs w:val="21"/>
    </w:rPr>
  </w:style>
  <w:style w:type="character" w:customStyle="1" w:styleId="35">
    <w:name w:val="标题 1 字符"/>
    <w:link w:val="2"/>
    <w:qFormat/>
    <w:uiPriority w:val="0"/>
    <w:rPr>
      <w:rFonts w:eastAsia="黑体"/>
      <w:b/>
      <w:bCs/>
      <w:kern w:val="44"/>
      <w:sz w:val="32"/>
      <w:szCs w:val="44"/>
    </w:rPr>
  </w:style>
  <w:style w:type="character" w:customStyle="1" w:styleId="36">
    <w:name w:val="标题 3 字符"/>
    <w:link w:val="4"/>
    <w:qFormat/>
    <w:uiPriority w:val="0"/>
    <w:rPr>
      <w:rFonts w:ascii="Times New Roman" w:hAnsi="Times New Roman" w:eastAsia="黑体"/>
      <w:bCs/>
      <w:sz w:val="28"/>
      <w:szCs w:val="32"/>
    </w:rPr>
  </w:style>
  <w:style w:type="character" w:customStyle="1" w:styleId="37">
    <w:name w:val="标题 4 字符"/>
    <w:link w:val="5"/>
    <w:qFormat/>
    <w:uiPriority w:val="0"/>
    <w:rPr>
      <w:rFonts w:ascii="等线 Light" w:hAnsi="等线 Light" w:eastAsia="黑体" w:cs="Times New Roman"/>
      <w:sz w:val="28"/>
      <w:szCs w:val="28"/>
    </w:rPr>
  </w:style>
  <w:style w:type="character" w:customStyle="1" w:styleId="38">
    <w:name w:val="标题 2 字符"/>
    <w:link w:val="3"/>
    <w:qFormat/>
    <w:uiPriority w:val="0"/>
    <w:rPr>
      <w:rFonts w:ascii="等线 Light" w:hAnsi="等线 Light" w:eastAsia="黑体" w:cs="Times New Roman"/>
      <w:b/>
      <w:bCs/>
      <w:sz w:val="30"/>
      <w:szCs w:val="32"/>
    </w:rPr>
  </w:style>
  <w:style w:type="paragraph" w:customStyle="1" w:styleId="39">
    <w:name w:val="图（居中）F2"/>
    <w:basedOn w:val="1"/>
    <w:link w:val="40"/>
    <w:qFormat/>
    <w:uiPriority w:val="0"/>
    <w:pPr>
      <w:keepNext/>
      <w:ind w:firstLine="0" w:firstLineChars="0"/>
      <w:jc w:val="center"/>
    </w:pPr>
    <w:rPr>
      <w:sz w:val="21"/>
    </w:rPr>
  </w:style>
  <w:style w:type="character" w:customStyle="1" w:styleId="40">
    <w:name w:val="图（居中）F2 字符"/>
    <w:link w:val="39"/>
    <w:qFormat/>
    <w:uiPriority w:val="0"/>
    <w:rPr>
      <w:rFonts w:ascii="Times New Roman" w:hAnsi="Times New Roman" w:eastAsia="宋体"/>
      <w:kern w:val="2"/>
      <w:sz w:val="21"/>
      <w:szCs w:val="22"/>
    </w:rPr>
  </w:style>
  <w:style w:type="character" w:customStyle="1" w:styleId="41">
    <w:name w:val="页眉 字符"/>
    <w:link w:val="18"/>
    <w:qFormat/>
    <w:uiPriority w:val="99"/>
    <w:rPr>
      <w:rFonts w:eastAsia="宋体"/>
      <w:sz w:val="18"/>
      <w:szCs w:val="18"/>
    </w:rPr>
  </w:style>
  <w:style w:type="character" w:customStyle="1" w:styleId="42">
    <w:name w:val="页脚 字符"/>
    <w:link w:val="17"/>
    <w:qFormat/>
    <w:uiPriority w:val="99"/>
    <w:rPr>
      <w:rFonts w:eastAsia="宋体"/>
      <w:sz w:val="18"/>
      <w:szCs w:val="18"/>
    </w:rPr>
  </w:style>
  <w:style w:type="paragraph" w:customStyle="1" w:styleId="43">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4">
    <w:name w:val="TOC Heading"/>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5">
    <w:name w:val="标题 6 字符"/>
    <w:link w:val="8"/>
    <w:semiHidden/>
    <w:qFormat/>
    <w:uiPriority w:val="9"/>
    <w:rPr>
      <w:rFonts w:ascii="等线 Light" w:hAnsi="等线 Light" w:eastAsia="等线 Light" w:cs="Times New Roman"/>
      <w:b/>
      <w:bCs/>
      <w:sz w:val="24"/>
      <w:szCs w:val="24"/>
    </w:rPr>
  </w:style>
  <w:style w:type="paragraph" w:styleId="46">
    <w:name w:val="No Spacing"/>
    <w:link w:val="47"/>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7">
    <w:name w:val="无间隔 字符"/>
    <w:link w:val="46"/>
    <w:qFormat/>
    <w:uiPriority w:val="1"/>
    <w:rPr>
      <w:rFonts w:ascii="Times New Roman" w:hAnsi="Times New Roman" w:eastAsia="宋体" w:cs="Times New Roman"/>
      <w:szCs w:val="24"/>
    </w:rPr>
  </w:style>
  <w:style w:type="character" w:customStyle="1" w:styleId="48">
    <w:name w:val="正文文本 2 字符"/>
    <w:link w:val="24"/>
    <w:qFormat/>
    <w:uiPriority w:val="99"/>
    <w:rPr>
      <w:rFonts w:eastAsia="仿宋"/>
      <w:sz w:val="28"/>
    </w:rPr>
  </w:style>
  <w:style w:type="paragraph" w:styleId="49">
    <w:name w:val="List Paragraph"/>
    <w:basedOn w:val="1"/>
    <w:link w:val="62"/>
    <w:qFormat/>
    <w:uiPriority w:val="34"/>
    <w:pPr>
      <w:ind w:firstLine="420"/>
    </w:pPr>
  </w:style>
  <w:style w:type="paragraph" w:customStyle="1" w:styleId="50">
    <w:name w:val="1级标题Alt+1"/>
    <w:basedOn w:val="3"/>
    <w:link w:val="52"/>
    <w:qFormat/>
    <w:uiPriority w:val="0"/>
    <w:pPr>
      <w:keepLines w:val="0"/>
      <w:numPr>
        <w:ilvl w:val="0"/>
        <w:numId w:val="1"/>
      </w:numPr>
      <w:ind w:left="200" w:hanging="200" w:hangingChars="200"/>
      <w:outlineLvl w:val="0"/>
    </w:pPr>
    <w:rPr>
      <w:rFonts w:ascii="Times New Roman" w:hAnsi="Times New Roman"/>
    </w:rPr>
  </w:style>
  <w:style w:type="character" w:customStyle="1" w:styleId="51">
    <w:name w:val="2级标题Alt+2 字符"/>
    <w:link w:val="7"/>
    <w:qFormat/>
    <w:uiPriority w:val="0"/>
    <w:rPr>
      <w:rFonts w:ascii="Times New Roman" w:hAnsi="Times New Roman" w:eastAsia="黑体"/>
      <w:b/>
      <w:bCs/>
      <w:kern w:val="2"/>
      <w:sz w:val="28"/>
      <w:szCs w:val="32"/>
    </w:rPr>
  </w:style>
  <w:style w:type="character" w:customStyle="1" w:styleId="52">
    <w:name w:val="1级标题Alt+1 字符"/>
    <w:link w:val="50"/>
    <w:qFormat/>
    <w:uiPriority w:val="0"/>
    <w:rPr>
      <w:rFonts w:ascii="Times New Roman" w:hAnsi="Times New Roman" w:eastAsia="黑体"/>
      <w:b/>
      <w:bCs/>
      <w:kern w:val="2"/>
      <w:sz w:val="30"/>
      <w:szCs w:val="32"/>
    </w:rPr>
  </w:style>
  <w:style w:type="character" w:customStyle="1" w:styleId="53">
    <w:name w:val="3级标题Alt+3 字符"/>
    <w:link w:val="6"/>
    <w:qFormat/>
    <w:uiPriority w:val="0"/>
    <w:rPr>
      <w:rFonts w:ascii="Times New Roman" w:hAnsi="Times New Roman" w:eastAsia="黑体"/>
      <w:b/>
      <w:bCs/>
      <w:kern w:val="2"/>
      <w:sz w:val="28"/>
      <w:szCs w:val="32"/>
    </w:rPr>
  </w:style>
  <w:style w:type="character" w:customStyle="1" w:styleId="54">
    <w:name w:val="批注文字 字符"/>
    <w:link w:val="11"/>
    <w:semiHidden/>
    <w:qFormat/>
    <w:uiPriority w:val="99"/>
    <w:rPr>
      <w:rFonts w:ascii="Times New Roman" w:hAnsi="Times New Roman" w:eastAsia="宋体"/>
      <w:sz w:val="28"/>
    </w:rPr>
  </w:style>
  <w:style w:type="character" w:customStyle="1" w:styleId="55">
    <w:name w:val="批注主题 字符"/>
    <w:link w:val="26"/>
    <w:semiHidden/>
    <w:qFormat/>
    <w:uiPriority w:val="99"/>
    <w:rPr>
      <w:rFonts w:ascii="Times New Roman" w:hAnsi="Times New Roman" w:eastAsia="宋体"/>
      <w:b/>
      <w:bCs/>
      <w:sz w:val="28"/>
    </w:rPr>
  </w:style>
  <w:style w:type="character" w:customStyle="1" w:styleId="56">
    <w:name w:val="批注框文本 字符"/>
    <w:link w:val="16"/>
    <w:semiHidden/>
    <w:qFormat/>
    <w:uiPriority w:val="99"/>
    <w:rPr>
      <w:rFonts w:ascii="Times New Roman" w:hAnsi="Times New Roman" w:eastAsia="宋体"/>
      <w:sz w:val="18"/>
      <w:szCs w:val="18"/>
    </w:rPr>
  </w:style>
  <w:style w:type="character" w:customStyle="1" w:styleId="57">
    <w:name w:val="尾注文本 字符"/>
    <w:link w:val="15"/>
    <w:semiHidden/>
    <w:qFormat/>
    <w:uiPriority w:val="99"/>
    <w:rPr>
      <w:rFonts w:ascii="Times New Roman" w:hAnsi="Times New Roman" w:eastAsia="宋体"/>
      <w:sz w:val="28"/>
    </w:rPr>
  </w:style>
  <w:style w:type="paragraph" w:customStyle="1" w:styleId="58">
    <w:name w:val="4级标题Alt+4"/>
    <w:basedOn w:val="6"/>
    <w:link w:val="59"/>
    <w:qFormat/>
    <w:uiPriority w:val="0"/>
    <w:pPr>
      <w:numPr>
        <w:ilvl w:val="3"/>
      </w:numPr>
      <w:outlineLvl w:val="3"/>
    </w:pPr>
  </w:style>
  <w:style w:type="character" w:customStyle="1" w:styleId="59">
    <w:name w:val="4级标题Alt+4 字符"/>
    <w:link w:val="58"/>
    <w:qFormat/>
    <w:uiPriority w:val="0"/>
    <w:rPr>
      <w:rFonts w:ascii="Times New Roman" w:hAnsi="Times New Roman" w:eastAsia="黑体"/>
      <w:b/>
      <w:bCs/>
      <w:kern w:val="2"/>
      <w:sz w:val="28"/>
      <w:szCs w:val="32"/>
    </w:rPr>
  </w:style>
  <w:style w:type="paragraph" w:customStyle="1" w:styleId="60">
    <w:name w:val="符号1Alt+F"/>
    <w:basedOn w:val="49"/>
    <w:link w:val="63"/>
    <w:qFormat/>
    <w:uiPriority w:val="0"/>
    <w:pPr>
      <w:numPr>
        <w:ilvl w:val="0"/>
        <w:numId w:val="2"/>
      </w:numPr>
      <w:ind w:left="200" w:hanging="200" w:hangingChars="200"/>
    </w:pPr>
  </w:style>
  <w:style w:type="paragraph" w:customStyle="1" w:styleId="61">
    <w:name w:val="三级标题"/>
    <w:basedOn w:val="7"/>
    <w:next w:val="1"/>
    <w:qFormat/>
    <w:uiPriority w:val="0"/>
    <w:pPr>
      <w:keepNext w:val="0"/>
      <w:numPr>
        <w:ilvl w:val="0"/>
        <w:numId w:val="0"/>
      </w:numPr>
      <w:ind w:firstLine="200" w:firstLineChars="200"/>
      <w:outlineLvl w:val="2"/>
    </w:pPr>
  </w:style>
  <w:style w:type="character" w:customStyle="1" w:styleId="62">
    <w:name w:val="列出段落 字符"/>
    <w:link w:val="49"/>
    <w:qFormat/>
    <w:uiPriority w:val="34"/>
    <w:rPr>
      <w:rFonts w:ascii="Times New Roman" w:hAnsi="Times New Roman" w:eastAsia="宋体"/>
      <w:sz w:val="28"/>
    </w:rPr>
  </w:style>
  <w:style w:type="character" w:customStyle="1" w:styleId="63">
    <w:name w:val="符号1Alt+F 字符"/>
    <w:link w:val="60"/>
    <w:qFormat/>
    <w:uiPriority w:val="0"/>
    <w:rPr>
      <w:rFonts w:ascii="Times New Roman" w:hAnsi="Times New Roman" w:eastAsia="宋体"/>
      <w:kern w:val="2"/>
      <w:sz w:val="28"/>
      <w:szCs w:val="22"/>
    </w:rPr>
  </w:style>
  <w:style w:type="paragraph" w:customStyle="1" w:styleId="64">
    <w:name w:val="表题Alt+B"/>
    <w:basedOn w:val="65"/>
    <w:qFormat/>
    <w:uiPriority w:val="0"/>
    <w:pPr>
      <w:keepNext/>
    </w:pPr>
    <w:rPr>
      <w:b/>
      <w:sz w:val="24"/>
      <w:szCs w:val="24"/>
    </w:rPr>
  </w:style>
  <w:style w:type="paragraph" w:customStyle="1" w:styleId="65">
    <w:name w:val="图题Alt+T"/>
    <w:basedOn w:val="1"/>
    <w:next w:val="1"/>
    <w:link w:val="66"/>
    <w:qFormat/>
    <w:uiPriority w:val="0"/>
    <w:pPr>
      <w:widowControl/>
      <w:ind w:firstLine="0" w:firstLineChars="0"/>
      <w:jc w:val="center"/>
    </w:pPr>
    <w:rPr>
      <w:rFonts w:eastAsia="仿宋"/>
      <w:sz w:val="21"/>
      <w:szCs w:val="28"/>
    </w:rPr>
  </w:style>
  <w:style w:type="character" w:customStyle="1" w:styleId="66">
    <w:name w:val="图题Alt+T 字符"/>
    <w:link w:val="65"/>
    <w:qFormat/>
    <w:uiPriority w:val="0"/>
    <w:rPr>
      <w:rFonts w:ascii="Times New Roman" w:hAnsi="Times New Roman" w:eastAsia="仿宋"/>
      <w:kern w:val="2"/>
      <w:sz w:val="21"/>
      <w:szCs w:val="28"/>
    </w:rPr>
  </w:style>
  <w:style w:type="paragraph" w:customStyle="1" w:styleId="67">
    <w:name w:val="表题"/>
    <w:basedOn w:val="65"/>
    <w:link w:val="68"/>
    <w:qFormat/>
    <w:uiPriority w:val="0"/>
    <w:pPr>
      <w:keepNext/>
    </w:pPr>
  </w:style>
  <w:style w:type="character" w:customStyle="1" w:styleId="68">
    <w:name w:val="表题 字符"/>
    <w:basedOn w:val="66"/>
    <w:link w:val="67"/>
    <w:qFormat/>
    <w:uiPriority w:val="0"/>
    <w:rPr>
      <w:rFonts w:ascii="仿宋" w:hAnsi="仿宋" w:eastAsia="仿宋"/>
      <w:kern w:val="2"/>
      <w:sz w:val="24"/>
      <w:szCs w:val="28"/>
    </w:rPr>
  </w:style>
  <w:style w:type="paragraph" w:customStyle="1" w:styleId="69">
    <w:name w:val="符号删"/>
    <w:basedOn w:val="60"/>
    <w:qFormat/>
    <w:uiPriority w:val="0"/>
    <w:pPr>
      <w:numPr>
        <w:numId w:val="3"/>
      </w:numPr>
      <w:ind w:left="500" w:leftChars="400" w:hanging="100" w:hangingChars="100"/>
    </w:pPr>
  </w:style>
  <w:style w:type="character" w:customStyle="1" w:styleId="70">
    <w:name w:val="题注 字符"/>
    <w:link w:val="10"/>
    <w:qFormat/>
    <w:locked/>
    <w:uiPriority w:val="0"/>
    <w:rPr>
      <w:rFonts w:ascii="等线 Light" w:hAnsi="等线 Light" w:eastAsia="黑体"/>
      <w:kern w:val="2"/>
    </w:rPr>
  </w:style>
  <w:style w:type="character" w:customStyle="1" w:styleId="71">
    <w:name w:val="报告正文 Char"/>
    <w:link w:val="72"/>
    <w:qFormat/>
    <w:locked/>
    <w:uiPriority w:val="0"/>
    <w:rPr>
      <w:rFonts w:ascii="宋体" w:hAnsi="宋体" w:eastAsia="宋体"/>
      <w:sz w:val="24"/>
      <w:szCs w:val="28"/>
    </w:rPr>
  </w:style>
  <w:style w:type="paragraph" w:customStyle="1" w:styleId="72">
    <w:name w:val="报告正文"/>
    <w:basedOn w:val="1"/>
    <w:link w:val="71"/>
    <w:qFormat/>
    <w:locked/>
    <w:uiPriority w:val="0"/>
    <w:pPr>
      <w:ind w:firstLine="560"/>
    </w:pPr>
    <w:rPr>
      <w:rFonts w:ascii="宋体" w:hAnsi="宋体"/>
      <w:kern w:val="0"/>
      <w:sz w:val="24"/>
      <w:szCs w:val="28"/>
    </w:rPr>
  </w:style>
  <w:style w:type="paragraph" w:customStyle="1" w:styleId="73">
    <w:name w:val="符号3Alt+F3"/>
    <w:basedOn w:val="49"/>
    <w:qFormat/>
    <w:uiPriority w:val="0"/>
    <w:pPr>
      <w:numPr>
        <w:ilvl w:val="2"/>
        <w:numId w:val="4"/>
      </w:numPr>
      <w:ind w:left="400" w:leftChars="400" w:firstLine="0" w:firstLineChars="0"/>
    </w:pPr>
  </w:style>
  <w:style w:type="paragraph" w:customStyle="1" w:styleId="74">
    <w:name w:val="符号2，Alt+F2"/>
    <w:basedOn w:val="49"/>
    <w:qFormat/>
    <w:uiPriority w:val="0"/>
    <w:pPr>
      <w:numPr>
        <w:ilvl w:val="1"/>
        <w:numId w:val="5"/>
      </w:numPr>
      <w:ind w:left="620" w:leftChars="200" w:firstLine="0" w:firstLineChars="0"/>
    </w:pPr>
  </w:style>
  <w:style w:type="paragraph" w:customStyle="1" w:styleId="75">
    <w:name w:val="表格Alt+g"/>
    <w:basedOn w:val="65"/>
    <w:qFormat/>
    <w:uiPriority w:val="0"/>
    <w:pPr>
      <w:spacing w:line="240" w:lineRule="auto"/>
    </w:pPr>
    <w:rPr>
      <w:sz w:val="24"/>
    </w:rPr>
  </w:style>
  <w:style w:type="paragraph" w:customStyle="1" w:styleId="76">
    <w:name w:val="参考文献Alt+c"/>
    <w:basedOn w:val="49"/>
    <w:qFormat/>
    <w:uiPriority w:val="0"/>
    <w:pPr>
      <w:numPr>
        <w:ilvl w:val="0"/>
        <w:numId w:val="6"/>
      </w:numPr>
      <w:ind w:left="561" w:firstLine="0" w:firstLineChars="0"/>
    </w:pPr>
    <w:rPr>
      <w:sz w:val="21"/>
      <w:szCs w:val="21"/>
    </w:rPr>
  </w:style>
  <w:style w:type="paragraph" w:customStyle="1" w:styleId="77">
    <w:name w:val="正文5级alt+5"/>
    <w:basedOn w:val="1"/>
    <w:qFormat/>
    <w:uiPriority w:val="0"/>
    <w:pPr>
      <w:numPr>
        <w:ilvl w:val="4"/>
        <w:numId w:val="1"/>
      </w:numPr>
      <w:ind w:firstLineChars="0"/>
    </w:pPr>
  </w:style>
  <w:style w:type="paragraph" w:customStyle="1" w:styleId="78">
    <w:name w:val="正文6级alt+6"/>
    <w:basedOn w:val="1"/>
    <w:qFormat/>
    <w:uiPriority w:val="0"/>
    <w:pPr>
      <w:numPr>
        <w:ilvl w:val="5"/>
        <w:numId w:val="1"/>
      </w:numPr>
      <w:ind w:firstLineChars="0"/>
    </w:pPr>
  </w:style>
  <w:style w:type="paragraph" w:customStyle="1" w:styleId="79">
    <w:name w:val="正文居中Alt+x"/>
    <w:basedOn w:val="1"/>
    <w:qFormat/>
    <w:uiPriority w:val="0"/>
    <w:pPr>
      <w:ind w:firstLine="0" w:firstLineChars="0"/>
      <w:jc w:val="center"/>
    </w:pPr>
    <w:rPr>
      <w:color w:val="000000" w:themeColor="text1"/>
      <w14:textFill>
        <w14:solidFill>
          <w14:schemeClr w14:val="tx1"/>
        </w14:solidFill>
      </w14:textFill>
    </w:rPr>
  </w:style>
  <w:style w:type="paragraph" w:customStyle="1" w:styleId="80">
    <w:name w:val="编号列表-数字"/>
    <w:basedOn w:val="49"/>
    <w:qFormat/>
    <w:uiPriority w:val="0"/>
    <w:pPr>
      <w:numPr>
        <w:ilvl w:val="0"/>
        <w:numId w:val="7"/>
      </w:numPr>
      <w:ind w:left="788" w:hanging="227" w:firstLineChars="0"/>
    </w:pPr>
  </w:style>
  <w:style w:type="paragraph" w:customStyle="1" w:styleId="81">
    <w:name w:val="编号列表-字母"/>
    <w:basedOn w:val="49"/>
    <w:qFormat/>
    <w:uiPriority w:val="0"/>
    <w:pPr>
      <w:numPr>
        <w:ilvl w:val="0"/>
        <w:numId w:val="8"/>
      </w:numPr>
      <w:ind w:left="788" w:hanging="227" w:firstLineChars="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microsoft.com/office/2006/relationships/keyMapCustomizations" Target="customizations.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21201-3FE8-4CEF-86DE-CA18CAD80117}">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1</Pages>
  <Words>737</Words>
  <Characters>4202</Characters>
  <Lines>35</Lines>
  <Paragraphs>9</Paragraphs>
  <TotalTime>60</TotalTime>
  <ScaleCrop>false</ScaleCrop>
  <LinksUpToDate>false</LinksUpToDate>
  <CharactersWithSpaces>4930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2026-01-26T02:45:14Z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