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98" w:firstLineChars="71"/>
        <w:rPr>
          <w:rFonts w:hint="eastAsia"/>
        </w:rPr>
      </w:pPr>
    </w:p>
    <w:p>
      <w:pPr>
        <w:ind w:firstLine="257" w:firstLineChars="71"/>
        <w:jc w:val="center"/>
        <w:rPr>
          <w:rFonts w:hint="eastAsia"/>
          <w:b/>
          <w:bCs/>
          <w:sz w:val="36"/>
          <w:szCs w:val="28"/>
        </w:rPr>
      </w:pPr>
      <w:r>
        <w:rPr>
          <w:rFonts w:hint="eastAsia"/>
          <w:b/>
          <w:bCs/>
          <w:sz w:val="36"/>
          <w:szCs w:val="28"/>
        </w:rPr>
        <w:t>解决方案</w:t>
      </w:r>
    </w:p>
    <w:p>
      <w:pPr>
        <w:ind w:firstLine="257" w:firstLineChars="71"/>
        <w:jc w:val="center"/>
        <w:rPr>
          <w:rFonts w:hint="eastAsia"/>
          <w:b/>
          <w:bCs/>
          <w:sz w:val="36"/>
          <w:szCs w:val="28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本系统是一套专为广域水面及航道设计的远程智能监控解决方案，旨在实现对数公里宽、纵深最远可达20公里的江/海面的全天候、全时段可视化监管。系统整体架构由前端视频采集、网络传输及后端显控管理三部分构成。通过该系统，管理人员可在指挥中心通过实时高清画面，直观掌握责任航道内的船舶动态与通航状况，从而实现高效的远程调度与安全管理。</w:t>
      </w:r>
    </w:p>
    <w:p>
      <w:pPr>
        <w:bidi w:val="0"/>
        <w:rPr>
          <w:rFonts w:hint="eastAsia"/>
        </w:rPr>
      </w:pPr>
      <w:r>
        <w:rPr>
          <w:rFonts w:hint="eastAsia"/>
        </w:rPr>
        <w:t>前端采集系统核心为一套集成化的高性能成像单元，由星光级超低照度传感器、大倍率长焦距电动变焦镜头、专用激光夜视照明器以及重载变速云台护罩一体化构成，确保在昼夜及低能见度条件下均能获取清晰、稳定的远距离图像。数据经由光纤等高带宽介质传输至指挥中心，后端则配置高性能视频服务器、存储设备、三维操控键盘及大屏幕显示系统，构成完整的态势显示、录像回放与设备操控平台，为航道管理提供全面的技术支撑。</w:t>
      </w:r>
    </w:p>
    <w:p>
      <w:pPr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837940" cy="8862695"/>
            <wp:effectExtent l="0" t="0" r="10160" b="14605"/>
            <wp:docPr id="9" name="图片 9" descr="1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0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524375" cy="2352675"/>
            <wp:effectExtent l="0" t="0" r="9525" b="9525"/>
            <wp:docPr id="15" name="图片 15" descr="1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00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lang w:eastAsia="zh-CN"/>
        </w:rPr>
        <w:drawing>
          <wp:inline distT="0" distB="0" distL="114300" distR="114300">
            <wp:extent cx="4524375" cy="2352675"/>
            <wp:effectExtent l="0" t="0" r="9525" b="9525"/>
            <wp:docPr id="14" name="图片 14" descr="1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00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  <w:lang w:eastAsia="zh-CN"/>
        </w:rPr>
        <w:drawing>
          <wp:inline distT="0" distB="0" distL="114300" distR="114300">
            <wp:extent cx="4524375" cy="2352675"/>
            <wp:effectExtent l="0" t="0" r="9525" b="9525"/>
            <wp:docPr id="13" name="图片 13" descr="1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00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4524375" cy="2352675"/>
            <wp:effectExtent l="0" t="0" r="9525" b="9525"/>
            <wp:docPr id="12" name="图片 12" descr="1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00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4524375" cy="2352675"/>
            <wp:effectExtent l="0" t="0" r="9525" b="9525"/>
            <wp:docPr id="11" name="图片 11" descr="1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00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4524375" cy="2352675"/>
            <wp:effectExtent l="0" t="0" r="9525" b="9525"/>
            <wp:docPr id="10" name="图片 10" descr="1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00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4524375" cy="2352675"/>
            <wp:effectExtent l="0" t="0" r="9525" b="9525"/>
            <wp:docPr id="8" name="图片 8" descr="1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00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16DA3D2F"/>
    <w:rsid w:val="1CBC603D"/>
    <w:rsid w:val="473205D7"/>
    <w:rsid w:val="526136A3"/>
    <w:rsid w:val="60F81D85"/>
    <w:rsid w:val="7E4F719E"/>
    <w:rsid w:val="7E5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iPriority="0" w:semiHidden="0" w:name="heading 2"/>
    <w:lsdException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microsoft.com/office/2006/relationships/keyMapCustomizations" Target="customizations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52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2026-01-09T01:54:26Z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