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8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природной гамме (шалфейный зелёный, терракота, кремовый), соответствующей тематике ландшафтного дизайна; простая раскладка без лишних декоративных элементов и плавные ненавязчивые анимации; телефон студии в шапке каждой страницы;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2026-10-29T13:25:47.416Z</dcterms:created>
  <dcterms:modified xsi:type="dcterms:W3CDTF">2026-10-29T13:25:47.416Z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