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50" w:before="220"/>
      </w:pPr>
      <w:r>
        <w:t xml:space="preserve">学伴管家评测用例</w:t>
      </w:r>
    </w:p>
    <w:p>
      <w:pPr>
        <w:keepNext/>
        <w:widowControl/>
        <w:spacing w:after="140" w:line="330"/>
      </w:pPr>
      <w:r>
        <w:t xml:space="preserve">对应附件4 · 学习 DDL 与资料管理智能体 · 执行日期 2026年10月10日</w:t>
      </w:r>
    </w:p>
    <w:p>
      <w:pPr>
        <w:keepNext/>
        <w:widowControl/>
        <w:spacing w:after="140" w:line="330"/>
      </w:pPr>
      <w:r>
        <w:t xml:space="preserve">共16条，覆盖正常、异常与边界场景。统一必测场景按命题名称匹配；手册和附件的命题编号差异见技术报告。自动化结果来自完整463项后端回归、前端verify和Android检查；浏览器结果来自隔离演示服务，实际输入与截图保存在本目录。测试通过不等于真实用户识别准确率。</w:t>
      </w:r>
    </w:p>
    <w:p>
      <w:pPr>
        <w:pStyle w:val="Heading1"/>
        <w:keepNext/>
        <w:spacing w:after="150" w:before="220"/>
      </w:pPr>
      <w:r>
        <w:t xml:space="preserve">TC01 统一必测 通知到学习安排</w:t>
      </w:r>
    </w:p>
    <w:p>
      <w:pPr>
        <w:keepNext/>
        <w:widowControl/>
        <w:spacing w:after="140" w:line="330"/>
      </w:pPr>
      <w:r>
        <w:t xml:space="preserve">类型：正常。前置：运行start-reviewer.ps1，进入示例空间。</w:t>
      </w:r>
    </w:p>
    <w:p>
      <w:pPr>
        <w:keepNext/>
        <w:widowControl/>
        <w:spacing w:after="140" w:line="330"/>
      </w:pPr>
      <w:r>
        <w:t xml:space="preserve">输入：《数据结构》课程通知：请于2026年10月15日20:00前提交图遍历实验报告。报告需包含算法说明、实验结果和总结。</w:t>
      </w:r>
    </w:p>
    <w:p>
      <w:pPr>
        <w:keepNext/>
        <w:widowControl/>
        <w:spacing w:after="140" w:line="330"/>
      </w:pPr>
      <w:r>
        <w:t xml:space="preserve">步骤：资料库粘贴文字，保存并核对；选择数据结构课程，确认任务；进入安排复习，选择一周和每日60分钟；生成计划。再从任务列表核对时间、打开来源并标记完成。</w:t>
      </w:r>
    </w:p>
    <w:p>
      <w:pPr>
        <w:keepNext/>
        <w:widowControl/>
        <w:spacing w:after="140" w:line="330"/>
      </w:pPr>
      <w:r>
        <w:t xml:space="preserve">预期与标准：资料可回查；仅1条实验报告任务；截止北京时间20:00；有原文依据；用户确认前不建任务；能产生复习清单及完成记录。</w:t>
      </w:r>
    </w:p>
    <w:p>
      <w:pPr>
        <w:keepNext w:val="false"/>
        <w:widowControl/>
        <w:spacing w:after="140" w:line="330"/>
      </w:pPr>
      <w:r>
        <w:t xml:space="preserve">实际：通过。截图02至10记录输入、候选、确认、计划、任务及完成状态。课程由用户在确认时关联；不宣称系统自动完成所有课程映射。连续后端流程另由backend/tests/integration/test_reviewer_reproduction_smoke.py覆盖。</w:t>
      </w:r>
    </w:p>
    <w:p>
      <w:pPr>
        <w:pStyle w:val="Heading1"/>
        <w:keepNext/>
        <w:spacing w:after="150" w:before="220"/>
      </w:pPr>
      <w:r>
        <w:t xml:space="preserve">TC02 常见文档解析</w:t>
      </w:r>
    </w:p>
    <w:p>
      <w:pPr>
        <w:keepNext/>
        <w:widowControl/>
        <w:spacing w:after="140" w:line="330"/>
      </w:pPr>
      <w:r>
        <w:t xml:space="preserve">类型：正常。前置：隔离测试数据库与上传目录。</w:t>
      </w:r>
    </w:p>
    <w:p>
      <w:pPr>
        <w:keepNext/>
        <w:widowControl/>
        <w:spacing w:after="140" w:line="330"/>
      </w:pPr>
      <w:r>
        <w:t xml:space="preserve">输入：测试夹具中的UTF-8文本、DOCX、文本PDF。步骤：通过上传接口提交并读取资料。</w:t>
      </w:r>
    </w:p>
    <w:p>
      <w:pPr>
        <w:keepNext/>
        <w:widowControl/>
        <w:spacing w:after="140" w:line="330"/>
      </w:pPr>
      <w:r>
        <w:t xml:space="preserve">预期与标准：返回成功，正文包含输入内容，保留原文件及处理状态。</w:t>
      </w:r>
    </w:p>
    <w:p>
      <w:pPr>
        <w:keepNext w:val="false"/>
        <w:widowControl/>
        <w:spacing w:after="140" w:line="330"/>
      </w:pPr>
      <w:r>
        <w:t xml:space="preserve">实际：通过。backend/tests/api/test_api.py中的test_m3_uploads_and_extracts_utf8_text、test_m3_uploads_and_extracts_docx、test_m3_uploads_and_extracts_pdf均纳入463项回归。</w:t>
      </w:r>
    </w:p>
    <w:p>
      <w:pPr>
        <w:pStyle w:val="Heading1"/>
        <w:keepNext/>
        <w:spacing w:after="150" w:before="220"/>
      </w:pPr>
      <w:r>
        <w:t xml:space="preserve">TC03 资料检索及标签</w:t>
      </w:r>
    </w:p>
    <w:p>
      <w:pPr>
        <w:keepNext/>
        <w:widowControl/>
        <w:spacing w:after="140" w:line="330"/>
      </w:pPr>
      <w:r>
        <w:t xml:space="preserve">类型：正常。前置：已有课程资料、标签和正文。</w:t>
      </w:r>
    </w:p>
    <w:p>
      <w:pPr>
        <w:keepNext/>
        <w:widowControl/>
        <w:spacing w:after="140" w:line="330"/>
      </w:pPr>
      <w:r>
        <w:t xml:space="preserve">输入：检索“图遍历”，并组合课程过滤。步骤：保存资料后调用检索接口，读取命中字段与片段。</w:t>
      </w:r>
    </w:p>
    <w:p>
      <w:pPr>
        <w:keepNext/>
        <w:widowControl/>
        <w:spacing w:after="140" w:line="330"/>
      </w:pPr>
      <w:r>
        <w:t xml:space="preserve">预期与标准：返回对应资料；命中依据可查；不返回其他工作区资料。</w:t>
      </w:r>
    </w:p>
    <w:p>
      <w:pPr>
        <w:keepNext w:val="false"/>
        <w:widowControl/>
        <w:spacing w:after="140" w:line="330"/>
      </w:pPr>
      <w:r>
        <w:t xml:space="preserve">实际：通过。test_m5_material_search_filters_and_returns_match_evidence与独立复现冒烟覆盖检索，确认流程覆盖课程、类型和标签保存。</w:t>
      </w:r>
    </w:p>
    <w:p>
      <w:pPr>
        <w:pStyle w:val="Heading1"/>
        <w:keepNext/>
        <w:spacing w:after="150" w:before="220"/>
      </w:pPr>
      <w:r>
        <w:t xml:space="preserve">TC04 导出复用</w:t>
      </w:r>
    </w:p>
    <w:p>
      <w:pPr>
        <w:keepNext/>
        <w:widowControl/>
        <w:spacing w:after="140" w:line="330"/>
      </w:pPr>
      <w:r>
        <w:t xml:space="preserve">类型：正常。前置：有已确认任务、资料和复习计划。</w:t>
      </w:r>
    </w:p>
    <w:p>
      <w:pPr>
        <w:keepNext/>
        <w:widowControl/>
        <w:spacing w:after="140" w:line="330"/>
      </w:pPr>
      <w:r>
        <w:t xml:space="preserve">输入：任务日历、任务CSV、资料Markdown、计划Markdown导出请求。</w:t>
      </w:r>
    </w:p>
    <w:p>
      <w:pPr>
        <w:keepNext/>
        <w:widowControl/>
        <w:spacing w:after="140" w:line="330"/>
      </w:pPr>
      <w:r>
        <w:t xml:space="preserve">预期与标准：HTTP200；文件可解码；日历包含事件、上海时区及提醒字段；输出与已有记录一致。</w:t>
      </w:r>
    </w:p>
    <w:p>
      <w:pPr>
        <w:keepNext w:val="false"/>
        <w:widowControl/>
        <w:spacing w:after="140" w:line="330"/>
      </w:pPr>
      <w:r>
        <w:t xml:space="preserve">实际：通过API验证，四个实际导出文件已保存到samples。后台回归校验日历字段和中文编码。系统日历客户端导入及通知触发未在本轮执行，不计为通过。</w:t>
      </w:r>
    </w:p>
    <w:p>
      <w:pPr>
        <w:pStyle w:val="Heading1"/>
        <w:keepNext/>
        <w:spacing w:after="150" w:before="220"/>
      </w:pPr>
      <w:r>
        <w:t xml:space="preserve">TC05 截止提前预演</w:t>
      </w:r>
    </w:p>
    <w:p>
      <w:pPr>
        <w:keepNext/>
        <w:widowControl/>
        <w:spacing w:after="140" w:line="330"/>
      </w:pPr>
      <w:r>
        <w:t xml:space="preserve">类型：正常。前置：TC01任务仍未完成，原截止10月15日20:00。</w:t>
      </w:r>
    </w:p>
    <w:p>
      <w:pPr>
        <w:keepNext/>
        <w:widowControl/>
        <w:spacing w:after="140" w:line="330"/>
      </w:pPr>
      <w:r>
        <w:t xml:space="preserve">输入：《数据结构》课程通知：提交图遍历实验报告的截止时间提前至2026年10月14日20:00，请同学们重新安排。</w:t>
      </w:r>
    </w:p>
    <w:p>
      <w:pPr>
        <w:keepNext/>
        <w:widowControl/>
        <w:spacing w:after="140" w:line="330"/>
      </w:pPr>
      <w:r>
        <w:t xml:space="preserve">预期与标准：显示提前1天、原文依据与新旧截止；预览不写入；确认执行需明确勾选。</w:t>
      </w:r>
    </w:p>
    <w:p>
      <w:pPr>
        <w:keepNext w:val="false"/>
        <w:widowControl/>
        <w:spacing w:after="140" w:line="330"/>
      </w:pPr>
      <w:r>
        <w:t xml:space="preserve">实际：通过浏览器预览，截图07显示新旧截止及证据。未点击最终执行，原任务保持10月15日20:00；确认写入和并发校验由后端应变台测试覆盖。</w:t>
      </w:r>
    </w:p>
    <w:p>
      <w:pPr>
        <w:pStyle w:val="Heading1"/>
        <w:keepNext/>
        <w:spacing w:after="150" w:before="220"/>
      </w:pPr>
      <w:r>
        <w:t xml:space="preserve">TC06 空文件与不支持格式</w:t>
      </w:r>
    </w:p>
    <w:p>
      <w:pPr>
        <w:keepNext/>
        <w:widowControl/>
        <w:spacing w:after="140" w:line="330"/>
      </w:pPr>
      <w:r>
        <w:t xml:space="preserve">类型：异常。前置：隔离上传目录。</w:t>
      </w:r>
    </w:p>
    <w:p>
      <w:pPr>
        <w:keepNext/>
        <w:widowControl/>
        <w:spacing w:after="140" w:line="330"/>
      </w:pPr>
      <w:r>
        <w:t xml:space="preserve">输入：空文本、非法扩展名文件。步骤：直接提交上传接口。</w:t>
      </w:r>
    </w:p>
    <w:p>
      <w:pPr>
        <w:keepNext/>
        <w:widowControl/>
        <w:spacing w:after="140" w:line="330"/>
      </w:pPr>
      <w:r>
        <w:t xml:space="preserve">预期与标准：拒绝请求并给出错误，不产生脏资料记录。</w:t>
      </w:r>
    </w:p>
    <w:p>
      <w:pPr>
        <w:keepNext w:val="false"/>
        <w:widowControl/>
        <w:spacing w:after="140" w:line="330"/>
      </w:pPr>
      <w:r>
        <w:t xml:space="preserve">实际：通过。test_m3_rejects_unsupported_and_empty_files_without_material_records。</w:t>
      </w:r>
    </w:p>
    <w:p>
      <w:pPr>
        <w:pStyle w:val="Heading1"/>
        <w:keepNext/>
        <w:spacing w:after="150" w:before="220"/>
      </w:pPr>
      <w:r>
        <w:t xml:space="preserve">TC07 OCR失败可恢复</w:t>
      </w:r>
    </w:p>
    <w:p>
      <w:pPr>
        <w:keepNext/>
        <w:widowControl/>
        <w:spacing w:after="140" w:line="330"/>
      </w:pPr>
      <w:r>
        <w:t xml:space="preserve">类型：异常。前置：测试替身令OCR失败。</w:t>
      </w:r>
    </w:p>
    <w:p>
      <w:pPr>
        <w:keepNext/>
        <w:widowControl/>
        <w:spacing w:after="140" w:line="330"/>
      </w:pPr>
      <w:r>
        <w:t xml:space="preserve">输入：图片或扫描PDF。步骤：上传后检查状态，再使用重试或手动补文路径。</w:t>
      </w:r>
    </w:p>
    <w:p>
      <w:pPr>
        <w:keepNext/>
        <w:widowControl/>
        <w:spacing w:after="140" w:line="330"/>
      </w:pPr>
      <w:r>
        <w:t xml:space="preserve">预期与标准：原文件保留；错误状态可见；业务不静默伪造正文。</w:t>
      </w:r>
    </w:p>
    <w:p>
      <w:pPr>
        <w:keepNext w:val="false"/>
        <w:widowControl/>
        <w:spacing w:after="140" w:line="330"/>
      </w:pPr>
      <w:r>
        <w:t xml:space="preserve">实际：通过失败路径测试。test_m7_ocr_failure_keeps_original_file、test_m3_keeps_failed_original_file_and_allows_retry及手动补文测试。此结论不等于复杂扫描件的OCR识别率。</w:t>
      </w:r>
    </w:p>
    <w:p>
      <w:pPr>
        <w:pStyle w:val="Heading1"/>
        <w:keepNext/>
        <w:spacing w:after="150" w:before="220"/>
      </w:pPr>
      <w:r>
        <w:t xml:space="preserve">TC08 外部模型失败兜底</w:t>
      </w:r>
    </w:p>
    <w:p>
      <w:pPr>
        <w:keepNext/>
        <w:widowControl/>
        <w:spacing w:after="140" w:line="330"/>
      </w:pPr>
      <w:r>
        <w:t xml:space="preserve">类型：异常。前置：测试替身模拟超时、非法JSON或未配置Provider。</w:t>
      </w:r>
    </w:p>
    <w:p>
      <w:pPr>
        <w:keepNext/>
        <w:widowControl/>
        <w:spacing w:after="140" w:line="330"/>
      </w:pPr>
      <w:r>
        <w:t xml:space="preserve">输入：请求外部Provider抽取。</w:t>
      </w:r>
    </w:p>
    <w:p>
      <w:pPr>
        <w:keepNext/>
        <w:widowControl/>
        <w:spacing w:after="140" w:line="330"/>
      </w:pPr>
      <w:r>
        <w:t xml:space="preserve">预期与标准：安全错误或不可用状态；不泄露密钥和内部异常；不创建正式任务。</w:t>
      </w:r>
    </w:p>
    <w:p>
      <w:pPr>
        <w:keepNext w:val="false"/>
        <w:widowControl/>
        <w:spacing w:after="140" w:line="330"/>
      </w:pPr>
      <w:r>
        <w:t xml:space="preserve">实际：自动化通过。backend/tests/api中的Provider用例及完整回归覆盖。本轮未配置真实外部模型，不报告真实供应商可用率。</w:t>
      </w:r>
    </w:p>
    <w:p>
      <w:pPr>
        <w:pStyle w:val="Heading1"/>
        <w:keepNext/>
        <w:spacing w:after="150" w:before="220"/>
      </w:pPr>
      <w:r>
        <w:t xml:space="preserve">TC09 未登录与缺少CSRF</w:t>
      </w:r>
    </w:p>
    <w:p>
      <w:pPr>
        <w:keepNext/>
        <w:widowControl/>
        <w:spacing w:after="140" w:line="330"/>
      </w:pPr>
      <w:r>
        <w:t xml:space="preserve">类型：异常。前置：无会话，或已登录但没有正确CSRF请求头。</w:t>
      </w:r>
    </w:p>
    <w:p>
      <w:pPr>
        <w:keepNext/>
        <w:widowControl/>
        <w:spacing w:after="140" w:line="330"/>
      </w:pPr>
      <w:r>
        <w:t xml:space="preserve">输入：访问业务数据或尝试写入。</w:t>
      </w:r>
    </w:p>
    <w:p>
      <w:pPr>
        <w:keepNext/>
        <w:widowControl/>
        <w:spacing w:after="140" w:line="330"/>
      </w:pPr>
      <w:r>
        <w:t xml:space="preserve">预期与标准：未认证读取返回401；非法写入返回403；数据不变。</w:t>
      </w:r>
    </w:p>
    <w:p>
      <w:pPr>
        <w:keepNext w:val="false"/>
        <w:widowControl/>
        <w:spacing w:after="140" w:line="330"/>
      </w:pPr>
      <w:r>
        <w:t xml:space="preserve">实际：自动化通过。认证、会话及CSRF回归覆盖，独立冒烟包含注册、退出、登录流程。</w:t>
      </w:r>
    </w:p>
    <w:p>
      <w:pPr>
        <w:pStyle w:val="Heading1"/>
        <w:keepNext/>
        <w:spacing w:after="150" w:before="220"/>
      </w:pPr>
      <w:r>
        <w:t xml:space="preserve">TC10 重复文件与重复确认</w:t>
      </w:r>
    </w:p>
    <w:p>
      <w:pPr>
        <w:keepNext/>
        <w:widowControl/>
        <w:spacing w:after="140" w:line="330"/>
      </w:pPr>
      <w:r>
        <w:t xml:space="preserve">类型：边界。前置：已上传并确认一份通知。</w:t>
      </w:r>
    </w:p>
    <w:p>
      <w:pPr>
        <w:keepNext/>
        <w:widowControl/>
        <w:spacing w:after="140" w:line="330"/>
      </w:pPr>
      <w:r>
        <w:t xml:space="preserve">输入：相同内容换名重传；再次提交已确认批次。</w:t>
      </w:r>
    </w:p>
    <w:p>
      <w:pPr>
        <w:keepNext/>
        <w:widowControl/>
        <w:spacing w:after="140" w:line="330"/>
      </w:pPr>
      <w:r>
        <w:t xml:space="preserve">预期与标准：内容哈希识别重复；不重复创建正式任务；确认快照保留。</w:t>
      </w:r>
    </w:p>
    <w:p>
      <w:pPr>
        <w:keepNext w:val="false"/>
        <w:widowControl/>
        <w:spacing w:after="140" w:line="330"/>
      </w:pPr>
      <w:r>
        <w:t xml:space="preserve">实际：自动化通过。test_m3_detects_duplicate_content及抽取确认回归；独立冒烟包含同批次重放。</w:t>
      </w:r>
    </w:p>
    <w:p>
      <w:pPr>
        <w:pStyle w:val="Heading1"/>
        <w:keepNext/>
        <w:spacing w:after="150" w:before="220"/>
      </w:pPr>
      <w:r>
        <w:t xml:space="preserve">TC11 时间歧义与无效日期</w:t>
      </w:r>
    </w:p>
    <w:p>
      <w:pPr>
        <w:keepNext/>
        <w:widowControl/>
        <w:spacing w:after="140" w:line="330"/>
      </w:pPr>
      <w:r>
        <w:t xml:space="preserve">类型：边界。前置：本地规则模式。</w:t>
      </w:r>
    </w:p>
    <w:p>
      <w:pPr>
        <w:keepNext/>
        <w:widowControl/>
        <w:spacing w:after="140" w:line="330"/>
      </w:pPr>
      <w:r>
        <w:t xml:space="preserve">输入：冲突截止、无法量化的“课后”、无效年月日以及只给日期的通知。</w:t>
      </w:r>
    </w:p>
    <w:p>
      <w:pPr>
        <w:keepNext/>
        <w:widowControl/>
        <w:spacing w:after="140" w:line="330"/>
      </w:pPr>
      <w:r>
        <w:t xml:space="preserve">预期与标准：无效或冲突时间保持复核；只给日期时保留当日末尾的明确提示，不能把未知时间说成确定值。</w:t>
      </w:r>
    </w:p>
    <w:p>
      <w:pPr>
        <w:keepNext w:val="false"/>
        <w:widowControl/>
        <w:spacing w:after="140" w:line="330"/>
      </w:pPr>
      <w:r>
        <w:t xml:space="preserve">实际：自动化通过。backend/tests/test_notice_action_safety.py和test_notification_extraction.py覆盖；前端确认与任务编辑拒绝2月30日。</w:t>
      </w:r>
    </w:p>
    <w:p>
      <w:pPr>
        <w:pStyle w:val="Heading1"/>
        <w:keepNext/>
        <w:spacing w:after="150" w:before="220"/>
      </w:pPr>
      <w:r>
        <w:t xml:space="preserve">TC12 跨时区与午夜</w:t>
      </w:r>
    </w:p>
    <w:p>
      <w:pPr>
        <w:keepNext/>
        <w:widowControl/>
        <w:spacing w:after="140" w:line="330"/>
      </w:pPr>
      <w:r>
        <w:t xml:space="preserve">类型：边界。前置：浏览器可处于非中国时区。</w:t>
      </w:r>
    </w:p>
    <w:p>
      <w:pPr>
        <w:keepNext/>
        <w:widowControl/>
        <w:spacing w:after="140" w:line="330"/>
      </w:pPr>
      <w:r>
        <w:t xml:space="preserve">输入：北京时间2026-10-15 20:00；UTC时间2026-10-15T16:30:00Z；夏令时切换日的北京时间02:30。</w:t>
      </w:r>
    </w:p>
    <w:p>
      <w:pPr>
        <w:keepNext/>
        <w:widowControl/>
        <w:spacing w:after="140" w:line="330"/>
      </w:pPr>
      <w:r>
        <w:t xml:space="preserve">预期与标准：20:00保存为12:00Z后仍显示20:00；16:30Z归入上海次日；中国时间不因外国夏令时跳时而失效。</w:t>
      </w:r>
    </w:p>
    <w:p>
      <w:pPr>
        <w:keepNext w:val="false"/>
        <w:widowControl/>
        <w:spacing w:after="140" w:line="330"/>
      </w:pPr>
      <w:r>
        <w:t xml:space="preserve">实际：通过行为契约和浏览器核对。check-paste-notice.mjs、check-quick-add.mjs；截图03、06、08保持20:00。列表与快捷添加时区问题已修复。</w:t>
      </w:r>
    </w:p>
    <w:p>
      <w:pPr>
        <w:pStyle w:val="Heading1"/>
        <w:keepNext/>
        <w:spacing w:after="150" w:before="220"/>
      </w:pPr>
      <w:r>
        <w:t xml:space="preserve">TC13 内容要求不是额外任务</w:t>
      </w:r>
    </w:p>
    <w:p>
      <w:pPr>
        <w:keepNext/>
        <w:widowControl/>
        <w:spacing w:after="140" w:line="330"/>
      </w:pPr>
      <w:r>
        <w:t xml:space="preserve">类型：边界。前置：本地规则模式。</w:t>
      </w:r>
    </w:p>
    <w:p>
      <w:pPr>
        <w:keepNext/>
        <w:widowControl/>
        <w:spacing w:after="140" w:line="330"/>
      </w:pPr>
      <w:r>
        <w:t xml:space="preserve">输入：TC01完整通知，第二句为“报告需包含算法说明、实验结果和总结”。</w:t>
      </w:r>
    </w:p>
    <w:p>
      <w:pPr>
        <w:keepNext/>
        <w:widowControl/>
        <w:spacing w:after="140" w:line="330"/>
      </w:pPr>
      <w:r>
        <w:t xml:space="preserve">预期与标准：只提取提交报告，不额外创建“算法说明”等任务。</w:t>
      </w:r>
    </w:p>
    <w:p>
      <w:pPr>
        <w:keepNext w:val="false"/>
        <w:widowControl/>
        <w:spacing w:after="140" w:line="330"/>
      </w:pPr>
      <w:r>
        <w:t xml:space="preserve">实际：通过浏览器实际输入，候选数为1，截图03可查；通知动作安全与抽取测试作为回归保护。</w:t>
      </w:r>
    </w:p>
    <w:p>
      <w:pPr>
        <w:pStyle w:val="Heading1"/>
        <w:keepNext/>
        <w:spacing w:after="150" w:before="220"/>
      </w:pPr>
      <w:r>
        <w:t xml:space="preserve">TC14 账号隔离与旧版本修改</w:t>
      </w:r>
    </w:p>
    <w:p>
      <w:pPr>
        <w:keepNext/>
        <w:widowControl/>
        <w:spacing w:after="140" w:line="330"/>
      </w:pPr>
      <w:r>
        <w:t xml:space="preserve">类型：边界。前置：两个独立测试账号，或对同一记录保留旧版本号。</w:t>
      </w:r>
    </w:p>
    <w:p>
      <w:pPr>
        <w:keepNext/>
        <w:widowControl/>
        <w:spacing w:after="140" w:line="330"/>
      </w:pPr>
      <w:r>
        <w:t xml:space="preserve">输入：跨账号访问资料、对已更新记录使用旧If-Match编辑。</w:t>
      </w:r>
    </w:p>
    <w:p>
      <w:pPr>
        <w:keepNext/>
        <w:widowControl/>
        <w:spacing w:after="140" w:line="330"/>
      </w:pPr>
      <w:r>
        <w:t xml:space="preserve">预期与标准：账号工作区互不可见；旧请求被拒绝；较新数据不被覆盖。</w:t>
      </w:r>
    </w:p>
    <w:p>
      <w:pPr>
        <w:keepNext w:val="false"/>
        <w:widowControl/>
        <w:spacing w:after="140" w:line="330"/>
      </w:pPr>
      <w:r>
        <w:t xml:space="preserve">实际：自动化通过。账号工作区隔离、不可复用导航身份、并发修改与前置条件测试纳入完整回归。</w:t>
      </w:r>
    </w:p>
    <w:p>
      <w:pPr>
        <w:pStyle w:val="Heading1"/>
        <w:keepNext/>
        <w:spacing w:after="150" w:before="220"/>
      </w:pPr>
      <w:r>
        <w:t xml:space="preserve">TC15 移动端布局</w:t>
      </w:r>
    </w:p>
    <w:p>
      <w:pPr>
        <w:keepNext/>
        <w:widowControl/>
        <w:spacing w:after="140" w:line="330"/>
      </w:pPr>
      <w:r>
        <w:t xml:space="preserve">类型：边界。前置：浏览器视口390×844。</w:t>
      </w:r>
    </w:p>
    <w:p>
      <w:pPr>
        <w:keepNext/>
        <w:widowControl/>
        <w:spacing w:after="140" w:line="330"/>
      </w:pPr>
      <w:r>
        <w:t xml:space="preserve">输入：打开任务清单，检查底部导航、完成提示和任务操作。</w:t>
      </w:r>
    </w:p>
    <w:p>
      <w:pPr>
        <w:keepNext/>
        <w:widowControl/>
        <w:spacing w:after="140" w:line="330"/>
      </w:pPr>
      <w:r>
        <w:t xml:space="preserve">预期与标准：无页面级横向溢出；常用操作可见；无控制台error。</w:t>
      </w:r>
    </w:p>
    <w:p>
      <w:pPr>
        <w:keepNext w:val="false"/>
        <w:widowControl/>
        <w:spacing w:after="140" w:line="330"/>
      </w:pPr>
      <w:r>
        <w:t xml:space="preserve">实际：通过。页面clientWidth与scrollWidth均为380（浏览器滚动条占宽）；截图10保存实际画面；所读取控制台无error。未替代实体手机和屏幕阅读器验收。</w:t>
      </w:r>
    </w:p>
    <w:p>
      <w:pPr>
        <w:pStyle w:val="Heading1"/>
        <w:keepNext/>
        <w:spacing w:after="150" w:before="220"/>
      </w:pPr>
      <w:r>
        <w:t xml:space="preserve">TC16 干净安装与Android构建</w:t>
      </w:r>
    </w:p>
    <w:p>
      <w:pPr>
        <w:keepNext/>
        <w:widowControl/>
        <w:spacing w:after="140" w:line="330"/>
      </w:pPr>
      <w:r>
        <w:t xml:space="preserve">类型：正常。前置：独立源码目录，无既有虚拟环境和node_modules；Android本机已有SDK及Gradle缓存。</w:t>
      </w:r>
    </w:p>
    <w:p>
      <w:pPr>
        <w:keepNext/>
        <w:widowControl/>
        <w:spacing w:after="140" w:line="330"/>
      </w:pPr>
      <w:r>
        <w:t xml:space="preserve">输入：setup-reviewer.ps1及verify-local.ps1；Android testDebugUnitTest、lintDebug、assembleDebug。</w:t>
      </w:r>
    </w:p>
    <w:p>
      <w:pPr>
        <w:keepNext/>
        <w:widowControl/>
        <w:spacing w:after="140" w:line="330"/>
      </w:pPr>
      <w:r>
        <w:t xml:space="preserve">预期与标准：安装成功，后端与前端检查通过；Android测试及构建成功。</w:t>
      </w:r>
    </w:p>
    <w:p>
      <w:pPr>
        <w:keepNext w:val="false"/>
        <w:widowControl/>
        <w:spacing w:after="140" w:line="330"/>
      </w:pPr>
      <w:r>
        <w:t xml:space="preserve">实际：通过。独立目录463项后端测试、前端完整verify通过；Android18项测试零失败，BUILD SUCCESSFUL。首次npm缓存访问被系统拒绝后，安装脚本改用项目内缓存，重试通过；Android使用离线缓存，不宣称全新联网SDK安装已验收。 </w:t>
      </w:r>
    </w:p>
    <w:sectPr>
      <w:footerReference w:type="default" r:id="rId7"/>
      <w:pgSz w:w="11906" w:h="16838" w:orient="portrait"/>
      <w:pgMar w:top="1050" w:right="1080" w:bottom="10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学伴管家  |  2026-10-10  |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163F3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学伴管家评测用例</dc:title>
  <dc:creator>学伴管家项目</dc:creator>
  <dc:description>2026-10-10 比赛提交候选材料</dc:description>
  <cp:lastModifiedBy>Un-named</cp:lastModifiedBy>
  <cp:revision>1</cp:revision>
  <dcterms:created xsi:type="dcterms:W3CDTF">2026-10-10T13:56:08.628Z</dcterms:created>
  <dcterms:modified xsi:type="dcterms:W3CDTF">2026-10-10T13:56:08.628Z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