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37.png" ContentType="image/png"/>
  <Override PartName="/word/media/rId42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6.png" ContentType="image/png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信号源参数精确估计技术</w:t>
      </w:r>
    </w:p>
    <w:p>
      <w:pPr>
        <w:pStyle w:val="Subtitle"/>
      </w:pPr>
      <w:r>
        <w:t xml:space="preserve">——基于低轨卫星OFDM信号盲识别的原理与验证</w:t>
      </w:r>
    </w:p>
    <w:p>
      <w:pPr>
        <w:pStyle w:val="TiYao"/>
      </w:pPr>
      <w:r>
        <w:rPr>
          <w:b/>
          <w:bCs/>
        </w:rPr>
        <w:t xml:space="preserve">内容提要：</w:t>
      </w:r>
      <w:r>
        <w:t xml:space="preserve">非合作信号源雷达不掌握照射源的波形参数，而参考信号重构、多源串扰抑制与多源/多站相参融合均以精确的信号源参数为前提。本文以 Humphreys 等关于 Starlink Ku 波段下行信号盲识别的论文</w:t>
      </w:r>
      <w:r>
        <w:rPr>
          <w:vertAlign w:val="superscript"/>
        </w:rPr>
        <w:t xml:space="preserve">[1]</w:t>
      </w:r>
      <w:r>
        <w:t xml:space="preserve">为主要参考，梳理非合作 OFDM 信号源参数“由粗到精、由盲到辅”的估计原理，并依据文献公布的信号参数进行了仿真验证。结果表明：在单样点信噪比为 0 dB 时，采样率、子载波数、循环前缀长度、帧周期及每帧符号数等结构参数均被准确恢复；利用 15 帧同步符号进行多帧相干估计，频偏估计误差约 0.05 Hz，与克拉美-罗界（CRB）处于同一量级。</w:t>
      </w:r>
    </w:p>
    <w:bookmarkStart w:id="20" w:name="技术背景"/>
    <w:p>
      <w:pPr>
        <w:pStyle w:val="Heading1"/>
      </w:pPr>
      <w:r>
        <w:t xml:space="preserve">1 技术背景</w:t>
      </w:r>
    </w:p>
    <w:p>
      <w:pPr>
        <w:pStyle w:val="FirstParagraph"/>
      </w:pPr>
      <w:r>
        <w:t xml:space="preserve">非合作信号源雷达以广播、通信、导航及低轨卫星互联网等机会照射源作为发射机，具有隐蔽性好、部署灵活等优点。然而，照射源并非为雷达探测而设计，其信号参数通常不公开；接收站与照射源之间不存在时钟同步，低轨卫星还会带来数百 kHz 量级的多普勒频移。信号源参数对后续处理的支撑作用体现在三个方面：一是参考信号重构需要依据采样率、子载波数、循环前缀（CP）长度、帧结构及同步序列对直达波进行解调—再调制，参数失配将引入重构误差并抬高距离—多普勒旁瓣；二是多源串扰抑制需要准确掌握各信号源的载频、带宽与时频结构；三是多信号源间及分布式接收站间的相参融合要求各通道在时间、频率与相位上精确对齐。以跨帧相干积累为例，残余频偏</w:t>
      </w:r>
      <w:r>
        <w:t xml:space="preserve"> </w:t>
      </w:r>
      <m:oMath>
        <m:r>
          <m:t>δ</m:t>
        </m:r>
        <m:r>
          <m:t>f</m:t>
        </m:r>
      </m:oMath>
      <w:r>
        <w:t xml:space="preserve"> </w:t>
      </w:r>
      <w:r>
        <w:t xml:space="preserve">在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帧内引入的累积相位约为</w:t>
      </w:r>
      <w:r>
        <w:t xml:space="preserve"> </w:t>
      </w:r>
      <m:oMath>
        <m:r>
          <m:t>2</m:t>
        </m:r>
        <m:r>
          <m:t>π</m:t>
        </m:r>
        <m:r>
          <m:t>δ</m:t>
        </m:r>
        <m:r>
          <m:t>f</m:t>
        </m:r>
        <m:r>
          <m:t>K</m:t>
        </m:r>
        <m:sSub>
          <m:e>
            <m:r>
              <m:t>T</m:t>
            </m:r>
          </m:e>
          <m:sub>
            <m:r>
              <m:t>f</m:t>
            </m:r>
          </m:sub>
        </m:sSub>
      </m:oMath>
      <w:r>
        <w:t xml:space="preserve">，要求</w:t>
      </w:r>
      <w:r>
        <w:t xml:space="preserve"> </w:t>
      </w:r>
      <m:oMath>
        <m:r>
          <m:t>δ</m:t>
        </m:r>
        <m:r>
          <m:t>f</m:t>
        </m:r>
        <m:r>
          <m:rPr>
            <m:sty m:val="p"/>
          </m:rPr>
          <m:t>≪</m:t>
        </m:r>
        <m:r>
          <m:t>1</m:t>
        </m:r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sSub>
              <m:e>
                <m:r>
                  <m:t>T</m:t>
                </m:r>
              </m:e>
              <m:sub>
                <m:r>
                  <m:t>f</m:t>
                </m:r>
              </m:sub>
            </m:sSub>
          </m:e>
        </m:d>
      </m:oMath>
      <w:r>
        <w:t xml:space="preserve">；当</w:t>
      </w:r>
      <w:r>
        <w:t xml:space="preserve"> </w:t>
      </w:r>
      <m:oMath>
        <m:sSub>
          <m:e>
            <m:r>
              <m:t>T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1.333</m:t>
        </m:r>
      </m:oMath>
      <w:r>
        <w:t xml:space="preserve"> </w:t>
      </w:r>
      <w:r>
        <w:t xml:space="preserve">ms、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时，残余频偏须远小于 11.7 Hz。</w:t>
      </w:r>
    </w:p>
    <w:p>
      <w:pPr>
        <w:pStyle w:val="BodyText"/>
      </w:pPr>
      <w:r>
        <w:t xml:space="preserve">按物理含义，信号源参数可分为信号层（载频、带宽、采样率、子载波数、CP 长度等）、结构层（帧周期、帧保护、每帧符号数、同步符号等）与同步层（时延、频偏、相位）三个层次。三者逐级依赖，因此估计过程遵循“由粗到精、由盲到辅”的原则：先利用信号统计特征完成盲估计，再利用结构信息提取已知序列，最终借助已知序列实现逼近理论界的精确估计。</w:t>
      </w:r>
    </w:p>
    <w:bookmarkEnd w:id="20"/>
    <w:bookmarkStart w:id="21" w:name="代表性论文概述"/>
    <w:p>
      <w:pPr>
        <w:pStyle w:val="Heading1"/>
      </w:pPr>
      <w:r>
        <w:t xml:space="preserve">2 代表性论文概述</w:t>
      </w:r>
    </w:p>
    <w:p>
      <w:pPr>
        <w:pStyle w:val="FirstParagraph"/>
      </w:pPr>
      <w:r>
        <w:t xml:space="preserve">Starlink 系统在 Ku 波段（10.7~12.7 GHz）的下行信号采用正交频分复用（OFDM）体制，但其信号结构并未公开。Humphreys、Iannucci、Komodromos 与 Graff 在文献[1]（</w:t>
      </w:r>
      <w:r>
        <w:rPr>
          <w:i/>
          <w:iCs/>
        </w:rPr>
        <w:t xml:space="preserve">IEEE Transactions on Aerospace and Electronic Systems</w:t>
      </w:r>
      <w:r>
        <w:t xml:space="preserve">，2023）中提出了一种针对 Starlink 下行信号的盲信号识别方法：在不依赖运营方资料的条件下，利用地面接收的实测信号，基于 OFDM 循环前缀产生的循环平稳特性，逐步识别出子载波数、采样率、CP 长度、符号周期、信道划分与帧结构，并最终给出了每帧中主同步序列（PSS）与辅同步序列（SSS）的精确取值，可用于生成伪距测量。该工作从“零先验”出发逐级恢复出完整的信号结构与已知序列，是非合作信号源参数精确估计的典型范例；后续研究据此构建了信号仿真器</w:t>
      </w:r>
      <w:r>
        <w:rPr>
          <w:vertAlign w:val="superscript"/>
        </w:rPr>
        <w:t xml:space="preserve">[2]</w:t>
      </w:r>
      <w:r>
        <w:t xml:space="preserve">并分析了帧时序特性</w:t>
      </w:r>
      <w:r>
        <w:rPr>
          <w:vertAlign w:val="superscript"/>
        </w:rPr>
        <w:t xml:space="preserve">[3]</w:t>
      </w:r>
      <w:r>
        <w:t xml:space="preserve">。本文在文献[1]方法框架的基础上，结合 OFDM 盲参数估计</w:t>
      </w:r>
      <w:r>
        <w:rPr>
          <w:vertAlign w:val="superscript"/>
        </w:rPr>
        <w:t xml:space="preserve">[5]</w:t>
      </w:r>
      <w:r>
        <w:t xml:space="preserve">、循环平稳分析</w:t>
      </w:r>
      <w:r>
        <w:rPr>
          <w:vertAlign w:val="superscript"/>
        </w:rPr>
        <w:t xml:space="preserve">[6]</w:t>
      </w:r>
      <w:r>
        <w:t xml:space="preserve">、最大似然时频同步</w:t>
      </w:r>
      <w:r>
        <w:rPr>
          <w:vertAlign w:val="superscript"/>
        </w:rPr>
        <w:t xml:space="preserve">[4,7]</w:t>
      </w:r>
      <w:r>
        <w:t xml:space="preserve">、频率估计理论界</w:t>
      </w:r>
      <w:r>
        <w:rPr>
          <w:vertAlign w:val="superscript"/>
        </w:rPr>
        <w:t xml:space="preserve">[8]</w:t>
      </w:r>
      <w:r>
        <w:t xml:space="preserve">及高阶累积量调制识别</w:t>
      </w:r>
      <w:r>
        <w:rPr>
          <w:vertAlign w:val="superscript"/>
        </w:rPr>
        <w:t xml:space="preserve">[9]</w:t>
      </w:r>
      <w:r>
        <w:t xml:space="preserve">等方法阐述其原理，并通过仿真进行验证。</w:t>
      </w:r>
    </w:p>
    <w:bookmarkEnd w:id="21"/>
    <w:bookmarkStart w:id="24" w:name="信号模型"/>
    <w:p>
      <w:pPr>
        <w:pStyle w:val="Heading1"/>
      </w:pPr>
      <w:r>
        <w:t xml:space="preserve">3 信号模型</w:t>
      </w:r>
    </w:p>
    <w:bookmarkStart w:id="22" w:name="ofdm-发射信号"/>
    <w:p>
      <w:pPr>
        <w:pStyle w:val="Heading2"/>
      </w:pPr>
      <w:r>
        <w:t xml:space="preserve">3.1 OFDM 发射信号</w:t>
      </w:r>
    </w:p>
    <w:p>
      <w:pPr>
        <w:pStyle w:val="FirstParagraph"/>
      </w:pPr>
      <w:r>
        <w:t xml:space="preserve">设照射源采用 CP-OFDM 体制，采样率为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</m:oMath>
      <w:r>
        <w:t xml:space="preserve">，子载波数为</w:t>
      </w:r>
      <w:r>
        <w:t xml:space="preserve"> </w:t>
      </w:r>
      <m:oMath>
        <m:r>
          <m:t>N</m:t>
        </m:r>
      </m:oMath>
      <w:r>
        <w:t xml:space="preserve">，CP 长度为</w:t>
      </w:r>
      <w:r>
        <w:t xml:space="preserve"> </w:t>
      </w:r>
      <m:oMath>
        <m:sSub>
          <m:e>
            <m:r>
              <m:t>N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个样点。第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个 OFDM 符号的离散时域表达式为</w:t>
      </w:r>
    </w:p>
    <w:tbl>
      <w:tblPr>
        <w:tblW w:w="907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00"/>
        <w:gridCol w:w="7270"/>
        <w:gridCol w:w="900"/>
      </w:tblGrid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0" w:after="0"/>
            </w:pPr>
          </w:p>
        </w:tc>
        <w:tc>
          <w:tcPr>
            <w:tcW w:w="7270" w:type="dxa"/>
            <w:vAlign w:val="center"/>
          </w:tcPr>
          <w:p>
            <w:pPr>
              <w:spacing w:before="20" w:after="20" w:line="240" w:lineRule="auto"/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r>
                      <m:t>s</m:t>
                    </m:r>
                  </m:e>
                  <m:sub>
                    <m:r>
                      <m:t>m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n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m:t>u</m:t>
                            </m:r>
                          </m:sub>
                        </m:sSub>
                      </m:e>
                    </m:rad>
                  </m:den>
                </m:f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K</m:t>
                    </m:r>
                  </m:sub>
                  <m:sup>
                    <m:r>
                      <m:t>​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e>
                </m:nary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k</m:t>
                    </m:r>
                  </m:e>
                </m:d>
                <m:r>
                  <m:t> 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j</m:t>
                    </m:r>
                    <m:r>
                      <m:t>2</m:t>
                    </m:r>
                    <m:r>
                      <m:t>π</m:t>
                    </m:r>
                    <m:r>
                      <m:t>k</m:t>
                    </m:r>
                    <m:r>
                      <m:t>n</m:t>
                    </m:r>
                    <m:r>
                      <m:rPr>
                        <m:sty m:val="p"/>
                      </m:rPr>
                      <m:t>/</m:t>
                    </m:r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N</m:t>
                    </m:r>
                  </m:e>
                  <m:sub>
                    <m:r>
                      <m:t>g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⋯</m:t>
                </m:r>
                <m:r>
                  <m:rPr>
                    <m:sty m:val="p"/>
                  </m:rPr>
                  <m:t>,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oMath>
            </m:oMathPara>
          </w:p>
        </w:tc>
        <w:tc>
          <w:tcPr>
            <w:tcW w:w="900" w:type="dxa"/>
            <w:vAlign w:val="center"/>
          </w:tcPr>
          <w:p>
            <w:pPr>
              <w:spacing w:before="0" w:after="0"/>
              <w:jc w:val="right"/>
            </w:pPr>
            <w:r>
              <w:t xml:space="preserve">(1)</w:t>
            </w:r>
          </w:p>
        </w:tc>
      </w:tr>
    </w:tbl>
    <w:p>
      <w:pPr>
        <w:pStyle w:val="FirstParagraph"/>
        <w:ind w:firstLineChars="0" w:firstLine="0"/>
      </w:pPr>
      <w:r>
        <w:t xml:space="preserve">式中，</w:t>
      </w:r>
      <m:oMath>
        <m:r>
          <m:rPr>
            <m:scr m:val="script"/>
            <m:sty m:val="p"/>
          </m:rPr>
          <m:t>K</m:t>
        </m:r>
      </m:oMath>
      <w:r>
        <w:t xml:space="preserve"> </w:t>
      </w:r>
      <w:r>
        <w:t xml:space="preserve">为有效子载波集合，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u</m:t>
            </m:r>
          </m:sub>
        </m:sSub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K</m:t>
            </m:r>
          </m:e>
        </m:d>
      </m:oMath>
      <w:r>
        <w:t xml:space="preserve"> </w:t>
      </w:r>
      <w:r>
        <w:t xml:space="preserve">为有效子载波数，</w:t>
      </w:r>
      <m:oMath>
        <m:sSub>
          <m:e>
            <m:r>
              <m:t>X</m:t>
            </m:r>
          </m:e>
          <m:sub>
            <m:r>
              <m:t>m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k</m:t>
            </m:r>
          </m:e>
        </m:d>
      </m:oMath>
      <w:r>
        <w:t xml:space="preserve"> </w:t>
      </w:r>
      <w:r>
        <w:t xml:space="preserve">为第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个子载波上的调制符号。由于</w:t>
      </w:r>
      <w:r>
        <w:t xml:space="preserve"> </w:t>
      </w:r>
      <m:oMath>
        <m:r>
          <m:t>n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部分是符号尾部的循环复制，每个符号的前</w:t>
      </w:r>
      <w:r>
        <w:t xml:space="preserve"> </w:t>
      </w:r>
      <m:oMath>
        <m:sSub>
          <m:e>
            <m:r>
              <m:t>N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个样点与其后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个样点处的样点完全相同，这正是 OFDM 信号循环平稳特性的来源。符号的各时间参数满足</w:t>
      </w:r>
    </w:p>
    <w:tbl>
      <w:tblPr>
        <w:tblW w:w="907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00"/>
        <w:gridCol w:w="7270"/>
        <w:gridCol w:w="900"/>
      </w:tblGrid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0" w:after="0"/>
            </w:pPr>
          </w:p>
        </w:tc>
        <w:tc>
          <w:tcPr>
            <w:tcW w:w="7270" w:type="dxa"/>
            <w:vAlign w:val="center"/>
          </w:tcPr>
          <w:p>
            <w:pPr>
              <w:spacing w:before="20" w:after="20" w:line="240" w:lineRule="auto"/>
              <w:jc w:val="center"/>
            </w:pPr>
            <m:oMathPara>
              <m:oMathParaPr>
                <m:jc m:val="center"/>
              </m:oMathParaPr>
              <m:oMath>
                <m:r>
                  <m:t>T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N</m:t>
                    </m:r>
                  </m:num>
                  <m:den>
                    <m:sSub>
                      <m:e>
                        <m:r>
                          <m:t>F</m:t>
                        </m:r>
                      </m:e>
                      <m:sub>
                        <m:r>
                          <m:t>s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,</m:t>
                </m:r>
                <m:r>
                  <m:t> </m:t>
                </m:r>
                <m:sSub>
                  <m:e>
                    <m:r>
                      <m:t>T</m:t>
                    </m:r>
                  </m:e>
                  <m:sub>
                    <m:r>
                      <m:t>g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N</m:t>
                        </m:r>
                      </m:e>
                      <m:sub>
                        <m:r>
                          <m:t>g</m:t>
                        </m:r>
                      </m:sub>
                    </m:sSub>
                  </m:num>
                  <m:den>
                    <m:sSub>
                      <m:e>
                        <m:r>
                          <m:t>F</m:t>
                        </m:r>
                      </m:e>
                      <m:sub>
                        <m:r>
                          <m:t>s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,</m:t>
                </m:r>
                <m:r>
                  <m:t> </m:t>
                </m:r>
                <m:sSub>
                  <m:e>
                    <m:r>
                      <m:t>T</m:t>
                    </m:r>
                  </m:e>
                  <m:sub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y</m:t>
                    </m:r>
                    <m:r>
                      <m:rPr>
                        <m:sty m:val="p"/>
                      </m:rP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T</m:t>
                    </m:r>
                  </m:e>
                  <m:sub>
                    <m:r>
                      <m:t>g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Δ</m:t>
                </m:r>
                <m:r>
                  <m:t>f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T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F</m:t>
                        </m:r>
                      </m:e>
                      <m:sub>
                        <m:r>
                          <m:t>s</m:t>
                        </m:r>
                      </m:sub>
                    </m:sSub>
                  </m:num>
                  <m:den>
                    <m:r>
                      <m:t>N</m:t>
                    </m:r>
                  </m:den>
                </m:f>
              </m:oMath>
            </m:oMathPara>
          </w:p>
        </w:tc>
        <w:tc>
          <w:tcPr>
            <w:tcW w:w="900" w:type="dxa"/>
            <w:vAlign w:val="center"/>
          </w:tcPr>
          <w:p>
            <w:pPr>
              <w:spacing w:before="0" w:after="0"/>
              <w:jc w:val="right"/>
            </w:pPr>
            <w:r>
              <w:t xml:space="preserve">(2)</w:t>
            </w:r>
          </w:p>
        </w:tc>
      </w:tr>
    </w:tbl>
    <w:p>
      <w:pPr>
        <w:pStyle w:val="FirstParagraph"/>
        <w:ind w:firstLineChars="0" w:firstLine="0"/>
      </w:pPr>
      <w:r>
        <w:t xml:space="preserve">式中，</w:t>
      </w:r>
      <m:oMath>
        <m:r>
          <m:t>T</m:t>
        </m:r>
      </m:oMath>
      <w:r>
        <w:t xml:space="preserve"> </w:t>
      </w:r>
      <w:r>
        <w:t xml:space="preserve">为有用符号长度，</w:t>
      </w:r>
      <m:oMath>
        <m:sSub>
          <m:e>
            <m:r>
              <m:t>T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为 CP 长度，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m</m:t>
            </m:r>
          </m:sub>
        </m:sSub>
      </m:oMath>
      <w:r>
        <w:t xml:space="preserve"> </w:t>
      </w:r>
      <w:r>
        <w:t xml:space="preserve">为符号周期，</w:t>
      </w:r>
      <m:oMath>
        <m:r>
          <m:t>Δ</m:t>
        </m:r>
        <m:r>
          <m:t>f</m:t>
        </m:r>
      </m:oMath>
      <w:r>
        <w:t xml:space="preserve"> </w:t>
      </w:r>
      <w:r>
        <w:t xml:space="preserve">为子载波间隔。若干符号构成一帧，帧首部为同步符号，帧尾部可能存在不发射信号的帧保护间隔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g</m:t>
            </m:r>
          </m:sub>
        </m:sSub>
      </m:oMath>
      <w:r>
        <w:t xml:space="preserve">，则帧周期为</w:t>
      </w:r>
      <w:r>
        <w:t xml:space="preserve"> </w:t>
      </w:r>
      <m:oMath>
        <m:sSub>
          <m:e>
            <m:r>
              <m:t>T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f</m:t>
            </m:r>
          </m:sub>
        </m:sSub>
        <m:sSub>
          <m:e>
            <m:r>
              <m:t>T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+</m:t>
        </m:r>
        <m:sSub>
          <m:e>
            <m:r>
              <m:t>T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g</m:t>
            </m:r>
          </m:sub>
        </m:sSub>
      </m:oMath>
      <w:r>
        <w:t xml:space="preserve">，其中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f</m:t>
            </m:r>
          </m:sub>
        </m:sSub>
      </m:oMath>
      <w:r>
        <w:t xml:space="preserve"> </w:t>
      </w:r>
      <w:r>
        <w:t xml:space="preserve">为每帧所含符号间隔数。图2给出了文献[1]~[3]所报道的 Starlink 下行信号帧结构、符号结构与信道频域结构。</w:t>
      </w:r>
    </w:p>
    <w:bookmarkEnd w:id="22"/>
    <w:bookmarkStart w:id="23" w:name="接收信号"/>
    <w:p>
      <w:pPr>
        <w:pStyle w:val="Heading2"/>
      </w:pPr>
      <w:r>
        <w:t xml:space="preserve">3.2 接收信号</w:t>
      </w:r>
    </w:p>
    <w:p>
      <w:pPr>
        <w:pStyle w:val="FirstParagraph"/>
      </w:pPr>
      <w:r>
        <w:t xml:space="preserve">接收机以未知于发射端的采样率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对信号进行采样，接收信号可表示为</w:t>
      </w:r>
    </w:p>
    <w:tbl>
      <w:tblPr>
        <w:tblW w:w="907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00"/>
        <w:gridCol w:w="7270"/>
        <w:gridCol w:w="900"/>
      </w:tblGrid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0" w:after="0"/>
            </w:pPr>
          </w:p>
        </w:tc>
        <w:tc>
          <w:tcPr>
            <w:tcW w:w="7270" w:type="dxa"/>
            <w:vAlign w:val="center"/>
          </w:tcPr>
          <w:p>
            <w:pPr>
              <w:spacing w:before="20" w:after="20" w:line="240" w:lineRule="auto"/>
              <w:jc w:val="center"/>
            </w:pPr>
            <m:oMathPara>
              <m:oMathParaPr>
                <m:jc m:val="center"/>
              </m:oMathParaPr>
              <m:oMath>
                <m:r>
                  <m:t>r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n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h</m:t>
                </m:r>
                <m:r>
                  <m:t> </m:t>
                </m:r>
                <m:r>
                  <m:t>s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n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s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τ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d>
                <m:r>
                  <m:t> 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j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2</m:t>
                        </m:r>
                        <m:r>
                          <m:t>π</m:t>
                        </m:r>
                        <m:sSub>
                          <m:e>
                            <m:r>
                              <m:t>f</m:t>
                            </m:r>
                          </m:e>
                          <m:sub>
                            <m:r>
                              <m:t>d</m:t>
                            </m:r>
                          </m:sub>
                        </m:sSub>
                        <m:r>
                          <m:t>n</m:t>
                        </m:r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s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φ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</m:sup>
                </m:sSup>
                <m:r>
                  <m:rPr>
                    <m:sty m:val="p"/>
                  </m:rPr>
                  <m:t>+</m:t>
                </m:r>
                <m:r>
                  <m:t>w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n</m:t>
                    </m:r>
                  </m:e>
                </m:d>
              </m:oMath>
            </m:oMathPara>
          </w:p>
        </w:tc>
        <w:tc>
          <w:tcPr>
            <w:tcW w:w="900" w:type="dxa"/>
            <w:vAlign w:val="center"/>
          </w:tcPr>
          <w:p>
            <w:pPr>
              <w:spacing w:before="0" w:after="0"/>
              <w:jc w:val="right"/>
            </w:pPr>
            <w:r>
              <w:t xml:space="preserve">(3)</w:t>
            </w:r>
          </w:p>
        </w:tc>
      </w:tr>
    </w:tbl>
    <w:p>
      <w:pPr>
        <w:pStyle w:val="FirstParagraph"/>
        <w:ind w:firstLineChars="0" w:firstLine="0"/>
      </w:pPr>
      <w:r>
        <w:t xml:space="preserve">式中，</w:t>
      </w:r>
      <m:oMath>
        <m:r>
          <m:t>h</m:t>
        </m:r>
      </m:oMath>
      <w:r>
        <w:t xml:space="preserve"> </w:t>
      </w:r>
      <w:r>
        <w:t xml:space="preserve">为信道增益，</w:t>
      </w:r>
      <m:oMath>
        <m:sSub>
          <m:e>
            <m:r>
              <m:t>τ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为时延，</w:t>
      </w:r>
      <m:oMath>
        <m:sSub>
          <m:e>
            <m:r>
              <m:t>φ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为初始相位，</w:t>
      </w:r>
      <m:oMath>
        <m:r>
          <m:t>w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为方差</w:t>
      </w:r>
      <w:r>
        <w:t xml:space="preserve"> </w:t>
      </w:r>
      <m:oMath>
        <m:sSubSup>
          <m:e>
            <m:r>
              <m:t>σ</m:t>
            </m:r>
          </m:e>
          <m:sub>
            <m:r>
              <m:t>w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的复高斯白噪声，</w:t>
      </w:r>
      <m:oMath>
        <m:sSub>
          <m:e>
            <m:r>
              <m:t>f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Δ</m:t>
        </m:r>
        <m:sSub>
          <m:e>
            <m:r>
              <m:t>f</m:t>
            </m:r>
          </m:e>
          <m:sub>
            <m:r>
              <m:t>c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为总频偏，由收发本振频差</w:t>
      </w:r>
      <w:r>
        <w:t xml:space="preserve"> </w:t>
      </w:r>
      <m:oMath>
        <m:r>
          <m:t>Δ</m:t>
        </m:r>
        <m:sSub>
          <m:e>
            <m:r>
              <m:t>f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与多普勒频移</w:t>
      </w:r>
      <w:r>
        <w:t xml:space="preserve"> </w:t>
      </w:r>
      <m:oMath>
        <m:sSub>
          <m:e>
            <m:r>
              <m:t>f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f</m:t>
            </m:r>
          </m:e>
          <m:sub>
            <m:r>
              <m:t>c</m:t>
            </m:r>
          </m:sub>
        </m:sSub>
        <m:acc>
          <m:accPr>
            <m:chr m:val="̇"/>
          </m:accPr>
          <m:e>
            <m:r>
              <m:t>R</m:t>
            </m:r>
          </m:e>
        </m:acc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共同构成，</w:t>
      </w:r>
      <m:oMath>
        <m:sSub>
          <m:e>
            <m:r>
              <m:t>f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为载频，</w:t>
      </w:r>
      <m:oMath>
        <m:r>
          <m:t>c</m:t>
        </m:r>
      </m:oMath>
      <w:r>
        <w:t xml:space="preserve"> </w:t>
      </w:r>
      <w:r>
        <w:t xml:space="preserve">为光速，</w:t>
      </w:r>
      <m:oMath>
        <m:acc>
          <m:accPr>
            <m:chr m:val="̇"/>
          </m:accPr>
          <m:e>
            <m:r>
              <m:t>R</m:t>
            </m:r>
          </m:e>
        </m:acc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为卫星与接收站间的距离变化率。对于 Ku 波段低轨卫星，若</w:t>
      </w:r>
      <w:r>
        <w:t xml:space="preserve"> </w:t>
      </w:r>
      <m:oMath>
        <m:acc>
          <m:accPr>
            <m:chr m:val="̇"/>
          </m:accPr>
          <m:e>
            <m:r>
              <m:t>R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km/s、</w:t>
      </w:r>
      <m:oMath>
        <m:sSub>
          <m:e>
            <m:r>
              <m:t>f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11.7</m:t>
        </m:r>
      </m:oMath>
      <w:r>
        <w:t xml:space="preserve"> </w:t>
      </w:r>
      <w:r>
        <w:t xml:space="preserve">GHz，则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f</m:t>
                </m:r>
              </m:e>
              <m:sub>
                <m:r>
                  <m:t>D</m:t>
                </m:r>
              </m:sub>
            </m:sSub>
          </m:e>
        </m:d>
        <m:r>
          <m:rPr>
            <m:sty m:val="p"/>
          </m:rPr>
          <m:t>≈</m:t>
        </m:r>
        <m:r>
          <m:t>195</m:t>
        </m:r>
      </m:oMath>
      <w:r>
        <w:t xml:space="preserve"> </w:t>
      </w:r>
      <w:r>
        <w:t xml:space="preserve">kHz，已接近子载波间隔 234.375 kHz，因此频偏估计必须同时解决小数倍与整数倍两部分。参数估计的任务是：在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</m:oMath>
      <w:r>
        <w:t xml:space="preserve">、</w:t>
      </w:r>
      <m:oMath>
        <m:r>
          <m:t>N</m:t>
        </m:r>
      </m:oMath>
      <w:r>
        <w:t xml:space="preserve">、</w:t>
      </w:r>
      <m:oMath>
        <m:sSub>
          <m:e>
            <m:r>
              <m:t>N</m:t>
            </m:r>
          </m:e>
          <m:sub>
            <m:r>
              <m:t>g</m:t>
            </m:r>
          </m:sub>
        </m:sSub>
      </m:oMath>
      <w:r>
        <w:t xml:space="preserve">、</w:t>
      </w:r>
      <m:oMath>
        <m:sSub>
          <m:e>
            <m:r>
              <m:t>T</m:t>
            </m:r>
          </m:e>
          <m:sub>
            <m:r>
              <m:t>f</m:t>
            </m:r>
          </m:sub>
        </m:sSub>
      </m:oMath>
      <w:r>
        <w:t xml:space="preserve">、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f</m:t>
            </m:r>
          </m:sub>
        </m:sSub>
      </m:oMath>
      <w:r>
        <w:t xml:space="preserve">、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g</m:t>
            </m:r>
          </m:sub>
        </m:sSub>
      </m:oMath>
      <w:r>
        <w:t xml:space="preserve">、同步序列以及</w:t>
      </w:r>
      <w:r>
        <w:t xml:space="preserve"> </w:t>
      </w:r>
      <m:oMath>
        <m:sSub>
          <m:e>
            <m:r>
              <m:t>τ</m:t>
            </m:r>
          </m:e>
          <m:sub>
            <m:r>
              <m:t>0</m:t>
            </m:r>
          </m:sub>
        </m:sSub>
      </m:oMath>
      <w:r>
        <w:t xml:space="preserve">、</w:t>
      </w:r>
      <m:oMath>
        <m:sSub>
          <m:e>
            <m:r>
              <m:t>f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均未知的条件下，由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逐级恢复上述全部参数。</w:t>
      </w:r>
    </w:p>
    <w:bookmarkEnd w:id="23"/>
    <w:bookmarkEnd w:id="24"/>
    <w:bookmarkStart w:id="36" w:name="参数精确估计原理"/>
    <w:p>
      <w:pPr>
        <w:pStyle w:val="Heading1"/>
      </w:pPr>
      <w:r>
        <w:t xml:space="preserve">4 参数精确估计原理</w:t>
      </w:r>
    </w:p>
    <w:bookmarkStart w:id="28" w:name="总体估计流程"/>
    <w:p>
      <w:pPr>
        <w:pStyle w:val="Heading2"/>
      </w:pPr>
      <w:r>
        <w:t xml:space="preserve">4.1 总体估计流程</w:t>
      </w:r>
    </w:p>
    <w:p>
      <w:pPr>
        <w:pStyle w:val="FirstParagraph"/>
      </w:pPr>
      <w:r>
        <w:t xml:space="preserve">信号源参数精确估计的总体流程如图1所示，分为三个阶段：①利用功率谱、CP 自相关与循环自相关等二阶统计特征盲估计信号层参数，并借助整数约束确定采样率与子载波数；②利用长时延相关与功率折叠识别帧结构，并通过跨帧相干平均提取同步符号；③先以非数据辅助方法估计符号定时与小数倍频偏并解整数倍模糊，再利用同步符号进行多帧相干的数据辅助精确估计，最后完成调制方式识别。</w:t>
      </w:r>
    </w:p>
    <w:p>
      <w:pPr>
        <w:pStyle w:val="CaptionedFigure"/>
      </w:pPr>
      <w:r>
        <w:drawing>
          <wp:inline>
            <wp:extent cx="3779999" cy="2519999"/>
            <wp:effectExtent b="0" l="0" r="0" t="0"/>
            <wp:docPr descr="图1 非合作OFDM信号源参数精确估计总体流程" title="" id="26" name="Picture"/>
            <a:graphic>
              <a:graphicData uri="http://schemas.openxmlformats.org/drawingml/2006/picture">
                <pic:pic>
                  <pic:nvPicPr>
                    <pic:cNvPr descr="figures/fig1_flow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999" cy="251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图1 非合作OFDM信号源参数精确估计总体流程</w:t>
      </w:r>
    </w:p>
    <w:bookmarkEnd w:id="28"/>
    <w:bookmarkStart w:id="29" w:name="占用带宽与频偏粗估计"/>
    <w:p>
      <w:pPr>
        <w:pStyle w:val="Heading2"/>
      </w:pPr>
      <w:r>
        <w:t xml:space="preserve">4.2 占用带宽与频偏粗估计</w:t>
      </w:r>
    </w:p>
    <w:p>
      <w:pPr>
        <w:pStyle w:val="FirstParagraph"/>
      </w:pPr>
      <w:r>
        <w:t xml:space="preserve">采用 Welch 方法（分段加窗、周期图平均）估计接收信号的功率谱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  <m:d>
          <m:dPr>
            <m:begChr m:val="("/>
            <m:sepChr m:val=""/>
            <m:endChr m:val=")"/>
            <m:grow/>
          </m:dPr>
          <m:e>
            <m:r>
              <m:t>f</m:t>
            </m:r>
          </m:e>
        </m:d>
      </m:oMath>
      <w:r>
        <w:t xml:space="preserve">。分别求取带内平均功率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P</m:t>
                </m:r>
              </m:e>
            </m:acc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</m:sSub>
      </m:oMath>
      <w:r>
        <w:t xml:space="preserve"> </w:t>
      </w:r>
      <w:r>
        <w:t xml:space="preserve">与带外噪声基底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P</m:t>
                </m:r>
              </m:e>
            </m:acc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t</m:t>
            </m:r>
          </m:sub>
        </m:sSub>
      </m:oMath>
      <w:r>
        <w:t xml:space="preserve">，以二者的半功率点作为门限，搜索功率谱上升沿与下降沿的穿越频率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rPr>
                <m:sty m:val="p"/>
              </m:rPr>
              <m:t>L</m:t>
            </m:r>
          </m:sub>
        </m:sSub>
      </m:oMath>
      <w:r>
        <w:t xml:space="preserve"> </w:t>
      </w:r>
      <w:r>
        <w:t xml:space="preserve">与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rPr>
                <m:sty m:val="p"/>
              </m:rPr>
              <m:t>H</m:t>
            </m:r>
          </m:sub>
        </m:sSub>
      </m:oMath>
      <w:r>
        <w:t xml:space="preserve">，得到占用带宽</w:t>
      </w:r>
    </w:p>
    <w:tbl>
      <w:tblPr>
        <w:tblW w:w="907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00"/>
        <w:gridCol w:w="7270"/>
        <w:gridCol w:w="900"/>
      </w:tblGrid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0" w:after="0"/>
            </w:pPr>
          </w:p>
        </w:tc>
        <w:tc>
          <w:tcPr>
            <w:tcW w:w="7270" w:type="dxa"/>
            <w:vAlign w:val="center"/>
          </w:tcPr>
          <w:p>
            <w:pPr>
              <w:spacing w:before="20" w:after="20" w:line="240" w:lineRule="auto"/>
              <w:jc w:val="center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B</m:t>
                    </m:r>
                  </m:e>
                </m:acc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H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L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f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L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f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H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P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i</m:t>
                        </m:r>
                        <m:r>
                          <m:rPr>
                            <m:sty m:val="p"/>
                          </m:rP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P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o</m:t>
                        </m:r>
                        <m:r>
                          <m:rPr>
                            <m:sty m:val="p"/>
                          </m:rPr>
                          <m:t>u</m:t>
                        </m:r>
                        <m:r>
                          <m:rPr>
                            <m:sty m:val="p"/>
                          </m:rPr>
                          <m:t>t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900" w:type="dxa"/>
            <w:vAlign w:val="center"/>
          </w:tcPr>
          <w:p>
            <w:pPr>
              <w:spacing w:before="0" w:after="0"/>
              <w:jc w:val="right"/>
            </w:pPr>
            <w:r>
              <w:t xml:space="preserve">(4)</w:t>
            </w:r>
          </w:p>
        </w:tc>
      </w:tr>
    </w:tbl>
    <w:p>
      <w:pPr>
        <w:pStyle w:val="FirstParagraph"/>
      </w:pPr>
      <w:r>
        <w:t xml:space="preserve">为获得频偏的粗估计，可利用信道内部具有明确位置的频谱特征。文献[1]发现 Starlink 每个信道中心有 4 个不承载能量的空子载波（中心空隙），且信道中心频率比空隙中点高</w:t>
      </w:r>
      <w:r>
        <w:t xml:space="preserve"> </w:t>
      </w:r>
      <m:oMath>
        <m:r>
          <m:t>Δ</m:t>
        </m:r>
        <m:r>
          <m:t>f</m:t>
        </m:r>
        <m:r>
          <m:rPr>
            <m:sty m:val="p"/>
          </m:rPr>
          <m:t>/</m:t>
        </m:r>
        <m:r>
          <m:t>2</m:t>
        </m:r>
      </m:oMath>
      <w:r>
        <w:t xml:space="preserve">。因此，检测功率谱在频带中部低于门限的连续区间，取其中点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p</m:t>
            </m:r>
          </m:sub>
        </m:sSub>
      </m:oMath>
      <w:r>
        <w:t xml:space="preserve">，即可得到频偏粗估计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d</m:t>
            </m:r>
          </m:sub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0</m:t>
                </m:r>
              </m:e>
            </m:d>
          </m:sup>
        </m:sSubSup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+</m:t>
        </m:r>
        <m:r>
          <m:t>Δ</m:t>
        </m:r>
        <m:r>
          <m:t>f</m:t>
        </m:r>
        <m:r>
          <m:rPr>
            <m:sty m:val="p"/>
          </m:rPr>
          <m:t>/</m:t>
        </m:r>
        <m:r>
          <m:t>2</m:t>
        </m:r>
      </m:oMath>
      <w:r>
        <w:t xml:space="preserve">。中心空隙的边沿陡峭，其定位精度可达数 kHz，远小于</w:t>
      </w:r>
      <w:r>
        <w:t xml:space="preserve"> </w:t>
      </w:r>
      <m:oMath>
        <m:r>
          <m:t>Δ</m:t>
        </m:r>
        <m:r>
          <m:t>f</m:t>
        </m:r>
        <m:r>
          <m:rPr>
            <m:sty m:val="p"/>
          </m:rPr>
          <m:t>/</m:t>
        </m:r>
        <m:r>
          <m:t>2</m:t>
        </m:r>
      </m:oMath>
      <w:r>
        <w:t xml:space="preserve">，足以为后续整数倍频偏解模糊提供依据。</w:t>
      </w:r>
    </w:p>
    <w:bookmarkEnd w:id="29"/>
    <w:bookmarkStart w:id="30" w:name="基于cp自相关的有用符号长度估计"/>
    <w:p>
      <w:pPr>
        <w:pStyle w:val="Heading2"/>
      </w:pPr>
      <w:r>
        <w:t xml:space="preserve">4.3 基于CP自相关的有用符号长度估计</w:t>
      </w:r>
    </w:p>
    <w:p>
      <w:pPr>
        <w:pStyle w:val="FirstParagraph"/>
      </w:pPr>
      <w:r>
        <w:t xml:space="preserve">定义接收信号的时间平均自相关函数</w:t>
      </w:r>
    </w:p>
    <w:tbl>
      <w:tblPr>
        <w:tblW w:w="907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00"/>
        <w:gridCol w:w="7270"/>
        <w:gridCol w:w="900"/>
      </w:tblGrid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0" w:after="0"/>
            </w:pPr>
          </w:p>
        </w:tc>
        <w:tc>
          <w:tcPr>
            <w:tcW w:w="7270" w:type="dxa"/>
            <w:vAlign w:val="center"/>
          </w:tcPr>
          <w:p>
            <w:pPr>
              <w:spacing w:before="20" w:after="20" w:line="240" w:lineRule="auto"/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‾"/>
                      </m:accPr>
                      <m:e>
                        <m:r>
                          <m:t>R</m:t>
                        </m:r>
                      </m:e>
                    </m:acc>
                  </m:e>
                  <m:sub>
                    <m:r>
                      <m:t>r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τ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L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L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  <m:e>
                    <m:r>
                      <m:t>r</m:t>
                    </m:r>
                  </m:e>
                </m:nary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n</m:t>
                    </m:r>
                  </m:e>
                </m:d>
                <m:r>
                  <m:t> </m:t>
                </m:r>
                <m:sSup>
                  <m:e>
                    <m:r>
                      <m:t>r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τ</m:t>
                    </m:r>
                  </m:e>
                </m:d>
              </m:oMath>
            </m:oMathPara>
          </w:p>
        </w:tc>
        <w:tc>
          <w:tcPr>
            <w:tcW w:w="900" w:type="dxa"/>
            <w:vAlign w:val="center"/>
          </w:tcPr>
          <w:p>
            <w:pPr>
              <w:spacing w:before="0" w:after="0"/>
              <w:jc w:val="right"/>
            </w:pPr>
            <w:r>
              <w:t xml:space="preserve">(5)</w:t>
            </w:r>
          </w:p>
        </w:tc>
      </w:tr>
    </w:tbl>
    <w:p>
      <w:pPr>
        <w:pStyle w:val="FirstParagraph"/>
      </w:pPr>
      <w:r>
        <w:t xml:space="preserve">由于 CP 是符号尾部的复制，当时延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恰好等于有用符号长度对应的样点数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时，CP 段与其原始段对齐而相关；对于其他非零时延，不同子载波上的独立调制符号使相关值趋于零。其统计期望近似为</w:t>
      </w:r>
    </w:p>
    <w:tbl>
      <w:tblPr>
        <w:tblW w:w="907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00"/>
        <w:gridCol w:w="7270"/>
        <w:gridCol w:w="900"/>
      </w:tblGrid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0" w:after="0"/>
            </w:pPr>
          </w:p>
        </w:tc>
        <w:tc>
          <w:tcPr>
            <w:tcW w:w="7270" w:type="dxa"/>
            <w:vAlign w:val="center"/>
          </w:tcPr>
          <w:p>
            <w:pPr>
              <w:spacing w:before="20" w:after="20" w:line="240" w:lineRule="auto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R</m:t>
                            </m:r>
                          </m:e>
                        </m:acc>
                      </m:e>
                      <m:sub>
                        <m:r>
                          <m:t>r</m:t>
                        </m:r>
                      </m:sub>
                    </m:sSub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τ</m:t>
                        </m:r>
                      </m:e>
                    </m:d>
                  </m:e>
                </m:d>
                <m:r>
                  <m:rPr>
                    <m:sty m:val="p"/>
                  </m:rPr>
                  <m:t>≈</m:t>
                </m:r>
                <m:d>
                  <m:dPr>
                    <m:begChr m:val="{"/>
                    <m:sepChr m:val=""/>
                    <m:end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</m:mPr>
                      <m:mr>
                        <m:e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s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m:t>+</m:t>
                          </m:r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w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m:t>,</m:t>
                          </m:r>
                        </m:e>
                        <m:e>
                          <m:r>
                            <m:t>τ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e>
                      </m:mr>
                      <m:mr>
                        <m:e>
                          <m:f>
                            <m:fPr>
                              <m:type m:val="bar"/>
                            </m:fPr>
                            <m:num>
                              <m:sSub>
                                <m:e>
                                  <m:r>
                                    <m:t>N</m:t>
                                  </m:r>
                                </m:e>
                                <m:sub>
                                  <m:r>
                                    <m:t>g</m:t>
                                  </m:r>
                                </m:sub>
                              </m:sSub>
                            </m:num>
                            <m:den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sSub>
                                <m:e>
                                  <m:r>
                                    <m:t>N</m:t>
                                  </m:r>
                                </m:e>
                                <m:sub>
                                  <m:r>
                                    <m:t>g</m:t>
                                  </m:r>
                                </m:sub>
                              </m:sSub>
                            </m:den>
                          </m:f>
                          <m:r>
                            <m:t> </m:t>
                          </m:r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s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  <m:r>
                            <m:t> 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ty m:val="p"/>
                                </m:rPr>
                                <m:t>j</m:t>
                              </m:r>
                              <m:r>
                                <m:t>2</m:t>
                              </m:r>
                              <m:r>
                                <m:t>π</m:t>
                              </m:r>
                              <m:sSub>
                                <m:e>
                                  <m:r>
                                    <m:t>f</m:t>
                                  </m:r>
                                </m:e>
                                <m:sub>
                                  <m:r>
                                    <m:t>d</m:t>
                                  </m:r>
                                </m:sub>
                              </m:sSub>
                              <m:r>
                                <m:t>N</m:t>
                              </m:r>
                              <m:sSub>
                                <m:e>
                                  <m:r>
                                    <m:t>T</m:t>
                                  </m:r>
                                </m:e>
                                <m:sub>
                                  <m:r>
                                    <m:t>s</m:t>
                                  </m:r>
                                </m:sub>
                              </m:sSub>
                            </m:sup>
                          </m:sSup>
                          <m:r>
                            <m:rPr>
                              <m:sty m:val="p"/>
                            </m:rPr>
                            <m:t>,</m:t>
                          </m:r>
                        </m:e>
                        <m:e>
                          <m:r>
                            <m:t>τ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±</m:t>
                          </m:r>
                          <m:r>
                            <m:t>N</m:t>
                          </m:r>
                        </m:e>
                      </m:mr>
                      <m:mr>
                        <m:e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</m:e>
                        <m:e>
                          <m:r>
                            <m:rPr>
                              <m:nor/>
                            </m:rPr>
                            <m:t>其他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900" w:type="dxa"/>
            <w:vAlign w:val="center"/>
          </w:tcPr>
          <w:p>
            <w:pPr>
              <w:spacing w:before="0" w:after="0"/>
              <w:jc w:val="right"/>
            </w:pPr>
            <w:r>
              <w:t xml:space="preserve">(6)</w:t>
            </w:r>
          </w:p>
        </w:tc>
      </w:tr>
    </w:tbl>
    <w:p>
      <w:pPr>
        <w:pStyle w:val="FirstParagraph"/>
        <w:ind w:firstLineChars="0" w:firstLine="0"/>
      </w:pPr>
      <w:r>
        <w:t xml:space="preserve">式中，</w:t>
      </w:r>
      <m:oMath>
        <m:sSubSup>
          <m:e>
            <m:r>
              <m:t>σ</m:t>
            </m:r>
          </m:e>
          <m:sub>
            <m:r>
              <m:t>s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为信号功率。可见，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R</m:t>
                    </m:r>
                  </m:e>
                </m:acc>
              </m:e>
              <m:sub>
                <m:r>
                  <m:t>r</m:t>
                </m:r>
              </m:sub>
            </m:sSub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</m:e>
        </m:d>
      </m:oMath>
      <w:r>
        <w:t xml:space="preserve"> </w:t>
      </w:r>
      <w:r>
        <w:t xml:space="preserve">在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处出现孤立峰值，且峰值幅度不受频偏影响。于是，在排除零时延附近相关主瓣（</w:t>
      </w:r>
      <m:oMath>
        <m:r>
          <m:t>τ</m:t>
        </m:r>
        <m:r>
          <m:rPr>
            <m:sty m:val="p"/>
          </m:rPr>
          <m:t>&gt;</m:t>
        </m:r>
        <m:sSub>
          <m:e>
            <m:r>
              <m:t>τ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）后搜索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R</m:t>
                    </m:r>
                  </m:e>
                </m:acc>
              </m:e>
              <m:sub>
                <m:r>
                  <m:t>r</m:t>
                </m:r>
              </m:sub>
            </m:sSub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</m:e>
        </m:d>
      </m:oMath>
      <w:r>
        <w:t xml:space="preserve"> </w:t>
      </w:r>
      <w:r>
        <w:t xml:space="preserve">的峰值位置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k</m:t>
            </m:r>
          </m:sub>
        </m:sSub>
      </m:oMath>
      <w:r>
        <w:t xml:space="preserve">，即得有用符号长度</w:t>
      </w:r>
      <w:r>
        <w:t xml:space="preserve"> </w:t>
      </w:r>
      <m:oMath>
        <m:acc>
          <m:accPr>
            <m:chr m:val="̂"/>
          </m:accPr>
          <m:e>
            <m:r>
              <m:t>T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k</m:t>
            </m:r>
          </m:sub>
        </m:sSub>
        <m:sSub>
          <m:e>
            <m:r>
              <m:t>T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及子载波间隔</w:t>
      </w:r>
      <w:r>
        <w:t xml:space="preserve"> </w:t>
      </w:r>
      <m:oMath>
        <m:r>
          <m:t>Δ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T</m:t>
            </m:r>
          </m:e>
        </m:acc>
      </m:oMath>
      <w:r>
        <w:t xml:space="preserve">。</w:t>
      </w:r>
    </w:p>
    <w:bookmarkEnd w:id="30"/>
    <w:bookmarkStart w:id="31" w:name="基于循环平稳特性的符号周期与cp长度估计"/>
    <w:p>
      <w:pPr>
        <w:pStyle w:val="Heading2"/>
      </w:pPr>
      <w:r>
        <w:t xml:space="preserve">4.4 基于循环平稳特性的符号周期与CP长度估计</w:t>
      </w:r>
    </w:p>
    <w:p>
      <w:pPr>
        <w:pStyle w:val="FirstParagraph"/>
      </w:pPr>
      <w:r>
        <w:t xml:space="preserve">CP 结构使得乘积序列</w:t>
      </w:r>
      <w:r>
        <w:t xml:space="preserve"> </w:t>
      </w:r>
      <m:oMath>
        <m:r>
          <m:t>z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sSup>
          <m:e>
            <m:r>
              <m:t>r</m:t>
            </m:r>
          </m:e>
          <m:sup>
            <m:r>
              <m:rPr>
                <m:sty m:val="p"/>
              </m:rPr>
              <m:t>*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acc>
              <m:accPr>
                <m:chr m:val="̂"/>
              </m:accPr>
              <m:e>
                <m:r>
                  <m:t>N</m:t>
                </m:r>
              </m:e>
            </m:acc>
          </m:e>
        </m:d>
      </m:oMath>
      <w:r>
        <w:t xml:space="preserve"> </w:t>
      </w:r>
      <w:r>
        <w:t xml:space="preserve">在每个符号的 CP 段内具有非零均值，在其余部分均值为零，因此</w:t>
      </w:r>
      <w:r>
        <w:t xml:space="preserve"> </w:t>
      </w:r>
      <m:oMath>
        <m:r>
          <m:t>z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的均值以符号周期为周期变化，即信号具有二阶循环平稳性</w:t>
      </w:r>
      <w:r>
        <w:rPr>
          <w:vertAlign w:val="superscript"/>
        </w:rPr>
        <w:t xml:space="preserve">[6]</w:t>
      </w:r>
      <w:r>
        <w:t xml:space="preserve">。其循环自相关函数定义为</w:t>
      </w:r>
    </w:p>
    <w:tbl>
      <w:tblPr>
        <w:tblW w:w="907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00"/>
        <w:gridCol w:w="7270"/>
        <w:gridCol w:w="900"/>
      </w:tblGrid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0" w:after="0"/>
            </w:pPr>
          </w:p>
        </w:tc>
        <w:tc>
          <w:tcPr>
            <w:tcW w:w="7270" w:type="dxa"/>
            <w:vAlign w:val="center"/>
          </w:tcPr>
          <w:p>
            <w:pPr>
              <w:spacing w:before="20" w:after="20" w:line="240" w:lineRule="auto"/>
              <w:jc w:val="center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R</m:t>
                    </m:r>
                  </m:e>
                  <m:sub>
                    <m:r>
                      <m:t>r</m:t>
                    </m:r>
                  </m:sub>
                  <m:sup>
                    <m:r>
                      <m:t>α</m:t>
                    </m:r>
                  </m:sup>
                </m:sSubSup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τ</m:t>
                    </m:r>
                  </m:e>
                </m:d>
                <m:r>
                  <m:rPr>
                    <m:sty m:val="p"/>
                  </m:rPr>
                  <m:t>=</m:t>
                </m:r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L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L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L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  <m:e>
                    <m:r>
                      <m:t>r</m:t>
                    </m:r>
                  </m:e>
                </m:nary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n</m:t>
                    </m:r>
                  </m:e>
                </m:d>
                <m:r>
                  <m:t> </m:t>
                </m:r>
                <m:sSup>
                  <m:e>
                    <m:r>
                      <m:t>r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τ</m:t>
                    </m:r>
                  </m:e>
                </m:d>
                <m:r>
                  <m:t> 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j</m:t>
                    </m:r>
                    <m:r>
                      <m:t>2</m:t>
                    </m:r>
                    <m:r>
                      <m:t>π</m:t>
                    </m:r>
                    <m:r>
                      <m:t>α</m:t>
                    </m:r>
                    <m:r>
                      <m:t>n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s</m:t>
                        </m:r>
                      </m:sub>
                    </m:sSub>
                  </m:sup>
                </m:sSup>
              </m:oMath>
            </m:oMathPara>
          </w:p>
        </w:tc>
        <w:tc>
          <w:tcPr>
            <w:tcW w:w="900" w:type="dxa"/>
            <w:vAlign w:val="center"/>
          </w:tcPr>
          <w:p>
            <w:pPr>
              <w:spacing w:before="0" w:after="0"/>
              <w:jc w:val="right"/>
            </w:pPr>
            <w:r>
              <w:t xml:space="preserve">(7)</w:t>
            </w:r>
          </w:p>
        </w:tc>
      </w:tr>
    </w:tbl>
    <w:p>
      <w:pPr>
        <w:pStyle w:val="FirstParagraph"/>
      </w:pPr>
      <w:r>
        <w:t xml:space="preserve">在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N</m:t>
            </m:r>
          </m:e>
        </m:acc>
      </m:oMath>
      <w:r>
        <w:t xml:space="preserve"> </w:t>
      </w:r>
      <w:r>
        <w:t xml:space="preserve">处，</w:t>
      </w:r>
      <m:oMath>
        <m:d>
          <m:dPr>
            <m:begChr m:val="|"/>
            <m:sepChr m:val=""/>
            <m:endChr m:val="|"/>
            <m:grow/>
          </m:dPr>
          <m:e>
            <m:sSubSup>
              <m:e>
                <m:r>
                  <m:t>R</m:t>
                </m:r>
              </m:e>
              <m:sub>
                <m:r>
                  <m:t>r</m:t>
                </m:r>
              </m:sub>
              <m:sup>
                <m:r>
                  <m:t>α</m:t>
                </m:r>
              </m:sup>
            </m:sSubSup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N</m:t>
                    </m:r>
                  </m:e>
                </m:acc>
              </m:e>
            </m:d>
          </m:e>
        </m:d>
      </m:oMath>
      <w:r>
        <w:t xml:space="preserve"> </w:t>
      </w:r>
      <w:r>
        <w:t xml:space="preserve">仅在循环频率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m</m:t>
            </m:r>
          </m:sub>
        </m:sSub>
      </m:oMath>
      <w:r>
        <w:t xml:space="preserve">（</w:t>
      </w:r>
      <m:oMath>
        <m:r>
          <m:t>k</m:t>
        </m:r>
      </m:oMath>
      <w:r>
        <w:t xml:space="preserve"> </w:t>
      </w:r>
      <w:r>
        <w:t xml:space="preserve">为整数）处出现谱线。工程上可对</w:t>
      </w:r>
      <w:r>
        <w:t xml:space="preserve"> </w:t>
      </w:r>
      <m:oMath>
        <m:r>
          <m:t>z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进行快速傅里叶变换得到循环自相关谱，检测各次谐波谱线位置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k</m:t>
            </m:r>
          </m:sub>
        </m:sSub>
      </m:oMath>
      <w:r>
        <w:t xml:space="preserve">，并采用最小二乘拟合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m</m:t>
            </m:r>
          </m:sub>
        </m:sSub>
      </m:oMath>
      <w:r>
        <w:t xml:space="preserve">，得到</w:t>
      </w:r>
    </w:p>
    <w:tbl>
      <w:tblPr>
        <w:tblW w:w="907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00"/>
        <w:gridCol w:w="7270"/>
        <w:gridCol w:w="900"/>
      </w:tblGrid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0" w:after="0"/>
            </w:pPr>
          </w:p>
        </w:tc>
        <w:tc>
          <w:tcPr>
            <w:tcW w:w="7270" w:type="dxa"/>
            <w:vAlign w:val="center"/>
          </w:tcPr>
          <w:p>
            <w:pPr>
              <w:spacing w:before="20" w:after="20" w:line="240" w:lineRule="auto"/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T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y</m:t>
                    </m:r>
                    <m:r>
                      <m:rPr>
                        <m:sty m:val="p"/>
                      </m:rP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p>
                          <m:e>
                            <m:r>
                              <m:t>k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nary>
                  </m:num>
                  <m:den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k</m:t>
                        </m:r>
                      </m:e>
                    </m:nary>
                    <m:r>
                      <m:t> 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α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T</m:t>
                        </m:r>
                      </m:e>
                    </m:acc>
                  </m:e>
                  <m:sub>
                    <m:r>
                      <m:t>g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T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y</m:t>
                    </m:r>
                    <m:r>
                      <m:rPr>
                        <m:sty m:val="p"/>
                      </m:rPr>
                      <m:t>m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T</m:t>
                    </m:r>
                  </m:e>
                </m:acc>
              </m:oMath>
            </m:oMathPara>
          </w:p>
        </w:tc>
        <w:tc>
          <w:tcPr>
            <w:tcW w:w="900" w:type="dxa"/>
            <w:vAlign w:val="center"/>
          </w:tcPr>
          <w:p>
            <w:pPr>
              <w:spacing w:before="0" w:after="0"/>
              <w:jc w:val="right"/>
            </w:pPr>
            <w:r>
              <w:t xml:space="preserve">(8)</w:t>
            </w:r>
          </w:p>
        </w:tc>
      </w:tr>
    </w:tbl>
    <w:bookmarkEnd w:id="31"/>
    <w:bookmarkStart w:id="32" w:name="采样率与子载波数的整数约束判定"/>
    <w:p>
      <w:pPr>
        <w:pStyle w:val="Heading2"/>
      </w:pPr>
      <w:r>
        <w:t xml:space="preserve">4.5 采样率与子载波数的整数约束判定</w:t>
      </w:r>
    </w:p>
    <w:p>
      <w:pPr>
        <w:pStyle w:val="FirstParagraph"/>
      </w:pPr>
      <m:oMath>
        <m:acc>
          <m:accPr>
            <m:chr m:val="̂"/>
          </m:accPr>
          <m:e>
            <m:r>
              <m:t>T</m:t>
            </m:r>
          </m:e>
        </m:acc>
      </m:oMath>
      <w:r>
        <w:t xml:space="preserve"> </w:t>
      </w:r>
      <w:r>
        <w:t xml:space="preserve">与式(8)给出的均是时间量，而采样率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</m:oMath>
      <w:r>
        <w:t xml:space="preserve">、子载波数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与 CP 样点数</w:t>
      </w:r>
      <w:r>
        <w:t xml:space="preserve"> </w:t>
      </w:r>
      <m:oMath>
        <m:sSub>
          <m:e>
            <m:r>
              <m:t>N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需联合确定。由式(2)可知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T</m:t>
        </m:r>
      </m:oMath>
      <w:r>
        <w:t xml:space="preserve">。工程中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通常取 2 的整数次幂，且 OFDM 信号的占用带宽不超过采样率，于是可按如下准则判定：</w:t>
      </w:r>
    </w:p>
    <w:tbl>
      <w:tblPr>
        <w:tblW w:w="907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00"/>
        <w:gridCol w:w="7270"/>
        <w:gridCol w:w="900"/>
      </w:tblGrid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0" w:after="0"/>
            </w:pPr>
          </w:p>
        </w:tc>
        <w:tc>
          <w:tcPr>
            <w:tcW w:w="7270" w:type="dxa"/>
            <w:vAlign w:val="center"/>
          </w:tcPr>
          <w:p>
            <w:pPr>
              <w:spacing w:before="20" w:after="20" w:line="240" w:lineRule="auto"/>
              <w:jc w:val="center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N</m:t>
                    </m:r>
                  </m:e>
                </m:acc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min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p>
                      <m:e>
                        <m:r>
                          <m:t>2</m:t>
                        </m:r>
                      </m:e>
                      <m:sup>
                        <m:r>
                          <m:t>p</m:t>
                        </m:r>
                      </m:sup>
                    </m:sSup>
                    <m:r>
                      <m:rPr>
                        <m:sty m:val="p"/>
                      </m:rPr>
                      <m:t>:</m:t>
                    </m:r>
                    <m:r>
                      <m:t> 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2</m:t>
                            </m:r>
                          </m:e>
                          <m:sup>
                            <m:r>
                              <m:t>p</m:t>
                            </m:r>
                          </m:sup>
                        </m:sSup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T</m:t>
                            </m:r>
                          </m:e>
                        </m:acc>
                      </m:den>
                    </m:f>
                    <m:r>
                      <m:rPr>
                        <m:sty m:val="p"/>
                      </m:rPr>
                      <m:t>≥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η</m:t>
                        </m:r>
                      </m:e>
                    </m:d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</m:d>
                <m:r>
                  <m:rPr>
                    <m:sty m:val="p"/>
                  </m:rPr>
                  <m:t>,</m:t>
                </m:r>
                <m:r>
                  <m:t> 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</m:e>
                  <m:sub>
                    <m:r>
                      <m:t>s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acc>
                      <m:accPr>
                        <m:chr m:val="̂"/>
                      </m:accPr>
                      <m:e>
                        <m:r>
                          <m:t>N</m:t>
                        </m:r>
                      </m:e>
                    </m:acc>
                  </m:num>
                  <m:den>
                    <m:acc>
                      <m:accPr>
                        <m:chr m:val="̂"/>
                      </m:accPr>
                      <m:e>
                        <m:r>
                          <m:t>T</m:t>
                        </m:r>
                      </m:e>
                    </m:acc>
                  </m:den>
                </m:f>
                <m:r>
                  <m:rPr>
                    <m:sty m:val="p"/>
                  </m:rPr>
                  <m:t>,</m:t>
                </m:r>
                <m:r>
                  <m:t> 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N</m:t>
                        </m:r>
                      </m:e>
                    </m:acc>
                  </m:e>
                  <m:sub>
                    <m:r>
                      <m:t>g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d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T</m:t>
                            </m:r>
                          </m:e>
                        </m:acc>
                      </m:e>
                      <m:sub>
                        <m:r>
                          <m:t>g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F</m:t>
                            </m:r>
                          </m:e>
                        </m:acc>
                      </m:e>
                      <m:sub>
                        <m:r>
                          <m:t>s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900" w:type="dxa"/>
            <w:vAlign w:val="center"/>
          </w:tcPr>
          <w:p>
            <w:pPr>
              <w:spacing w:before="0" w:after="0"/>
              <w:jc w:val="right"/>
            </w:pPr>
            <w:r>
              <w:t xml:space="preserve">(9)</w:t>
            </w:r>
          </w:p>
        </w:tc>
      </w:tr>
    </w:tbl>
    <w:p>
      <w:pPr>
        <w:pStyle w:val="FirstParagraph"/>
        <w:ind w:firstLineChars="0" w:firstLine="0"/>
      </w:pPr>
      <w:r>
        <w:t xml:space="preserve">式中，</w:t>
      </w:r>
      <m:oMath>
        <m:r>
          <m:t>η</m:t>
        </m:r>
      </m:oMath>
      <w:r>
        <w:t xml:space="preserve"> </w:t>
      </w:r>
      <w:r>
        <w:t xml:space="preserve">为考虑带宽估计误差的容差系数（本文取 0.02）。整数约束的意义在于：</w:t>
      </w:r>
      <m:oMath>
        <m:sSub>
          <m:e>
            <m:acc>
              <m:accPr>
                <m:chr m:val="̂"/>
              </m:accPr>
              <m:e>
                <m:r>
                  <m:t>T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的微小估计误差经取整后被完全消除，此后即可由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N</m:t>
                </m:r>
              </m:e>
            </m:acc>
            <m:r>
              <m:rPr>
                <m:sty m:val="p"/>
              </m:rPr>
              <m:t>+</m:t>
            </m:r>
            <m:sSub>
              <m:e>
                <m:acc>
                  <m:accPr>
                    <m:chr m:val="̂"/>
                  </m:accPr>
                  <m:e>
                    <m:r>
                      <m:t>N</m:t>
                    </m:r>
                  </m:e>
                </m:acc>
              </m:e>
              <m:sub>
                <m:r>
                  <m:t>g</m:t>
                </m:r>
              </m:sub>
            </m:sSub>
          </m:e>
        </m:d>
        <m:r>
          <m:rPr>
            <m:sty m:val="p"/>
          </m:rPr>
          <m:t>/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s</m:t>
            </m:r>
          </m:sub>
        </m:sSub>
      </m:oMath>
      <w:r>
        <w:t xml:space="preserve"> </w:t>
      </w:r>
      <w:r>
        <w:t xml:space="preserve">反算出精确的符号周期，实现参数精度的“跃升”。由5.1节可知，Starlink 信号的各参数之间同样满足这种严格的整数关系。</w:t>
      </w:r>
    </w:p>
    <w:bookmarkEnd w:id="32"/>
    <w:bookmarkStart w:id="33" w:name="帧结构识别与同步符号提取"/>
    <w:p>
      <w:pPr>
        <w:pStyle w:val="Heading2"/>
      </w:pPr>
      <w:r>
        <w:t xml:space="preserve">4.6 帧结构识别与同步符号提取</w:t>
      </w:r>
    </w:p>
    <w:p>
      <w:pPr>
        <w:pStyle w:val="FirstParagraph"/>
      </w:pPr>
      <w:r>
        <w:rPr>
          <w:b/>
          <w:bCs/>
        </w:rPr>
        <w:t xml:space="preserve">（1）帧周期估计。</w:t>
      </w:r>
      <w:r>
        <w:t xml:space="preserve"> </w:t>
      </w:r>
      <w:r>
        <w:t xml:space="preserve">同步符号在每一帧中重复出现，而数据符号逐帧随机变化，因此在帧周期的可能范围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sSub>
              <m:e>
                <m:r>
                  <m:t>τ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τ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t xml:space="preserve">内搜索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R</m:t>
                    </m:r>
                  </m:e>
                </m:acc>
              </m:e>
              <m:sub>
                <m:r>
                  <m:t>r</m:t>
                </m:r>
              </m:sub>
            </m:sSub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</m:e>
        </m:d>
      </m:oMath>
      <w:r>
        <w:t xml:space="preserve"> </w:t>
      </w:r>
      <w:r>
        <w:t xml:space="preserve">的峰值，即得帧周期估计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T</m:t>
                </m:r>
              </m:e>
            </m:acc>
          </m:e>
          <m:sub>
            <m:r>
              <m:t>f</m:t>
            </m:r>
          </m:sub>
        </m:sSub>
      </m:oMath>
      <w:r>
        <w:t xml:space="preserve">。由于同步符号仅占一帧的很小比例，该峰值较弱，需利用多帧数据进行长时间平均。</w:t>
      </w:r>
    </w:p>
    <w:p>
      <w:pPr>
        <w:pStyle w:val="BodyText"/>
      </w:pPr>
      <w:r>
        <w:rPr>
          <w:b/>
          <w:bCs/>
        </w:rPr>
        <w:t xml:space="preserve">（2）帧保护与每帧符号数识别。</w:t>
      </w:r>
      <w:r>
        <w:t xml:space="preserve"> </w:t>
      </w:r>
      <w:r>
        <w:t xml:space="preserve">以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L</m:t>
                </m:r>
              </m:e>
            </m:acc>
          </m:e>
          <m:sub>
            <m:r>
              <m:t>f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T</m:t>
                </m:r>
              </m:e>
            </m:acc>
          </m:e>
          <m:sub>
            <m:r>
              <m:t>f</m:t>
            </m:r>
          </m:sub>
        </m:sSub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为模对瞬时功率进行折叠平均：</w:t>
      </w:r>
    </w:p>
    <w:tbl>
      <w:tblPr>
        <w:tblW w:w="907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00"/>
        <w:gridCol w:w="7270"/>
        <w:gridCol w:w="900"/>
      </w:tblGrid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0" w:after="0"/>
            </w:pPr>
          </w:p>
        </w:tc>
        <w:tc>
          <w:tcPr>
            <w:tcW w:w="7270" w:type="dxa"/>
            <w:vAlign w:val="center"/>
          </w:tcPr>
          <w:p>
            <w:pPr>
              <w:spacing w:before="20" w:after="20" w:line="240" w:lineRule="auto"/>
              <w:jc w:val="center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p</m:t>
                    </m:r>
                  </m:e>
                </m:acc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n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  <m:e>
                    <m:sSup>
                      <m:e>
                        <m:d>
                          <m:dPr>
                            <m:begChr m:val="|"/>
                            <m:sepChr m:val=""/>
                            <m:endChr m:val="|"/>
                            <m:grow/>
                          </m:dPr>
                          <m:e>
                            <m:r>
                              <m:t>r</m:t>
                            </m:r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r>
                                  <m:t>n</m:t>
                                </m:r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r>
                                  <m:t>l</m:t>
                                </m:r>
                                <m:sSub>
                                  <m:e>
                                    <m:acc>
                                      <m:accPr>
                                        <m:chr m:val="̂"/>
                                      </m:accPr>
                                      <m:e>
                                        <m:r>
                                          <m:t>L</m:t>
                                        </m:r>
                                      </m:e>
                                    </m:acc>
                                  </m:e>
                                  <m:sub>
                                    <m:r>
                                      <m:t>f</m:t>
                                    </m:r>
                                  </m:sub>
                                </m:sSub>
                              </m:e>
                            </m:d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e>
                </m:nary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⋯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1</m:t>
                </m:r>
              </m:oMath>
            </m:oMathPara>
          </w:p>
        </w:tc>
        <w:tc>
          <w:tcPr>
            <w:tcW w:w="900" w:type="dxa"/>
            <w:vAlign w:val="center"/>
          </w:tcPr>
          <w:p>
            <w:pPr>
              <w:spacing w:before="0" w:after="0"/>
              <w:jc w:val="right"/>
            </w:pPr>
            <w:r>
              <w:t xml:space="preserve">(10)</w:t>
            </w:r>
          </w:p>
        </w:tc>
      </w:tr>
    </w:tbl>
    <w:p>
      <w:pPr>
        <w:pStyle w:val="FirstParagraph"/>
      </w:pPr>
      <w:r>
        <w:t xml:space="preserve">折叠后噪声起伏被压低，帧保护间隔表现为一段明显的功率凹陷，其宽度即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T</m:t>
                </m:r>
              </m:e>
            </m:acc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g</m:t>
            </m:r>
          </m:sub>
        </m:sSub>
      </m:oMath>
      <w:r>
        <w:t xml:space="preserve">，其结束位置即帧起点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n</m:t>
                </m:r>
              </m:e>
            </m:acc>
          </m:e>
          <m:sub>
            <m:r>
              <m:t>0</m:t>
            </m:r>
          </m:sub>
        </m:sSub>
      </m:oMath>
      <w:r>
        <w:t xml:space="preserve">，进而得到每帧符号数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N</m:t>
                </m:r>
              </m:e>
            </m:acc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r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d</m:t>
        </m:r>
        <m:d>
          <m:dPr>
            <m:begChr m:val="["/>
            <m:sepChr m:val=""/>
            <m:endChr m:val="]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T</m:t>
                        </m:r>
                      </m:e>
                    </m:acc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T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f</m:t>
                    </m:r>
                    <m:r>
                      <m:rPr>
                        <m:sty m:val="p"/>
                      </m:rPr>
                      <m:t>g</m:t>
                    </m:r>
                  </m:sub>
                </m:sSub>
              </m:e>
            </m:d>
            <m:r>
              <m:rPr>
                <m:sty m:val="p"/>
              </m:rPr>
              <m:t>/</m:t>
            </m:r>
            <m:sSub>
              <m:e>
                <m:acc>
                  <m:accPr>
                    <m:chr m:val="̂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y</m:t>
                </m:r>
                <m:r>
                  <m:rPr>
                    <m:sty m:val="p"/>
                  </m:rPr>
                  <m:t>m</m:t>
                </m:r>
              </m:sub>
            </m:sSub>
          </m:e>
        </m:d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（3）同步符号提取。</w:t>
      </w:r>
      <w:r>
        <w:t xml:space="preserve"> </w:t>
      </w:r>
      <w:r>
        <w:t xml:space="preserve">在帧起点已知的条件下，对各帧首部的同步符号段进行频偏补偿后相干平均：</w:t>
      </w:r>
    </w:p>
    <w:tbl>
      <w:tblPr>
        <w:tblW w:w="907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00"/>
        <w:gridCol w:w="7270"/>
        <w:gridCol w:w="900"/>
      </w:tblGrid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0" w:after="0"/>
            </w:pPr>
          </w:p>
        </w:tc>
        <w:tc>
          <w:tcPr>
            <w:tcW w:w="7270" w:type="dxa"/>
            <w:vAlign w:val="center"/>
          </w:tcPr>
          <w:p>
            <w:pPr>
              <w:spacing w:before="20" w:after="20" w:line="240" w:lineRule="auto"/>
              <w:jc w:val="center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i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  <m:e>
                    <m:r>
                      <m:t>r</m:t>
                    </m:r>
                  </m:e>
                </m:nary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n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  <m:r>
                      <m:rPr>
                        <m:sty m:val="p"/>
                      </m:rPr>
                      <m:t>+</m:t>
                    </m:r>
                    <m:r>
                      <m:t>l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f</m:t>
                        </m:r>
                      </m:sub>
                    </m:sSub>
                  </m:e>
                </m:d>
                <m:r>
                  <m:t> 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j</m:t>
                    </m:r>
                    <m:r>
                      <m:t>2</m:t>
                    </m:r>
                    <m:r>
                      <m:t>π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f</m:t>
                            </m:r>
                          </m:e>
                        </m:acc>
                      </m:e>
                      <m:sub>
                        <m:r>
                          <m:t>d</m:t>
                        </m:r>
                      </m:sub>
                    </m:sSub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n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l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L</m:t>
                                </m:r>
                              </m:e>
                            </m:acc>
                          </m:e>
                          <m:sub>
                            <m:r>
                              <m:t>f</m:t>
                            </m:r>
                          </m:sub>
                        </m:sSub>
                      </m:e>
                    </m:d>
                    <m:sSub>
                      <m:e>
                        <m:r>
                          <m:t>T</m:t>
                        </m:r>
                      </m:e>
                      <m:sub>
                        <m:r>
                          <m:t>s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⋯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p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1</m:t>
                </m:r>
              </m:oMath>
            </m:oMathPara>
          </w:p>
        </w:tc>
        <w:tc>
          <w:tcPr>
            <w:tcW w:w="900" w:type="dxa"/>
            <w:vAlign w:val="center"/>
          </w:tcPr>
          <w:p>
            <w:pPr>
              <w:spacing w:before="0" w:after="0"/>
              <w:jc w:val="right"/>
            </w:pPr>
            <w:r>
              <w:t xml:space="preserve">(11)</w:t>
            </w:r>
          </w:p>
        </w:tc>
      </w:tr>
    </w:tbl>
    <w:p>
      <w:pPr>
        <w:pStyle w:val="FirstParagraph"/>
        <w:ind w:firstLineChars="0" w:firstLine="0"/>
      </w:pPr>
      <w:r>
        <w:t xml:space="preserve">式中，</w:t>
      </w:r>
      <m:oMath>
        <m:sSub>
          <m:e>
            <m:r>
              <m:t>L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为同步符号长度。相干平均使信噪比提高</w:t>
      </w:r>
      <w:r>
        <w:t xml:space="preserve"> </w:t>
      </w:r>
      <m:oMath>
        <m:r>
          <m:t>10</m:t>
        </m:r>
        <m:r>
          <m:rPr>
            <m:sty m:val="p"/>
          </m:rPr>
          <m:t>lg</m:t>
        </m:r>
        <m:r>
          <m:t>K</m:t>
        </m:r>
      </m:oMath>
      <w:r>
        <w:t xml:space="preserve"> </w:t>
      </w:r>
      <w:r>
        <w:t xml:space="preserve">dB。若存在残余频偏</w:t>
      </w:r>
      <w:r>
        <w:t xml:space="preserve"> </w:t>
      </w:r>
      <m:oMath>
        <m:r>
          <m:t>δ</m:t>
        </m:r>
        <m:r>
          <m:t>f</m:t>
        </m:r>
      </m:oMath>
      <w:r>
        <w:t xml:space="preserve">，则帧间相位旋转导致相干增益损失，提取序列与真实序列的相关系数为</w:t>
      </w:r>
    </w:p>
    <w:tbl>
      <w:tblPr>
        <w:tblW w:w="907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00"/>
        <w:gridCol w:w="7270"/>
        <w:gridCol w:w="900"/>
      </w:tblGrid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0" w:after="0"/>
            </w:pPr>
          </w:p>
        </w:tc>
        <w:tc>
          <w:tcPr>
            <w:tcW w:w="7270" w:type="dxa"/>
            <w:vAlign w:val="center"/>
          </w:tcPr>
          <w:p>
            <w:pPr>
              <w:spacing w:before="20" w:after="20" w:line="240" w:lineRule="auto"/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r>
                      <m:t>ρ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</m:e>
                    </m:d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d>
                              <m:dPr>
                                <m:begChr m:val="|"/>
                                <m:sepChr m:val=""/>
                                <m:endChr m:val="|"/>
                                <m:grow/>
                              </m:dPr>
                              <m:e>
                                <m:sSub>
                                  <m:e>
                                    <m:r>
                                      <m:t>D</m:t>
                                    </m:r>
                                  </m:e>
                                  <m:sub>
                                    <m:r>
                                      <m:t>K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K</m:t>
                            </m:r>
                            <m:r>
                              <m:t>γ</m:t>
                            </m:r>
                          </m:e>
                        </m:d>
                      </m:e>
                    </m:rad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sin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π</m:t>
                        </m:r>
                        <m:r>
                          <m:t>K</m:t>
                        </m:r>
                        <m:r>
                          <m:t> </m:t>
                        </m:r>
                        <m:r>
                          <m:t>δ</m:t>
                        </m:r>
                        <m:r>
                          <m:t>f</m:t>
                        </m:r>
                        <m:r>
                          <m:t> </m:t>
                        </m:r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f</m:t>
                            </m:r>
                          </m:sub>
                        </m:sSub>
                      </m:e>
                    </m:d>
                  </m:num>
                  <m:den>
                    <m:r>
                      <m:t>K</m:t>
                    </m:r>
                    <m:r>
                      <m:rPr>
                        <m:sty m:val="p"/>
                      </m:rPr>
                      <m:t>sin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π</m:t>
                        </m:r>
                        <m:r>
                          <m:t> </m:t>
                        </m:r>
                        <m:r>
                          <m:t>δ</m:t>
                        </m:r>
                        <m:r>
                          <m:t>f</m:t>
                        </m:r>
                        <m:r>
                          <m:t> </m:t>
                        </m:r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f</m:t>
                            </m:r>
                          </m:sub>
                        </m:sSub>
                      </m:e>
                    </m:d>
                  </m:den>
                </m:f>
              </m:oMath>
            </m:oMathPara>
          </w:p>
        </w:tc>
        <w:tc>
          <w:tcPr>
            <w:tcW w:w="900" w:type="dxa"/>
            <w:vAlign w:val="center"/>
          </w:tcPr>
          <w:p>
            <w:pPr>
              <w:spacing w:before="0" w:after="0"/>
              <w:jc w:val="right"/>
            </w:pPr>
            <w:r>
              <w:t xml:space="preserve">(12)</w:t>
            </w:r>
          </w:p>
        </w:tc>
      </w:tr>
    </w:tbl>
    <w:p>
      <w:pPr>
        <w:pStyle w:val="FirstParagraph"/>
        <w:ind w:firstLineChars="0" w:firstLine="0"/>
      </w:pPr>
      <w:r>
        <w:t xml:space="preserve">式中，</w:t>
      </w:r>
      <m:oMath>
        <m:r>
          <m:t>γ</m:t>
        </m:r>
      </m:oMath>
      <w:r>
        <w:t xml:space="preserve"> </w:t>
      </w:r>
      <w:r>
        <w:t xml:space="preserve">为单样点信噪比。式(12)表明频偏估计精度对同步符号提取具有决定性作用；提取结果还可经子载波符号判决得到无噪声的同步序列。</w:t>
      </w:r>
    </w:p>
    <w:bookmarkEnd w:id="33"/>
    <w:bookmarkStart w:id="34" w:name="时频参数的两级精确估计"/>
    <w:p>
      <w:pPr>
        <w:pStyle w:val="Heading2"/>
      </w:pPr>
      <w:r>
        <w:t xml:space="preserve">4.7 时频参数的两级精确估计</w:t>
      </w:r>
    </w:p>
    <w:p>
      <w:pPr>
        <w:pStyle w:val="FirstParagraph"/>
      </w:pPr>
      <w:r>
        <w:rPr>
          <w:b/>
          <w:bCs/>
        </w:rPr>
        <w:t xml:space="preserve">（1）非数据辅助的CP最大似然估计。</w:t>
      </w:r>
      <w:r>
        <w:t xml:space="preserve"> </w:t>
      </w:r>
      <w:r>
        <w:t xml:space="preserve">在符号参数已知的条件下，van de Beek 等</w:t>
      </w:r>
      <w:r>
        <w:rPr>
          <w:vertAlign w:val="superscript"/>
        </w:rPr>
        <w:t xml:space="preserve">[4]</w:t>
      </w:r>
      <w:r>
        <w:t xml:space="preserve">给出了基于 CP 的符号定时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与归一化小数倍频偏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d</m:t>
            </m:r>
          </m:sub>
        </m:sSub>
        <m:r>
          <m:rPr>
            <m:sty m:val="p"/>
          </m:rPr>
          <m:t>/</m:t>
        </m:r>
        <m:r>
          <m:t>Δ</m:t>
        </m:r>
        <m:r>
          <m:t>f</m:t>
        </m:r>
      </m:oMath>
      <w:r>
        <w:t xml:space="preserve"> </w:t>
      </w:r>
      <w:r>
        <w:t xml:space="preserve">的联合最大似然估计。其对数似然函数为</w:t>
      </w:r>
    </w:p>
    <w:tbl>
      <w:tblPr>
        <w:tblW w:w="907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00"/>
        <w:gridCol w:w="7270"/>
        <w:gridCol w:w="900"/>
      </w:tblGrid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0" w:after="0"/>
            </w:pPr>
          </w:p>
        </w:tc>
        <w:tc>
          <w:tcPr>
            <w:tcW w:w="7270" w:type="dxa"/>
            <w:vAlign w:val="center"/>
          </w:tcPr>
          <w:p>
            <w:pPr>
              <w:spacing w:before="20" w:after="20" w:line="240" w:lineRule="auto"/>
              <w:jc w:val="center"/>
            </w:pPr>
            <m:oMathPara>
              <m:oMathParaPr>
                <m:jc m:val="center"/>
              </m:oMathParaPr>
              <m:oMath>
                <m:r>
                  <m:t>Λ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θ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ε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|"/>
                    <m:sepChr m:val=""/>
                    <m:endChr m:val="|"/>
                    <m:grow/>
                  </m:dPr>
                  <m:e>
                    <m:r>
                      <m:t>γ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θ</m:t>
                        </m:r>
                      </m:e>
                    </m:d>
                  </m:e>
                </m:d>
                <m:r>
                  <m:rPr>
                    <m:sty m:val="p"/>
                  </m:rPr>
                  <m:t>cos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2</m:t>
                    </m:r>
                    <m:r>
                      <m:t>π</m:t>
                    </m:r>
                    <m:r>
                      <m:t>ε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∠</m:t>
                    </m:r>
                    <m:r>
                      <m:t>γ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θ</m:t>
                        </m:r>
                      </m:e>
                    </m:d>
                  </m:e>
                </m:d>
                <m:r>
                  <m:rPr>
                    <m:sty m:val="p"/>
                  </m:rPr>
                  <m:t>−</m:t>
                </m:r>
                <m:r>
                  <m:t>ρ</m:t>
                </m:r>
                <m:r>
                  <m:t> </m:t>
                </m:r>
                <m:r>
                  <m:t>Φ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θ</m:t>
                    </m:r>
                  </m:e>
                </m:d>
              </m:oMath>
            </m:oMathPara>
          </w:p>
        </w:tc>
        <w:tc>
          <w:tcPr>
            <w:tcW w:w="900" w:type="dxa"/>
            <w:vAlign w:val="center"/>
          </w:tcPr>
          <w:p>
            <w:pPr>
              <w:spacing w:before="0" w:after="0"/>
              <w:jc w:val="right"/>
            </w:pPr>
            <w:r>
              <w:t xml:space="preserve">(13)</w:t>
            </w:r>
          </w:p>
        </w:tc>
      </w:tr>
    </w:tbl>
    <w:p>
      <w:pPr>
        <w:pStyle w:val="FirstParagraph"/>
        <w:ind w:firstLineChars="0" w:firstLine="0"/>
      </w:pPr>
      <w:r>
        <w:t xml:space="preserve">其中</w:t>
      </w:r>
    </w:p>
    <w:tbl>
      <w:tblPr>
        <w:tblW w:w="907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00"/>
        <w:gridCol w:w="7270"/>
        <w:gridCol w:w="900"/>
      </w:tblGrid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0" w:after="0"/>
            </w:pPr>
          </w:p>
        </w:tc>
        <w:tc>
          <w:tcPr>
            <w:tcW w:w="7270" w:type="dxa"/>
            <w:vAlign w:val="center"/>
          </w:tcPr>
          <w:p>
            <w:pPr>
              <w:spacing w:before="20" w:after="20" w:line="240" w:lineRule="auto"/>
              <w:jc w:val="center"/>
            </w:pPr>
            <m:oMathPara>
              <m:oMathParaPr>
                <m:jc m:val="center"/>
              </m:oMathParaPr>
              <m:oMath>
                <m:r>
                  <m:t>γ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θ</m:t>
                    </m:r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θ</m:t>
                    </m:r>
                  </m:sub>
                  <m:sup>
                    <m:r>
                      <m:t>θ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N</m:t>
                        </m:r>
                      </m:e>
                      <m:sub>
                        <m:r>
                          <m:t>g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  <m:e>
                    <m:r>
                      <m:t>r</m:t>
                    </m:r>
                  </m:e>
                </m:nary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n</m:t>
                    </m:r>
                  </m:e>
                </m:d>
                <m:r>
                  <m:t> </m:t>
                </m:r>
                <m:sSup>
                  <m:e>
                    <m:r>
                      <m:t>r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N</m:t>
                    </m:r>
                  </m:e>
                </m:d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Φ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θ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θ</m:t>
                    </m:r>
                  </m:sub>
                  <m:sup>
                    <m:r>
                      <m:t>θ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N</m:t>
                        </m:r>
                      </m:e>
                      <m:sub>
                        <m:r>
                          <m:t>g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p>
                          <m:e>
                            <m:d>
                              <m:dPr>
                                <m:begChr m:val="|"/>
                                <m:sepChr m:val=""/>
                                <m:endChr m:val="|"/>
                                <m:grow/>
                              </m:dPr>
                              <m:e>
                                <m:r>
                                  <m:t>r</m:t>
                                </m:r>
                                <m:d>
                                  <m:dPr>
                                    <m:begChr m:val="("/>
                                    <m:sepChr m:val=""/>
                                    <m:endChr m:val=")"/>
                                    <m:grow/>
                                  </m:dPr>
                                  <m:e>
                                    <m:r>
                                      <m:t>n</m:t>
                                    </m:r>
                                  </m:e>
                                </m:d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d>
                              <m:dPr>
                                <m:begChr m:val="|"/>
                                <m:sepChr m:val=""/>
                                <m:endChr m:val="|"/>
                                <m:grow/>
                              </m:dPr>
                              <m:e>
                                <m:r>
                                  <m:t>r</m:t>
                                </m:r>
                                <m:d>
                                  <m:dPr>
                                    <m:begChr m:val="("/>
                                    <m:sepChr m:val=""/>
                                    <m:endChr m:val=")"/>
                                    <m:grow/>
                                  </m:dPr>
                                  <m:e>
                                    <m:r>
                                      <m:t>n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+</m:t>
                                    </m:r>
                                    <m:r>
                                      <m:t>N</m:t>
                                    </m:r>
                                  </m:e>
                                </m:d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</m:e>
                </m:nary>
              </m:oMath>
            </m:oMathPara>
          </w:p>
        </w:tc>
        <w:tc>
          <w:tcPr>
            <w:tcW w:w="900" w:type="dxa"/>
            <w:vAlign w:val="center"/>
          </w:tcPr>
          <w:p>
            <w:pPr>
              <w:spacing w:before="0" w:after="0"/>
              <w:jc w:val="right"/>
            </w:pPr>
            <w:r>
              <w:t xml:space="preserve">(14)</w:t>
            </w:r>
          </w:p>
        </w:tc>
      </w:tr>
    </w:tbl>
    <w:p>
      <w:pPr>
        <w:pStyle w:val="FirstParagraph"/>
        <w:ind w:firstLineChars="0" w:firstLine="0"/>
      </w:pPr>
      <w:r>
        <w:t xml:space="preserve">式中，</w:t>
      </w:r>
      <m:oMath>
        <m:r>
          <m:t>ρ</m:t>
        </m:r>
        <m:r>
          <m:rPr>
            <m:sty m:val="p"/>
          </m:rPr>
          <m:t>=</m:t>
        </m:r>
        <m:r>
          <m:t>γ</m:t>
        </m:r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r>
              <m:t>γ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 </w:t>
      </w:r>
      <w:r>
        <w:t xml:space="preserve">为 CP 段的相关系数。对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个连续符号的相关量进行累加，记</w:t>
      </w:r>
      <w:r>
        <w:t xml:space="preserve"> </w:t>
      </w:r>
      <m:oMath>
        <m:sSub>
          <m:e>
            <m:r>
              <m:t>γ</m:t>
            </m:r>
          </m:e>
          <m:sub>
            <m:r>
              <m:t>M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t>γ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+</m:t>
            </m:r>
            <m:r>
              <m:t>m</m:t>
            </m:r>
            <m:sSub>
              <m:e>
                <m:r>
                  <m:t>N</m:t>
                </m:r>
              </m:e>
              <m:sub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y</m:t>
                </m:r>
                <m:r>
                  <m:rPr>
                    <m:sty m:val="p"/>
                  </m:rPr>
                  <m:t>m</m:t>
                </m:r>
              </m:sub>
            </m:sSub>
          </m:e>
        </m:d>
      </m:oMath>
      <w:r>
        <w:t xml:space="preserve">，</w:t>
      </w:r>
      <m:oMath>
        <m:sSub>
          <m:e>
            <m:r>
              <m:t>Φ</m:t>
            </m:r>
          </m:e>
          <m:sub>
            <m:r>
              <m:t>M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</m:oMath>
      <w:r>
        <w:t xml:space="preserve"> </w:t>
      </w:r>
      <w:r>
        <w:t xml:space="preserve">同理，则估计量为</w:t>
      </w:r>
    </w:p>
    <w:tbl>
      <w:tblPr>
        <w:tblW w:w="907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00"/>
        <w:gridCol w:w="7270"/>
        <w:gridCol w:w="900"/>
      </w:tblGrid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0" w:after="0"/>
            </w:pPr>
          </w:p>
        </w:tc>
        <w:tc>
          <w:tcPr>
            <w:tcW w:w="7270" w:type="dxa"/>
            <w:vAlign w:val="center"/>
          </w:tcPr>
          <w:p>
            <w:pPr>
              <w:spacing w:before="20" w:after="20" w:line="240" w:lineRule="auto"/>
              <w:jc w:val="center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arg</m:t>
                </m:r>
                <m:limLow>
                  <m:e>
                    <m:r>
                      <m:rPr>
                        <m:sty m:val="p"/>
                      </m:rPr>
                      <m:t>max</m:t>
                    </m:r>
                  </m:e>
                  <m:lim>
                    <m:r>
                      <m:t>θ</m:t>
                    </m:r>
                  </m:lim>
                </m:limLow>
                <m:d>
                  <m:dPr>
                    <m:begChr m:val="{"/>
                    <m:sepChr m:val=""/>
                    <m:endChr m:val="}"/>
                    <m:grow/>
                  </m:dPr>
                  <m:e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sSub>
                          <m:e>
                            <m:r>
                              <m:t>γ</m:t>
                            </m:r>
                          </m:e>
                          <m:sub>
                            <m:r>
                              <m:t>M</m:t>
                            </m:r>
                          </m:sub>
                        </m:sSub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θ</m:t>
                            </m:r>
                          </m:e>
                        </m:d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ρ</m:t>
                    </m:r>
                    <m:r>
                      <m:t> </m:t>
                    </m:r>
                    <m:sSub>
                      <m:e>
                        <m:r>
                          <m:t>Φ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θ</m:t>
                        </m:r>
                      </m:e>
                    </m:d>
                  </m:e>
                </m:d>
                <m:r>
                  <m:rPr>
                    <m:sty m:val="p"/>
                  </m:rPr>
                  <m:t>,</m:t>
                </m:r>
                <m:r>
                  <m:t>  </m:t>
                </m:r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  <m:r>
                      <m:t>π</m:t>
                    </m:r>
                  </m:den>
                </m:f>
                <m:r>
                  <m:rPr>
                    <m:sty m:val="p"/>
                  </m:rPr>
                  <m:t>∠</m:t>
                </m:r>
                <m:sSub>
                  <m:e>
                    <m:r>
                      <m:t>γ</m:t>
                    </m:r>
                  </m:e>
                  <m:sub>
                    <m:r>
                      <m:t>M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</m:oMath>
            </m:oMathPara>
          </w:p>
        </w:tc>
        <w:tc>
          <w:tcPr>
            <w:tcW w:w="900" w:type="dxa"/>
            <w:vAlign w:val="center"/>
          </w:tcPr>
          <w:p>
            <w:pPr>
              <w:spacing w:before="0" w:after="0"/>
              <w:jc w:val="right"/>
            </w:pPr>
            <w:r>
              <w:t xml:space="preserve">(15)</w:t>
            </w:r>
          </w:p>
        </w:tc>
      </w:tr>
    </w:tbl>
    <w:p>
      <w:pPr>
        <w:pStyle w:val="FirstParagraph"/>
      </w:pPr>
      <w:r>
        <w:t xml:space="preserve">该方法无需任何已知序列，但仅利用了 CP 段的信息，且</w:t>
      </w:r>
      <w:r>
        <w:t xml:space="preserve"> </w:t>
      </w:r>
      <m:oMath>
        <m:acc>
          <m:accPr>
            <m:chr m:val="̂"/>
          </m:accPr>
          <m:e>
            <m:r>
              <m:t>ε</m:t>
            </m:r>
          </m:e>
        </m:acc>
      </m:oMath>
      <w:r>
        <w:t xml:space="preserve"> </w:t>
      </w:r>
      <w:r>
        <w:t xml:space="preserve">的无模糊范围为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  <m:r>
          <m:rPr>
            <m:sty m:val="p"/>
          </m:rPr>
          <m:t>&lt;</m:t>
        </m:r>
        <m:acc>
          <m:accPr>
            <m:chr m:val="̂"/>
          </m:accPr>
          <m:e>
            <m:r>
              <m:t>ε</m:t>
            </m:r>
          </m:e>
        </m:acc>
        <m:r>
          <m:rPr>
            <m:sty m:val="p"/>
          </m:rPr>
          <m:t>≤</m:t>
        </m:r>
        <m:r>
          <m:t>0.5</m:t>
        </m:r>
      </m:oMath>
      <w:r>
        <w:t xml:space="preserve">，即只能估计频偏的小数倍部分。</w:t>
      </w:r>
    </w:p>
    <w:p>
      <w:pPr>
        <w:pStyle w:val="BodyText"/>
      </w:pPr>
      <w:r>
        <w:rPr>
          <w:b/>
          <w:bCs/>
        </w:rPr>
        <w:t xml:space="preserve">（2）整数倍频偏解模糊。</w:t>
      </w:r>
      <w:r>
        <w:t xml:space="preserve"> </w:t>
      </w:r>
      <w:r>
        <w:t xml:space="preserve">结合功率谱粗估计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d</m:t>
            </m:r>
          </m:sub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0</m:t>
                </m:r>
              </m:e>
            </m:d>
          </m:sup>
        </m:sSubSup>
      </m:oMath>
      <w:r>
        <w:t xml:space="preserve">，整数倍频偏及完整频偏估计为</w:t>
      </w:r>
    </w:p>
    <w:tbl>
      <w:tblPr>
        <w:tblW w:w="907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00"/>
        <w:gridCol w:w="7270"/>
        <w:gridCol w:w="900"/>
      </w:tblGrid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0" w:after="0"/>
            </w:pPr>
          </w:p>
        </w:tc>
        <w:tc>
          <w:tcPr>
            <w:tcW w:w="7270" w:type="dxa"/>
            <w:vAlign w:val="center"/>
          </w:tcPr>
          <w:p>
            <w:pPr>
              <w:spacing w:before="20" w:after="20" w:line="240" w:lineRule="auto"/>
              <w:jc w:val="center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q</m:t>
                    </m:r>
                  </m:e>
                </m:acc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d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sSub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f</m:t>
                                </m:r>
                              </m:e>
                            </m:acc>
                          </m:e>
                          <m:sub>
                            <m:r>
                              <m:t>d</m:t>
                            </m:r>
                          </m:sub>
                          <m:sup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r>
                                  <m:t>0</m:t>
                                </m:r>
                              </m:e>
                            </m:d>
                          </m:sup>
                        </m:sSubSup>
                      </m:num>
                      <m:den>
                        <m:r>
                          <m:t>Δ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f</m:t>
                            </m:r>
                          </m:e>
                        </m:acc>
                      </m:den>
                    </m:f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ε</m:t>
                        </m:r>
                      </m:e>
                    </m:acc>
                  </m:e>
                </m:d>
                <m:r>
                  <m:rPr>
                    <m:sty m:val="p"/>
                  </m:rPr>
                  <m:t>,</m:t>
                </m:r>
                <m:r>
                  <m:t>  </m:t>
                </m:r>
                <m:sSubSup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</m:e>
                  <m:sub>
                    <m:r>
                      <m:t>d</m:t>
                    </m:r>
                  </m:sub>
                  <m:sup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</m:e>
                    </m:d>
                  </m:sup>
                </m:sSubSup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ε</m:t>
                        </m:r>
                      </m:e>
                    </m:acc>
                    <m:r>
                      <m:rPr>
                        <m:sty m:val="p"/>
                      </m:rPr>
                      <m:t>+</m:t>
                    </m:r>
                    <m:acc>
                      <m:accPr>
                        <m:chr m:val="̂"/>
                      </m:accPr>
                      <m:e>
                        <m:r>
                          <m:t>q</m:t>
                        </m:r>
                      </m:e>
                    </m:acc>
                  </m:e>
                </m:d>
                <m:r>
                  <m:t> </m:t>
                </m:r>
                <m:r>
                  <m:t>Δ</m:t>
                </m:r>
                <m:acc>
                  <m:accPr>
                    <m:chr m:val="̂"/>
                  </m:accPr>
                  <m:e>
                    <m:r>
                      <m:t>f</m:t>
                    </m:r>
                  </m:e>
                </m:acc>
              </m:oMath>
            </m:oMathPara>
          </w:p>
        </w:tc>
        <w:tc>
          <w:tcPr>
            <w:tcW w:w="900" w:type="dxa"/>
            <w:vAlign w:val="center"/>
          </w:tcPr>
          <w:p>
            <w:pPr>
              <w:spacing w:before="0" w:after="0"/>
              <w:jc w:val="right"/>
            </w:pPr>
            <w:r>
              <w:t xml:space="preserve">(16)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（3）同步符号辅助的多帧相干精估计。</w:t>
      </w:r>
      <w:r>
        <w:t xml:space="preserve"> </w:t>
      </w:r>
      <w:r>
        <w:t xml:space="preserve">获得同步符号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</m:oMath>
      <w:r>
        <w:t xml:space="preserve"> </w:t>
      </w:r>
      <w:r>
        <w:t xml:space="preserve">后，首先在帧起点附近搜索互相关峰值以精确定时：</w:t>
      </w:r>
    </w:p>
    <w:tbl>
      <w:tblPr>
        <w:tblW w:w="907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00"/>
        <w:gridCol w:w="7270"/>
        <w:gridCol w:w="900"/>
      </w:tblGrid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0" w:after="0"/>
            </w:pPr>
          </w:p>
        </w:tc>
        <w:tc>
          <w:tcPr>
            <w:tcW w:w="7270" w:type="dxa"/>
            <w:vAlign w:val="center"/>
          </w:tcPr>
          <w:p>
            <w:pPr>
              <w:spacing w:before="20" w:after="20" w:line="240" w:lineRule="auto"/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n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arg</m:t>
                </m:r>
                <m:limLow>
                  <m:e>
                    <m:r>
                      <m:rPr>
                        <m:sty m:val="p"/>
                      </m:rPr>
                      <m:t>max</m:t>
                    </m:r>
                  </m:e>
                  <m:lim>
                    <m:r>
                      <m:t>n</m:t>
                    </m:r>
                  </m:lim>
                </m:limLow>
                <m:d>
                  <m:dPr>
                    <m:begChr m:val="|"/>
                    <m:sepChr m:val=""/>
                    <m:endChr m:val="|"/>
                    <m:grow/>
                  </m:dPr>
                  <m:e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  <m:e>
                        <m:r>
                          <m:t>r</m:t>
                        </m:r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</m:e>
                    </m:d>
                    <m:r>
                      <m:t> </m:t>
                    </m:r>
                    <m:sSup>
                      <m:e>
                        <m:r>
                          <m:t>p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 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j</m:t>
                        </m:r>
                        <m:r>
                          <m:t>2</m:t>
                        </m:r>
                        <m:r>
                          <m:t>π</m:t>
                        </m:r>
                        <m:sSub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f</m:t>
                                </m:r>
                              </m:e>
                            </m:acc>
                          </m:e>
                          <m:sub>
                            <m:r>
                              <m:t>d</m:t>
                            </m:r>
                          </m:sub>
                          <m:sup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r>
                                  <m:t>1</m:t>
                                </m:r>
                              </m:e>
                            </m:d>
                          </m:sup>
                        </m:sSubSup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d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s</m:t>
                            </m:r>
                          </m:sub>
                        </m:sSub>
                      </m:sup>
                    </m:sSup>
                  </m:e>
                </m:d>
              </m:oMath>
            </m:oMathPara>
          </w:p>
        </w:tc>
        <w:tc>
          <w:tcPr>
            <w:tcW w:w="900" w:type="dxa"/>
            <w:vAlign w:val="center"/>
          </w:tcPr>
          <w:p>
            <w:pPr>
              <w:spacing w:before="0" w:after="0"/>
              <w:jc w:val="right"/>
            </w:pPr>
            <w:r>
              <w:t xml:space="preserve">(17)</w:t>
            </w:r>
          </w:p>
        </w:tc>
      </w:tr>
    </w:tbl>
    <w:p>
      <w:pPr>
        <w:pStyle w:val="FirstParagraph"/>
      </w:pPr>
      <w:r>
        <w:t xml:space="preserve">然后对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帧的去调制序列</w:t>
      </w:r>
      <w:r>
        <w:t xml:space="preserve"> </w:t>
      </w:r>
      <m:oMath>
        <m:sSub>
          <m:e>
            <m:r>
              <m:t>z</m:t>
            </m:r>
          </m:e>
          <m:sub>
            <m:r>
              <m:t>l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rPr>
            <m:sty m:val="p"/>
          </m:rPr>
          <m:t>=</m:t>
        </m:r>
        <m:r>
          <m:t>r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n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l</m:t>
            </m:r>
            <m:sSub>
              <m:e>
                <m:acc>
                  <m:accPr>
                    <m:chr m:val="̂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+</m:t>
            </m:r>
            <m:r>
              <m:t>i</m:t>
            </m:r>
          </m:e>
        </m:d>
        <m:r>
          <m:t> </m:t>
        </m:r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 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j</m:t>
            </m:r>
            <m:r>
              <m:t>2</m:t>
            </m:r>
            <m:r>
              <m:t>π</m:t>
            </m:r>
            <m:sSubSup>
              <m:e>
                <m:acc>
                  <m:accPr>
                    <m:chr m:val="̂"/>
                  </m:accPr>
                  <m:e>
                    <m:r>
                      <m:t>f</m:t>
                    </m:r>
                  </m:e>
                </m:acc>
              </m:e>
              <m:sub>
                <m:r>
                  <m:t>d</m:t>
                </m:r>
              </m:sub>
              <m:sup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</m:e>
                </m:d>
              </m:sup>
            </m:sSubSup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n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l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i</m:t>
                </m:r>
              </m:e>
            </m:d>
            <m:sSub>
              <m:e>
                <m:r>
                  <m:t>T</m:t>
                </m:r>
              </m:e>
              <m:sub>
                <m:r>
                  <m:t>s</m:t>
                </m:r>
              </m:sub>
            </m:sSub>
          </m:sup>
        </m:sSup>
      </m:oMath>
      <w:r>
        <w:t xml:space="preserve"> </w:t>
      </w:r>
      <w:r>
        <w:t xml:space="preserve">进行相干搜索，得到残余频偏的最大似然估计：</w:t>
      </w:r>
    </w:p>
    <w:tbl>
      <w:tblPr>
        <w:tblW w:w="907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00"/>
        <w:gridCol w:w="7270"/>
        <w:gridCol w:w="900"/>
      </w:tblGrid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0" w:after="0"/>
            </w:pPr>
          </w:p>
        </w:tc>
        <w:tc>
          <w:tcPr>
            <w:tcW w:w="7270" w:type="dxa"/>
            <w:vAlign w:val="center"/>
          </w:tcPr>
          <w:p>
            <w:pPr>
              <w:spacing w:before="20" w:after="20" w:line="240" w:lineRule="auto"/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</m:e>
                  <m:sub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sSubSup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</m:e>
                  <m:sub>
                    <m:r>
                      <m:t>d</m:t>
                    </m:r>
                  </m:sub>
                  <m:sup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</m:e>
                    </m:d>
                  </m:sup>
                </m:sSubSup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arg</m:t>
                </m:r>
                <m:limLow>
                  <m:e>
                    <m:r>
                      <m:rPr>
                        <m:sty m:val="p"/>
                      </m:rPr>
                      <m:t>max</m:t>
                    </m:r>
                  </m:e>
                  <m:lim>
                    <m:r>
                      <m:t>δ</m:t>
                    </m:r>
                    <m:r>
                      <m:t>f</m:t>
                    </m:r>
                  </m:lim>
                </m:limLow>
                <m:d>
                  <m:dPr>
                    <m:begChr m:val="|"/>
                    <m:sepChr m:val=""/>
                    <m:endChr m:val="|"/>
                    <m:grow/>
                  </m:dPr>
                  <m:e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b>
                          <m:sup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p>
                          <m:e>
                            <m:sSub>
                              <m:e>
                                <m:r>
                                  <m:t>z</m:t>
                                </m:r>
                              </m:e>
                              <m:sub>
                                <m:r>
                                  <m:t>l</m:t>
                                </m:r>
                              </m:sub>
                            </m:sSub>
                          </m:e>
                        </m:nary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 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j</m:t>
                        </m:r>
                        <m:r>
                          <m:t>2</m:t>
                        </m:r>
                        <m:r>
                          <m:t>π</m:t>
                        </m:r>
                        <m:r>
                          <m:t> </m:t>
                        </m:r>
                        <m:r>
                          <m:t>δ</m:t>
                        </m:r>
                        <m:r>
                          <m:t>f</m:t>
                        </m:r>
                        <m:r>
                          <m:t> 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l</m:t>
                            </m:r>
                            <m:sSub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f</m:t>
                                </m:r>
                              </m:sub>
                            </m:sSub>
                          </m:e>
                        </m:d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s</m:t>
                            </m:r>
                          </m:sub>
                        </m:sSub>
                      </m:sup>
                    </m:sSup>
                  </m:e>
                </m:d>
              </m:oMath>
            </m:oMathPara>
          </w:p>
        </w:tc>
        <w:tc>
          <w:tcPr>
            <w:tcW w:w="900" w:type="dxa"/>
            <w:vAlign w:val="center"/>
          </w:tcPr>
          <w:p>
            <w:pPr>
              <w:spacing w:before="0" w:after="0"/>
              <w:jc w:val="right"/>
            </w:pPr>
            <w:r>
              <w:t xml:space="preserve">(18)</w:t>
            </w:r>
          </w:p>
        </w:tc>
      </w:tr>
    </w:tbl>
    <w:p>
      <w:pPr>
        <w:pStyle w:val="FirstParagraph"/>
      </w:pPr>
      <w:r>
        <w:t xml:space="preserve">该估计量的克拉美-罗界为</w:t>
      </w:r>
      <w:r>
        <w:rPr>
          <w:vertAlign w:val="superscript"/>
        </w:rPr>
        <w:t xml:space="preserve">[8]</w:t>
      </w:r>
    </w:p>
    <w:tbl>
      <w:tblPr>
        <w:tblW w:w="907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00"/>
        <w:gridCol w:w="7270"/>
        <w:gridCol w:w="900"/>
      </w:tblGrid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0" w:after="0"/>
            </w:pPr>
          </w:p>
        </w:tc>
        <w:tc>
          <w:tcPr>
            <w:tcW w:w="7270" w:type="dxa"/>
            <w:vAlign w:val="center"/>
          </w:tcPr>
          <w:p>
            <w:pPr>
              <w:spacing w:before="20" w:after="20" w:line="240" w:lineRule="auto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B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f</m:t>
                        </m:r>
                      </m:e>
                      <m:sub>
                        <m:r>
                          <m:t>d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  <m:r>
                      <m:t>γ</m:t>
                    </m:r>
                    <m:r>
                      <m:t> </m:t>
                    </m:r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2</m:t>
                            </m:r>
                            <m:r>
                              <m:t>π</m:t>
                            </m:r>
                            <m:sSub>
                              <m:e>
                                <m:r>
                                  <m:t>T</m:t>
                                </m:r>
                              </m:e>
                              <m:sub>
                                <m:r>
                                  <m:t>s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Ω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p>
                          <m:e>
                            <m:d>
                              <m:dPr>
                                <m:begChr m:val="|"/>
                                <m:sepChr m:val=""/>
                                <m:endChr m:val="|"/>
                                <m:grow/>
                              </m:dPr>
                              <m:e>
                                <m:r>
                                  <m:t>p</m:t>
                                </m:r>
                                <m:d>
                                  <m:dPr>
                                    <m:begChr m:val="("/>
                                    <m:sepChr m:val=""/>
                                    <m:endChr m:val=")"/>
                                    <m:grow/>
                                  </m:dPr>
                                  <m:e>
                                    <m:r>
                                      <m:t>n</m:t>
                                    </m:r>
                                  </m:e>
                                </m:d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nary>
                    <m:r>
                      <m:t> </m:t>
                    </m:r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n</m:t>
                                </m:r>
                              </m:e>
                            </m:acc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900" w:type="dxa"/>
            <w:vAlign w:val="center"/>
          </w:tcPr>
          <w:p>
            <w:pPr>
              <w:spacing w:before="0" w:after="0"/>
              <w:jc w:val="right"/>
            </w:pPr>
            <w:r>
              <w:t xml:space="preserve">(19)</w:t>
            </w:r>
          </w:p>
        </w:tc>
      </w:tr>
    </w:tbl>
    <w:p>
      <w:pPr>
        <w:pStyle w:val="FirstParagraph"/>
        <w:ind w:firstLineChars="0" w:firstLine="0"/>
      </w:pPr>
      <w:r>
        <w:t xml:space="preserve">式中，</w:t>
      </w:r>
      <m:oMath>
        <m:r>
          <m:t>Ω</m:t>
        </m:r>
      </m:oMath>
      <w:r>
        <w:t xml:space="preserve"> </w:t>
      </w:r>
      <w:r>
        <w:t xml:space="preserve">为参与估计的全部样点下标集合，</w:t>
      </w:r>
      <m:oMath>
        <m:acc>
          <m:accPr>
            <m:chr m:val="‾"/>
          </m:accPr>
          <m:e>
            <m:r>
              <m:t>n</m:t>
            </m:r>
          </m:e>
        </m:acc>
      </m:oMath>
      <w:r>
        <w:t xml:space="preserve"> </w:t>
      </w:r>
      <w:r>
        <w:t xml:space="preserve">为其能量加权中心。当</w:t>
      </w:r>
      <w:r>
        <w:t xml:space="preserve"> </w:t>
      </w:r>
      <m:oMath>
        <m:r>
          <m:t>K</m:t>
        </m:r>
        <m:r>
          <m:rPr>
            <m:sty m:val="p"/>
          </m:rPr>
          <m:t>≫</m:t>
        </m:r>
        <m:r>
          <m:t>1</m:t>
        </m:r>
      </m:oMath>
      <w:r>
        <w:t xml:space="preserve"> </w:t>
      </w:r>
      <w:r>
        <w:t xml:space="preserve">且</w:t>
      </w:r>
      <w:r>
        <w:t xml:space="preserve"> </w:t>
      </w:r>
      <m:oMath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n</m:t>
                    </m:r>
                  </m:e>
                </m:d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的均值为 1 时，有</w:t>
      </w:r>
    </w:p>
    <w:tbl>
      <w:tblPr>
        <w:tblW w:w="907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00"/>
        <w:gridCol w:w="7270"/>
        <w:gridCol w:w="900"/>
      </w:tblGrid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0" w:after="0"/>
            </w:pPr>
          </w:p>
        </w:tc>
        <w:tc>
          <w:tcPr>
            <w:tcW w:w="7270" w:type="dxa"/>
            <w:vAlign w:val="center"/>
          </w:tcPr>
          <w:p>
            <w:pPr>
              <w:spacing w:before="20" w:after="20" w:line="240" w:lineRule="auto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B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f</m:t>
                        </m:r>
                      </m:e>
                      <m:sub>
                        <m:r>
                          <m:t>d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≈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  <m:sSup>
                      <m:e>
                        <m:r>
                          <m:t>π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 </m:t>
                    </m:r>
                    <m:r>
                      <m:t>γ</m:t>
                    </m:r>
                    <m:r>
                      <m:t> 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p</m:t>
                        </m:r>
                      </m:sub>
                    </m:sSub>
                    <m:r>
                      <m:t> </m:t>
                    </m:r>
                    <m:sSup>
                      <m:e>
                        <m:r>
                          <m:t>K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t> </m:t>
                    </m:r>
                    <m:sSubSup>
                      <m:e>
                        <m:r>
                          <m:t>T</m:t>
                        </m:r>
                      </m:e>
                      <m:sub>
                        <m:r>
                          <m:t>f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den>
                </m:f>
              </m:oMath>
            </m:oMathPara>
          </w:p>
        </w:tc>
        <w:tc>
          <w:tcPr>
            <w:tcW w:w="900" w:type="dxa"/>
            <w:vAlign w:val="center"/>
          </w:tcPr>
          <w:p>
            <w:pPr>
              <w:spacing w:before="0" w:after="0"/>
              <w:jc w:val="right"/>
            </w:pPr>
            <w:r>
              <w:t xml:space="preserve">(20)</w:t>
            </w:r>
          </w:p>
        </w:tc>
      </w:tr>
    </w:tbl>
    <w:p>
      <w:pPr>
        <w:pStyle w:val="FirstParagraph"/>
      </w:pPr>
      <w:r>
        <w:t xml:space="preserve">可见，多帧相干估计的方差随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下降，这是因为观测基线由单帧的数微秒扩展到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个帧周期。需要注意，帧间相干搜索存在以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为间隔的模糊，故要求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d</m:t>
            </m:r>
          </m:sub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</m:e>
            </m:d>
          </m:sup>
        </m:sSubSup>
      </m:oMath>
      <w:r>
        <w:t xml:space="preserve"> </w:t>
      </w:r>
      <w:r>
        <w:t xml:space="preserve">的误差小于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sSub>
              <m:e>
                <m:r>
                  <m:t>T</m:t>
                </m:r>
              </m:e>
              <m:sub>
                <m:r>
                  <m:t>f</m:t>
                </m:r>
              </m:sub>
            </m:sSub>
          </m:e>
        </m:d>
      </m:oMath>
      <w:r>
        <w:t xml:space="preserve">（本例为 375 Hz），这一要求可由多符号累加的 CP 最大似然估计保证。此外，在实际低轨卫星场景中，当相干时间较长时还需联合估计多普勒变化率，将式(18)扩展为频率—频率变化率二维搜索。</w:t>
      </w:r>
    </w:p>
    <w:bookmarkEnd w:id="34"/>
    <w:bookmarkStart w:id="35" w:name="子载波调制方式识别"/>
    <w:p>
      <w:pPr>
        <w:pStyle w:val="Heading2"/>
      </w:pPr>
      <w:r>
        <w:t xml:space="preserve">4.8 子载波调制方式识别</w:t>
      </w:r>
    </w:p>
    <w:p>
      <w:pPr>
        <w:pStyle w:val="FirstParagraph"/>
      </w:pPr>
      <w:r>
        <w:t xml:space="preserve">完成时频同步后，对每个符号进行 FFT 即可得到各子载波上的调制符号</w:t>
      </w:r>
      <w:r>
        <w:t xml:space="preserve"> </w:t>
      </w:r>
      <m:oMath>
        <m:r>
          <m:t>Y</m:t>
        </m:r>
      </m:oMath>
      <w:r>
        <w:t xml:space="preserve">。利用高阶累积量对载波相位不敏感、对高斯噪声免疫的特性</w:t>
      </w:r>
      <w:r>
        <w:rPr>
          <w:vertAlign w:val="superscript"/>
        </w:rPr>
        <w:t xml:space="preserve">[9]</w:t>
      </w:r>
      <w:r>
        <w:t xml:space="preserve">，定义</w:t>
      </w:r>
      <w:r>
        <w:t xml:space="preserve"> </w:t>
      </w:r>
      <m:oMath>
        <m:sSub>
          <m:e>
            <m:r>
              <m:t>M</m:t>
            </m:r>
          </m:e>
          <m:sub>
            <m:r>
              <m:t>p</m:t>
            </m:r>
            <m:r>
              <m:t>q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p</m:t>
                </m:r>
                <m:r>
                  <m:rPr>
                    <m:sty m:val="p"/>
                  </m:rPr>
                  <m:t>−</m:t>
                </m:r>
                <m:r>
                  <m:t>q</m:t>
                </m:r>
              </m:sup>
            </m:sSup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</m:e>
              <m:sup>
                <m:r>
                  <m:t>q</m:t>
                </m:r>
              </m:sup>
            </m:sSup>
          </m:e>
        </m:d>
      </m:oMath>
      <w:r>
        <w:t xml:space="preserve">，则归一化四阶累积量为</w:t>
      </w:r>
    </w:p>
    <w:tbl>
      <w:tblPr>
        <w:tblW w:w="907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00"/>
        <w:gridCol w:w="7270"/>
        <w:gridCol w:w="900"/>
      </w:tblGrid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0" w:after="0"/>
            </w:pPr>
          </w:p>
        </w:tc>
        <w:tc>
          <w:tcPr>
            <w:tcW w:w="7270" w:type="dxa"/>
            <w:vAlign w:val="center"/>
          </w:tcPr>
          <w:p>
            <w:pPr>
              <w:spacing w:before="20" w:after="20" w:line="240" w:lineRule="auto"/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̃"/>
                      </m:accPr>
                      <m:e>
                        <m:r>
                          <m:t>C</m:t>
                        </m:r>
                      </m:e>
                    </m:acc>
                  </m:e>
                  <m:sub>
                    <m:r>
                      <m:t>40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sSub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t>40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sSubSup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t>20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d>
                  </m:num>
                  <m:den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M</m:t>
                                </m:r>
                              </m:e>
                              <m:sub>
                                <m:r>
                                  <m:t>21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w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C</m:t>
                        </m:r>
                      </m:e>
                    </m:acc>
                  </m:e>
                  <m:sub>
                    <m:r>
                      <m:t>42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M</m:t>
                        </m:r>
                      </m:e>
                      <m:sub>
                        <m:r>
                          <m:t>42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d>
                          <m:dPr>
                            <m:begChr m:val="|"/>
                            <m:sepChr m:val=""/>
                            <m:endChr m:val="|"/>
                            <m:grow/>
                          </m:dPr>
                          <m:e>
                            <m:sSub>
                              <m:e>
                                <m:r>
                                  <m:t>M</m:t>
                                </m:r>
                              </m:e>
                              <m:sub>
                                <m:r>
                                  <m:t>20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bSup>
                      <m:e>
                        <m:r>
                          <m:t>M</m:t>
                        </m:r>
                      </m:e>
                      <m:sub>
                        <m:r>
                          <m:t>21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num>
                  <m:den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M</m:t>
                                </m:r>
                              </m:e>
                              <m:sub>
                                <m:r>
                                  <m:t>21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w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900" w:type="dxa"/>
            <w:vAlign w:val="center"/>
          </w:tcPr>
          <w:p>
            <w:pPr>
              <w:spacing w:before="0" w:after="0"/>
              <w:jc w:val="right"/>
            </w:pPr>
            <w:r>
              <w:t xml:space="preserve">(21)</w:t>
            </w:r>
          </w:p>
        </w:tc>
      </w:tr>
    </w:tbl>
    <w:p>
      <w:pPr>
        <w:pStyle w:val="FirstParagraph"/>
        <w:ind w:firstLineChars="0" w:firstLine="0"/>
      </w:pPr>
      <w:r>
        <w:t xml:space="preserve">式中，噪声功率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w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可由中心空隙处的空子载波直接估计。QPSK、8PSK 与 16QAM 的理论值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C</m:t>
                    </m:r>
                  </m:e>
                </m:acc>
              </m:e>
              <m:sub>
                <m:r>
                  <m:t>40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C</m:t>
                    </m:r>
                  </m:e>
                </m:acc>
              </m:e>
              <m:sub>
                <m:r>
                  <m:t>42</m:t>
                </m:r>
              </m:sub>
            </m:sSub>
          </m:e>
        </m:d>
      </m:oMath>
      <w:r>
        <w:t xml:space="preserve"> </w:t>
      </w:r>
      <w:r>
        <w:t xml:space="preserve">分别为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、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t xml:space="preserve">与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0.68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0.68</m:t>
            </m:r>
          </m:e>
        </m:d>
      </m:oMath>
      <w:r>
        <w:t xml:space="preserve">，据此即可完成调制方式判别。</w:t>
      </w:r>
    </w:p>
    <w:bookmarkEnd w:id="35"/>
    <w:bookmarkEnd w:id="36"/>
    <w:bookmarkStart w:id="62" w:name="结果与分析"/>
    <w:p>
      <w:pPr>
        <w:pStyle w:val="Heading1"/>
      </w:pPr>
      <w:r>
        <w:t xml:space="preserve">5 结果与分析</w:t>
      </w:r>
    </w:p>
    <w:bookmarkStart w:id="40" w:name="文献报道的starlink信号识别结果"/>
    <w:p>
      <w:pPr>
        <w:pStyle w:val="Heading2"/>
      </w:pPr>
      <w:r>
        <w:t xml:space="preserve">5.1 文献报道的Starlink信号识别结果</w:t>
      </w:r>
    </w:p>
    <w:p>
      <w:pPr>
        <w:pStyle w:val="FirstParagraph"/>
      </w:pPr>
      <w:r>
        <w:t xml:space="preserve">文献[1]利用上述盲识别思路对 Starlink Ku 波段下行实测信号进行了分析，后续研究</w:t>
      </w:r>
      <w:r>
        <w:rPr>
          <w:vertAlign w:val="superscript"/>
        </w:rPr>
        <w:t xml:space="preserve">[2,3]</w:t>
      </w:r>
      <w:r>
        <w:t xml:space="preserve">对其结果进行了确认和补充，主要参数汇总于表1。其中，下行频段划分为 8 个信道，相邻信道间以 10 MHz 保护带隔开；最低的两个信道在文献[1]观测期间处于空闲状态，与避开 10.6~10.7 GHz 射电天文频段有关。</w:t>
      </w:r>
    </w:p>
    <w:p>
      <w:pPr>
        <w:pStyle w:val="TableCaption"/>
      </w:pPr>
      <w:r>
        <w:t xml:space="preserve">表1 文献[1]~[3]报道的Starlink Ku波段下行信号参数</w:t>
      </w:r>
    </w:p>
    <w:tbl>
      <w:tblPr>
        <w:tblStyle w:val="Table"/>
        <w:tblW w:w="9070" w:type="dxa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ook w:firstRow="1" w:lastRow="0" w:firstColumn="0" w:lastColumn="0" w:noHBand="0" w:noVBand="0" w:val="0020"/>
        <w:tblCaption w:val="表1 文献[1]~[3]报道的Starlink Ku波段下行信号参数"/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tcBorders>
              <w:bottom w:val="single" w:sz="6" w:space="0" w:color="000000"/>
            </w:tcBorders>
            <w:vAlign w:val="center"/>
          </w:tcPr>
          <w:p>
            <w:pPr>
              <w:pStyle w:val="Compact"/>
              <w:keepNext/>
              <w:jc w:val="left"/>
            </w:pPr>
            <w:r>
              <w:rPr>
                <w:b/>
              </w:rPr>
              <w:t xml:space="preserve">参数</w:t>
            </w:r>
          </w:p>
        </w:tc>
        <w:tc>
          <w:tcPr>
            <w:tcBorders>
              <w:bottom w:val="single" w:sz="6" w:space="0" w:color="000000"/>
            </w:tcBorders>
            <w:vAlign w:val="center"/>
          </w:tcPr>
          <w:p>
            <w:pPr>
              <w:pStyle w:val="Compact"/>
              <w:keepNext/>
              <w:jc w:val="center"/>
            </w:pPr>
            <w:r>
              <w:rPr>
                <w:b/>
              </w:rPr>
              <w:t xml:space="preserve">符号</w:t>
            </w:r>
          </w:p>
        </w:tc>
        <w:tc>
          <w:tcPr>
            <w:tcBorders>
              <w:bottom w:val="single" w:sz="6" w:space="0" w:color="000000"/>
            </w:tcBorders>
            <w:vAlign w:val="center"/>
          </w:tcPr>
          <w:p>
            <w:pPr>
              <w:pStyle w:val="Compact"/>
              <w:keepNext/>
              <w:jc w:val="left"/>
            </w:pPr>
            <w:r>
              <w:rPr>
                <w:b/>
              </w:rPr>
              <w:t xml:space="preserve">取值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keepNext/>
              <w:jc w:val="left"/>
            </w:pPr>
            <w:r>
              <w:t xml:space="preserve">频段 / 信道数</w:t>
            </w:r>
          </w:p>
        </w:tc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t xml:space="preserve">—</w:t>
            </w:r>
          </w:p>
        </w:tc>
        <w:tc>
          <w:tcPr>
            <w:vAlign w:val="center"/>
          </w:tcPr>
          <w:p>
            <w:pPr>
              <w:pStyle w:val="Compact"/>
              <w:keepNext/>
              <w:jc w:val="left"/>
            </w:pPr>
            <w:r>
              <w:t xml:space="preserve">10.7~12.7 GHz / 8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keepNext/>
              <w:jc w:val="left"/>
            </w:pPr>
            <w:r>
              <w:t xml:space="preserve">信道带宽 / 信道间隔</w:t>
            </w:r>
          </w:p>
        </w:tc>
        <w:tc>
          <w:tcPr>
            <w:vAlign w:val="center"/>
          </w:tcPr>
          <w:p>
            <w:pPr>
              <w:pStyle w:val="Compact"/>
              <w:keepNext/>
              <w:jc w:val="center"/>
            </w:pPr>
            <m:oMath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</m:oMath>
            <w:r>
              <w:t xml:space="preserve"> </w:t>
            </w:r>
            <w:r>
              <w:t xml:space="preserve">/ —</w:t>
            </w:r>
          </w:p>
        </w:tc>
        <w:tc>
          <w:tcPr>
            <w:vAlign w:val="center"/>
          </w:tcPr>
          <w:p>
            <w:pPr>
              <w:pStyle w:val="Compact"/>
              <w:keepNext/>
              <w:jc w:val="left"/>
            </w:pPr>
            <w:r>
              <w:t xml:space="preserve">240 MHz / 250 MHz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keepNext/>
              <w:jc w:val="left"/>
            </w:pPr>
            <w:r>
              <w:t xml:space="preserve">子载波数 / 中心空子载波数</w:t>
            </w:r>
          </w:p>
        </w:tc>
        <w:tc>
          <w:tcPr>
            <w:vAlign w:val="center"/>
          </w:tcPr>
          <w:p>
            <w:pPr>
              <w:pStyle w:val="Compact"/>
              <w:keepNext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/ —</w:t>
            </w:r>
          </w:p>
        </w:tc>
        <w:tc>
          <w:tcPr>
            <w:vAlign w:val="center"/>
          </w:tcPr>
          <w:p>
            <w:pPr>
              <w:pStyle w:val="Compact"/>
              <w:keepNext/>
              <w:jc w:val="left"/>
            </w:pPr>
            <w:r>
              <w:t xml:space="preserve">1024 / 4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keepNext/>
              <w:jc w:val="left"/>
            </w:pPr>
            <w:r>
              <w:t xml:space="preserve">子载波间隔</w:t>
            </w:r>
          </w:p>
        </w:tc>
        <w:tc>
          <w:tcPr>
            <w:vAlign w:val="center"/>
          </w:tcPr>
          <w:p>
            <w:pPr>
              <w:pStyle w:val="Compact"/>
              <w:keepNext/>
              <w:jc w:val="center"/>
            </w:pPr>
            <m:oMath>
              <m:r>
                <m:t>Δ</m:t>
              </m:r>
              <m:r>
                <m:t>f</m:t>
              </m:r>
            </m:oMath>
          </w:p>
        </w:tc>
        <w:tc>
          <w:tcPr>
            <w:vAlign w:val="center"/>
          </w:tcPr>
          <w:p>
            <w:pPr>
              <w:pStyle w:val="Compact"/>
              <w:keepNext/>
              <w:jc w:val="left"/>
            </w:pPr>
            <w:r>
              <w:t xml:space="preserve">234.375 kHz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keepNext/>
              <w:jc w:val="left"/>
            </w:pPr>
            <w:r>
              <w:t xml:space="preserve">有用符号长度</w:t>
            </w:r>
          </w:p>
        </w:tc>
        <w:tc>
          <w:tcPr>
            <w:vAlign w:val="center"/>
          </w:tcPr>
          <w:p>
            <w:pPr>
              <w:pStyle w:val="Compact"/>
              <w:keepNext/>
              <w:jc w:val="center"/>
            </w:pPr>
            <m:oMath>
              <m:r>
                <m:t>T</m:t>
              </m:r>
            </m:oMath>
          </w:p>
        </w:tc>
        <w:tc>
          <w:tcPr>
            <w:vAlign w:val="center"/>
          </w:tcPr>
          <w:p>
            <w:pPr>
              <w:pStyle w:val="Compact"/>
              <w:keepNext/>
              <w:jc w:val="left"/>
            </w:pPr>
            <w:r>
              <w:t xml:space="preserve">64/15 μs ≈ 4.267 μs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keepNext/>
              <w:jc w:val="left"/>
            </w:pPr>
            <w:r>
              <w:t xml:space="preserve">CP 长度</w:t>
            </w:r>
          </w:p>
        </w:tc>
        <w:tc>
          <w:tcPr>
            <w:vAlign w:val="center"/>
          </w:tcPr>
          <w:p>
            <w:pPr>
              <w:pStyle w:val="Compact"/>
              <w:keepNext/>
              <w:jc w:val="center"/>
            </w:pPr>
            <m:oMath>
              <m:sSub>
                <m:e>
                  <m:r>
                    <m:t>N</m:t>
                  </m:r>
                </m:e>
                <m:sub>
                  <m:r>
                    <m:t>g</m:t>
                  </m:r>
                </m:sub>
              </m:sSub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g</m:t>
                  </m:r>
                </m:sub>
              </m:sSub>
            </m:oMath>
          </w:p>
        </w:tc>
        <w:tc>
          <w:tcPr>
            <w:vAlign w:val="center"/>
          </w:tcPr>
          <w:p>
            <w:pPr>
              <w:pStyle w:val="Compact"/>
              <w:keepNext/>
              <w:jc w:val="left"/>
            </w:pPr>
            <w:r>
              <w:t xml:space="preserve">32 / 2/15 μs ≈ 0.133 μs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keepNext/>
              <w:jc w:val="left"/>
            </w:pPr>
            <w:r>
              <w:t xml:space="preserve">符号周期</w:t>
            </w:r>
          </w:p>
        </w:tc>
        <w:tc>
          <w:tcPr>
            <w:vAlign w:val="center"/>
          </w:tcPr>
          <w:p>
            <w:pPr>
              <w:pStyle w:val="Compact"/>
              <w:keepNext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y</m:t>
                  </m:r>
                  <m:r>
                    <m:rPr>
                      <m:sty m:val="p"/>
                    </m:rPr>
                    <m:t>m</m:t>
                  </m:r>
                </m:sub>
              </m:sSub>
            </m:oMath>
          </w:p>
        </w:tc>
        <w:tc>
          <w:tcPr>
            <w:vAlign w:val="center"/>
          </w:tcPr>
          <w:p>
            <w:pPr>
              <w:pStyle w:val="Compact"/>
              <w:keepNext/>
              <w:jc w:val="left"/>
            </w:pPr>
            <w:r>
              <w:t xml:space="preserve">4.4 μs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keepNext/>
              <w:jc w:val="left"/>
            </w:pPr>
            <w:r>
              <w:t xml:space="preserve">帧周期</w:t>
            </w:r>
          </w:p>
        </w:tc>
        <w:tc>
          <w:tcPr>
            <w:vAlign w:val="center"/>
          </w:tcPr>
          <w:p>
            <w:pPr>
              <w:pStyle w:val="Compact"/>
              <w:keepNext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f</m:t>
                  </m:r>
                </m:sub>
              </m:sSub>
            </m:oMath>
          </w:p>
        </w:tc>
        <w:tc>
          <w:tcPr>
            <w:vAlign w:val="center"/>
          </w:tcPr>
          <w:p>
            <w:pPr>
              <w:pStyle w:val="Compact"/>
              <w:keepNext/>
              <w:jc w:val="left"/>
            </w:pPr>
            <w:r>
              <w:t xml:space="preserve">1/750 s ≈ 1.333 ms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keepNext/>
              <w:jc w:val="left"/>
            </w:pPr>
            <w:r>
              <w:t xml:space="preserve">每帧符号间隔数</w:t>
            </w:r>
          </w:p>
        </w:tc>
        <w:tc>
          <w:tcPr>
            <w:vAlign w:val="center"/>
          </w:tcPr>
          <w:p>
            <w:pPr>
              <w:pStyle w:val="Compact"/>
              <w:keepNext/>
              <w:jc w:val="center"/>
            </w:pPr>
            <m:oMath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f</m:t>
                  </m:r>
                </m:sub>
              </m:sSub>
            </m:oMath>
          </w:p>
        </w:tc>
        <w:tc>
          <w:tcPr>
            <w:vAlign w:val="center"/>
          </w:tcPr>
          <w:p>
            <w:pPr>
              <w:pStyle w:val="Compact"/>
              <w:keepNext/>
              <w:jc w:val="left"/>
            </w:pPr>
            <w:r>
              <w:t xml:space="preserve">302（首部为 PSS、SSS）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帧保护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g</m:t>
                  </m:r>
                </m:sub>
              </m:sSub>
            </m:oMath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68/15 μs ≈ 4.533 μs</w:t>
            </w:r>
          </w:p>
        </w:tc>
      </w:tr>
    </w:tbl>
    <w:p>
      <w:pPr>
        <w:pStyle w:val="CaptionedFigure"/>
      </w:pPr>
      <w:r>
        <w:drawing>
          <wp:inline>
            <wp:extent cx="3959999" cy="2309999"/>
            <wp:effectExtent b="0" l="0" r="0" t="0"/>
            <wp:docPr descr="图2 Starlink下行信号结构示意（依据文献[1]~[3]绘制）" title="" id="38" name="Picture"/>
            <a:graphic>
              <a:graphicData uri="http://schemas.openxmlformats.org/drawingml/2006/picture">
                <pic:pic>
                  <pic:nvPicPr>
                    <pic:cNvPr descr="figures/fig2_fram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999" cy="23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图2 Starlink下行信号结构示意（依据文献[1]~[3]绘制）</w:t>
      </w:r>
    </w:p>
    <w:p>
      <w:pPr>
        <w:pStyle w:val="BodyText"/>
      </w:pPr>
      <w:r>
        <w:t xml:space="preserve">由表1可以验证参数间的自洽关系：240 MHz ÷ 1024 = 234.375 kHz，(1024 + 32) ÷ 240 MHz = 4.4 μs，302 × 4.4 μs + 68/15 μs = 1333.33 μs = 1/750 s。这种严格的整数关系正是整数约束判定得以成立的基础。</w:t>
      </w:r>
    </w:p>
    <w:bookmarkEnd w:id="40"/>
    <w:bookmarkStart w:id="41" w:name="仿真条件"/>
    <w:p>
      <w:pPr>
        <w:pStyle w:val="Heading2"/>
      </w:pPr>
      <w:r>
        <w:t xml:space="preserve">5.2 仿真条件</w:t>
      </w:r>
    </w:p>
    <w:p>
      <w:pPr>
        <w:pStyle w:val="FirstParagraph"/>
      </w:pPr>
      <w:r>
        <w:t xml:space="preserve">依据表1参数构建仿真信号：信号结构为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1024</m:t>
        </m:r>
      </m:oMath>
      <w:r>
        <w:t xml:space="preserve">、</w:t>
      </w:r>
      <m:oMath>
        <m:sSub>
          <m:e>
            <m:r>
              <m:t>N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t>32</m:t>
        </m:r>
      </m:oMath>
      <w:r>
        <w:t xml:space="preserve">、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r>
          <m:t>302</m:t>
        </m:r>
      </m:oMath>
      <w:r>
        <w:t xml:space="preserve">；为模拟“非合作”条件，接收采样率设为 300 MHz（不同于发射端的 240 MHz，即估计器不预知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</m:oMath>
      <w:r>
        <w:t xml:space="preserve">）；频偏</w:t>
      </w:r>
      <w:r>
        <w:t xml:space="preserve"> </w:t>
      </w:r>
      <m:oMath>
        <m:sSub>
          <m:e>
            <m:r>
              <m:t>f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186.4</m:t>
        </m:r>
      </m:oMath>
      <w:r>
        <w:t xml:space="preserve"> </w:t>
      </w:r>
      <w:r>
        <w:t xml:space="preserve">kHz（约 0.795 个子载波间隔）；帧保护期间不发射信号，同步符号以固定的随机 QPSK 符号代替实际 PSS/SSS，数据子载波为随机 QPSK 调制。盲估计采用 16 帧（约 21.3 ms）数据，单样点信噪比（SNR）为 0 dB；时频同步性能采用 300 次（多帧估计为 200 次）蒙特卡洛试验统计。</w:t>
      </w:r>
    </w:p>
    <w:bookmarkEnd w:id="41"/>
    <w:bookmarkStart w:id="48" w:name="信号层参数盲估计结果"/>
    <w:p>
      <w:pPr>
        <w:pStyle w:val="Heading2"/>
      </w:pPr>
      <w:r>
        <w:t xml:space="preserve">5.3 信号层参数盲估计结果</w:t>
      </w:r>
    </w:p>
    <w:p>
      <w:pPr>
        <w:pStyle w:val="FirstParagraph"/>
      </w:pPr>
      <w:r>
        <w:t xml:space="preserve">图3为接收信号的功率谱。由半功率门限测得占用带宽为 240.00 MHz（误差约 2 kHz）；频带中部可清晰观察到宽约 0.93 MHz 的中心空隙（理论值</w:t>
      </w:r>
      <w:r>
        <w:t xml:space="preserve"> </w:t>
      </w:r>
      <m:oMath>
        <m:r>
          <m:t>4</m:t>
        </m:r>
        <m:r>
          <m:t>Δ</m:t>
        </m:r>
        <m:r>
          <m:t>f</m:t>
        </m:r>
        <m:r>
          <m:rPr>
            <m:sty m:val="p"/>
          </m:rPr>
          <m:t>=</m:t>
        </m:r>
        <m:r>
          <m:t>0.9375</m:t>
        </m:r>
      </m:oMath>
      <w:r>
        <w:t xml:space="preserve"> </w:t>
      </w:r>
      <w:r>
        <w:t xml:space="preserve">MHz），由此得到频偏粗估计 187.28 kHz，误差 0.88 kHz，远小于</w:t>
      </w:r>
      <w:r>
        <w:t xml:space="preserve"> </w:t>
      </w:r>
      <m:oMath>
        <m:r>
          <m:t>Δ</m:t>
        </m:r>
        <m:r>
          <m:t>f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117.2</m:t>
        </m:r>
      </m:oMath>
      <w:r>
        <w:t xml:space="preserve"> </w:t>
      </w:r>
      <w:r>
        <w:t xml:space="preserve">kHz。</w:t>
      </w:r>
    </w:p>
    <w:p>
      <w:pPr>
        <w:pStyle w:val="CaptionedFigure"/>
      </w:pPr>
      <w:r>
        <w:drawing>
          <wp:inline>
            <wp:extent cx="3779999" cy="1738799"/>
            <wp:effectExtent b="0" l="0" r="0" t="0"/>
            <wp:docPr descr="图3 接收信号功率谱及中心空隙（SNR = 0 dB）" title="" id="43" name="Picture"/>
            <a:graphic>
              <a:graphicData uri="http://schemas.openxmlformats.org/drawingml/2006/picture">
                <pic:pic>
                  <pic:nvPicPr>
                    <pic:cNvPr descr="figures/fig3_psd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999" cy="1738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图3 接收信号功率谱及中心空隙（SNR = 0 dB）</w:t>
      </w:r>
    </w:p>
    <w:p>
      <w:pPr>
        <w:pStyle w:val="BodyText"/>
      </w:pPr>
      <w:r>
        <w:t xml:space="preserve">图4(a)中 CP 自相关函数在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1280</m:t>
        </m:r>
      </m:oMath>
      <w:r>
        <w:t xml:space="preserve"> </w:t>
      </w:r>
      <w:r>
        <w:t xml:space="preserve">个接收样点（4.2667 μs）处出现孤立峰值，对应</w:t>
      </w:r>
      <w:r>
        <w:t xml:space="preserve"> </w:t>
      </w:r>
      <m:oMath>
        <m:r>
          <m:t>Δ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=</m:t>
        </m:r>
        <m:r>
          <m:t>234.375</m:t>
        </m:r>
      </m:oMath>
      <w:r>
        <w:t xml:space="preserve"> </w:t>
      </w:r>
      <w:r>
        <w:t xml:space="preserve">kHz；图4(b)中循环自相关谱线等间隔出现在约 227.25 kHz 的整数倍处，拟合得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T</m:t>
                </m:r>
              </m:e>
            </m:acc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=</m:t>
        </m:r>
        <m:r>
          <m:t>4.4004</m:t>
        </m:r>
      </m:oMath>
      <w:r>
        <w:t xml:space="preserve"> </w:t>
      </w:r>
      <w:r>
        <w:t xml:space="preserve">μs、</w:t>
      </w:r>
      <m:oMath>
        <m:sSub>
          <m:e>
            <m:acc>
              <m:accPr>
                <m:chr m:val="̂"/>
              </m:accPr>
              <m:e>
                <m:r>
                  <m:t>T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t>0.1337</m:t>
        </m:r>
      </m:oMath>
      <w:r>
        <w:t xml:space="preserve"> </w:t>
      </w:r>
      <w:r>
        <w:t xml:space="preserve">μs。按式(9)判定：</w:t>
      </w:r>
      <m:oMath>
        <m:r>
          <m:t>N</m:t>
        </m:r>
        <m:r>
          <m:rPr>
            <m:sty m:val="p"/>
          </m:rPr>
          <m:t>=</m:t>
        </m:r>
        <m:r>
          <m:t>512</m:t>
        </m:r>
      </m:oMath>
      <w:r>
        <w:t xml:space="preserve"> </w:t>
      </w:r>
      <w:r>
        <w:t xml:space="preserve">对应的采样率 120 MHz 小于占用带宽，被排除；</w:t>
      </w:r>
      <m:oMath>
        <m:r>
          <m:t>N</m:t>
        </m:r>
        <m:r>
          <m:rPr>
            <m:sty m:val="p"/>
          </m:rPr>
          <m:t>=</m:t>
        </m:r>
        <m:r>
          <m:t>1024</m:t>
        </m:r>
      </m:oMath>
      <w:r>
        <w:t xml:space="preserve"> </w:t>
      </w:r>
      <w:r>
        <w:t xml:space="preserve">为满足约束的最小值，得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240</m:t>
        </m:r>
      </m:oMath>
      <w:r>
        <w:t xml:space="preserve"> </w:t>
      </w:r>
      <w:r>
        <w:t xml:space="preserve">MHz，此时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T</m:t>
                </m:r>
              </m:e>
            </m:acc>
          </m:e>
          <m:sub>
            <m:r>
              <m:t>g</m:t>
            </m:r>
          </m:sub>
        </m:sSub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32.09</m:t>
        </m:r>
      </m:oMath>
      <w:r>
        <w:t xml:space="preserve">，取整得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N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t>32</m:t>
        </m:r>
      </m:oMath>
      <w:r>
        <w:t xml:space="preserve">，与真值一致，并可反算出精确的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=</m:t>
        </m:r>
        <m:r>
          <m:t>4.4</m:t>
        </m:r>
      </m:oMath>
      <w:r>
        <w:t xml:space="preserve"> </w:t>
      </w:r>
      <w:r>
        <w:t xml:space="preserve">μs，循环谱估计中约 0.01% 的偏差被完全消除。</w:t>
      </w:r>
    </w:p>
    <w:p>
      <w:pPr>
        <w:pStyle w:val="CaptionedFigure"/>
      </w:pPr>
      <w:r>
        <w:drawing>
          <wp:inline>
            <wp:extent cx="3959999" cy="1781999"/>
            <wp:effectExtent b="0" l="0" r="0" t="0"/>
            <wp:docPr descr="图4 符号参数盲估计结果：(a) CP自相关函数；(b) 循环自相关谱" title="" id="46" name="Picture"/>
            <a:graphic>
              <a:graphicData uri="http://schemas.openxmlformats.org/drawingml/2006/picture">
                <pic:pic>
                  <pic:nvPicPr>
                    <pic:cNvPr descr="figures/fig4_cp_cyclic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999" cy="1781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图4 符号参数盲估计结果：(a) CP自相关函数；(b) 循环自相关谱</w:t>
      </w:r>
    </w:p>
    <w:bookmarkEnd w:id="48"/>
    <w:bookmarkStart w:id="52" w:name="帧结构识别结果"/>
    <w:p>
      <w:pPr>
        <w:pStyle w:val="Heading2"/>
      </w:pPr>
      <w:r>
        <w:t xml:space="preserve">5.4 帧结构识别结果</w:t>
      </w:r>
    </w:p>
    <w:p>
      <w:pPr>
        <w:pStyle w:val="FirstParagraph"/>
      </w:pPr>
      <w:r>
        <w:t xml:space="preserve">图5(a)中长时延自相关函数在 1.3333 ms 及其两倍处出现明显峰值（约为噪声基底最大值的 2.2 倍），得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T</m:t>
                </m:r>
              </m:e>
            </m:acc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750</m:t>
        </m:r>
      </m:oMath>
      <w:r>
        <w:t xml:space="preserve"> </w:t>
      </w:r>
      <w:r>
        <w:t xml:space="preserve">s。图5(b)中功率折叠后帧保护表现为宽约 4.52 μs 的功率凹陷，进而得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N</m:t>
                </m:r>
              </m:e>
            </m:acc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r>
          <m:t>302</m:t>
        </m:r>
      </m:oMath>
      <w:r>
        <w:t xml:space="preserve">，再按整数关系反算出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T</m:t>
                </m:r>
              </m:e>
            </m:acc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g</m:t>
            </m:r>
          </m:sub>
        </m:sSub>
        <m:r>
          <m:rPr>
            <m:sty m:val="p"/>
          </m:rPr>
          <m:t>=</m:t>
        </m:r>
        <m:r>
          <m:t>4.533</m:t>
        </m:r>
      </m:oMath>
      <w:r>
        <w:t xml:space="preserve"> </w:t>
      </w:r>
      <w:r>
        <w:t xml:space="preserve">μs。功率折叠给出的帧起点误差为 5 个样点，经式(17)精确定时后误差为 0。</w:t>
      </w:r>
    </w:p>
    <w:p>
      <w:pPr>
        <w:pStyle w:val="CaptionedFigure"/>
      </w:pPr>
      <w:r>
        <w:drawing>
          <wp:inline>
            <wp:extent cx="3959999" cy="1781999"/>
            <wp:effectExtent b="0" l="0" r="0" t="0"/>
            <wp:docPr descr="图5 帧结构识别结果：(a) 长时延自相关；(b) 帧同步功率折叠" title="" id="50" name="Picture"/>
            <a:graphic>
              <a:graphicData uri="http://schemas.openxmlformats.org/drawingml/2006/picture">
                <pic:pic>
                  <pic:nvPicPr>
                    <pic:cNvPr descr="figures/fig5_frame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999" cy="1781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图5 帧结构识别结果：(a) 长时延自相关；(b) 帧同步功率折叠</w:t>
      </w:r>
    </w:p>
    <w:bookmarkEnd w:id="52"/>
    <w:bookmarkStart w:id="59" w:name="时频同步精度"/>
    <w:p>
      <w:pPr>
        <w:pStyle w:val="Heading2"/>
      </w:pPr>
      <w:r>
        <w:t xml:space="preserve">5.5 时频同步精度</w:t>
      </w:r>
    </w:p>
    <w:p>
      <w:pPr>
        <w:pStyle w:val="FirstParagraph"/>
      </w:pPr>
      <w:r>
        <w:t xml:space="preserve">由图6(a)可见，CP 最大似然估计的精度随累加符号数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增加而显著提高，0 dB 时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、10、100 对应的频偏 RMSE 分别约为 17.8 kHz、2.2 kHz 和 0.69 kHz；单帧同步符号辅助估计的 RMSE 与 CRB 基本重合（0 dB 时约 0.88 kHz）。由图6(b)可见，</w:t>
      </w:r>
      <m:oMath>
        <m:r>
          <m:t>M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时符号定时在 −5 dB 及以上全部正确。</w:t>
      </w:r>
    </w:p>
    <w:p>
      <w:pPr>
        <w:pStyle w:val="CaptionedFigure"/>
      </w:pPr>
      <w:r>
        <w:drawing>
          <wp:inline>
            <wp:extent cx="3959999" cy="1821599"/>
            <wp:effectExtent b="0" l="0" r="0" t="0"/>
            <wp:docPr descr="图6 时频同步性能：(a) 频偏估计精度；(b) 符号定时正确概率（误差≤1个样点）" title="" id="54" name="Picture"/>
            <a:graphic>
              <a:graphicData uri="http://schemas.openxmlformats.org/drawingml/2006/picture">
                <pic:pic>
                  <pic:nvPicPr>
                    <pic:cNvPr descr="figures/fig6_sync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999" cy="1821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图6 时频同步性能：(a) 频偏估计精度；(b) 符号定时正确概率（误差≤1个样点）</w:t>
      </w:r>
    </w:p>
    <w:p>
      <w:pPr>
        <w:pStyle w:val="BodyText"/>
      </w:pPr>
      <w:r>
        <w:t xml:space="preserve">图7(a)为 SNR = −10 dB 时跨帧相干平均提取同步符号的效果：无残余频偏时，相关系数由单帧的 0.30 提高到 256 帧的 0.98，与式(12)一致；残余频偏为 2 Hz 时，</w:t>
      </w:r>
      <m:oMath>
        <m:r>
          <m:t>K</m:t>
        </m:r>
        <m:r>
          <m:rPr>
            <m:sty m:val="p"/>
          </m:rPr>
          <m:t>&gt;</m:t>
        </m:r>
        <m:r>
          <m:t>128</m:t>
        </m:r>
      </m:oMath>
      <w:r>
        <w:t xml:space="preserve"> </w:t>
      </w:r>
      <w:r>
        <w:t xml:space="preserve">后性能下降；残余频偏为 10 Hz 时，</w:t>
      </w:r>
      <m:oMath>
        <m:r>
          <m:t>K</m:t>
        </m:r>
        <m:r>
          <m:rPr>
            <m:sty m:val="p"/>
          </m:rPr>
          <m:t>&gt;</m:t>
        </m:r>
        <m:r>
          <m:t>32</m:t>
        </m:r>
      </m:oMath>
      <w:r>
        <w:t xml:space="preserve"> </w:t>
      </w:r>
      <w:r>
        <w:t xml:space="preserve">后相干增益迅速丧失，说明长时间相干处理要求亚赫兹至数赫兹量级的频偏精度。图7(b)为 SNR = 0 dB 时多帧相干数据辅助估计的 RMSE：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时约 884 Hz，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时骤降至 2.3 Hz，</w:t>
      </w:r>
      <m:oMath>
        <m:r>
          <m:t>K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与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时分别为 0.090 Hz 与 0.011 Hz，均与 CRB 吻合，验证了式(20)所示的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改善规律。</w:t>
      </w:r>
    </w:p>
    <w:p>
      <w:pPr>
        <w:pStyle w:val="CaptionedFigure"/>
      </w:pPr>
      <w:r>
        <w:drawing>
          <wp:inline>
            <wp:extent cx="3959999" cy="1821599"/>
            <wp:effectExtent b="0" l="0" r="0" t="0"/>
            <wp:docPr descr="图7 跨帧相干处理性能：(a) 同步符号提取（实线为理论值）；(b) 多帧相干频偏估计" title="" id="57" name="Picture"/>
            <a:graphic>
              <a:graphicData uri="http://schemas.openxmlformats.org/drawingml/2006/picture">
                <pic:pic>
                  <pic:nvPicPr>
                    <pic:cNvPr descr="figures/fig7_multiframe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999" cy="1821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图7 跨帧相干处理性能：(a) 同步符号提取（实线为理论值）；(b) 多帧相干频偏估计</w:t>
      </w:r>
    </w:p>
    <w:bookmarkEnd w:id="59"/>
    <w:bookmarkStart w:id="60" w:name="调制识别结果"/>
    <w:p>
      <w:pPr>
        <w:pStyle w:val="Heading2"/>
      </w:pPr>
      <w:r>
        <w:t xml:space="preserve">5.6 调制识别结果</w:t>
      </w:r>
    </w:p>
    <w:p>
      <w:pPr>
        <w:pStyle w:val="FirstParagraph"/>
      </w:pPr>
      <w:r>
        <w:t xml:space="preserve">完成时频同步补偿与基于 SSS 的公共相位校正后，对数据子载波计算归一化四阶累积量。表2为 SNR = 10 dB 时 20 次试验的统计结果，三种调制方式的估计值均与理论值接近，可明确区分。</w:t>
      </w:r>
    </w:p>
    <w:p>
      <w:pPr>
        <w:pStyle w:val="TableCaption"/>
      </w:pPr>
      <w:r>
        <w:t xml:space="preserve">表2 不同调制方式的归一化四阶累积量（SNR = 10 dB）</w:t>
      </w:r>
    </w:p>
    <w:tbl>
      <w:tblPr>
        <w:tblStyle w:val="Table"/>
        <w:tblW w:w="9070" w:type="dxa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ook w:firstRow="1" w:lastRow="0" w:firstColumn="0" w:lastColumn="0" w:noHBand="0" w:noVBand="0" w:val="0020"/>
        <w:tblCaption w:val="表2 不同调制方式的归一化四阶累积量（SNR = 10 dB）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cantSplit/>
        </w:trPr>
        <w:tc>
          <w:tcPr>
            <w:tcBorders>
              <w:bottom w:val="single" w:sz="6" w:space="0" w:color="000000"/>
            </w:tcBorders>
            <w:vAlign w:val="center"/>
          </w:tcPr>
          <w:p>
            <w:pPr>
              <w:pStyle w:val="Compact"/>
              <w:keepNext/>
              <w:jc w:val="center"/>
            </w:pPr>
            <w:r>
              <w:rPr>
                <w:b/>
              </w:rPr>
              <w:t xml:space="preserve">调制方式</w:t>
            </w:r>
          </w:p>
        </w:tc>
        <w:tc>
          <w:tcPr>
            <w:tcBorders>
              <w:bottom w:val="single" w:sz="6" w:space="0" w:color="000000"/>
            </w:tcBorders>
            <w:vAlign w:val="center"/>
          </w:tcPr>
          <w:p>
            <w:pPr>
              <w:pStyle w:val="Compact"/>
              <w:keepNext/>
              <w:jc w:val="center"/>
            </w:pPr>
            <m:oMath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40</m:t>
                  </m:r>
                </m:sub>
              </m:sSub>
            </m:oMath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理论值</w:t>
            </w:r>
          </w:p>
        </w:tc>
        <w:tc>
          <w:tcPr>
            <w:tcBorders>
              <w:bottom w:val="single" w:sz="6" w:space="0" w:color="000000"/>
            </w:tcBorders>
            <w:vAlign w:val="center"/>
          </w:tcPr>
          <w:p>
            <w:pPr>
              <w:pStyle w:val="Compact"/>
              <w:keepNext/>
              <w:jc w:val="center"/>
            </w:pPr>
            <m:oMath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40</m:t>
                  </m:r>
                </m:sub>
              </m:sSub>
            </m:oMath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估计值</w:t>
            </w:r>
          </w:p>
        </w:tc>
        <w:tc>
          <w:tcPr>
            <w:tcBorders>
              <w:bottom w:val="single" w:sz="6" w:space="0" w:color="000000"/>
            </w:tcBorders>
            <w:vAlign w:val="center"/>
          </w:tcPr>
          <w:p>
            <w:pPr>
              <w:pStyle w:val="Compact"/>
              <w:keepNext/>
              <w:jc w:val="center"/>
            </w:pPr>
            <m:oMath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42</m:t>
                  </m:r>
                </m:sub>
              </m:sSub>
            </m:oMath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理论值</w:t>
            </w:r>
          </w:p>
        </w:tc>
        <w:tc>
          <w:tcPr>
            <w:tcBorders>
              <w:bottom w:val="single" w:sz="6" w:space="0" w:color="000000"/>
            </w:tcBorders>
            <w:vAlign w:val="center"/>
          </w:tcPr>
          <w:p>
            <w:pPr>
              <w:pStyle w:val="Compact"/>
              <w:keepNext/>
              <w:jc w:val="center"/>
            </w:pPr>
            <m:oMath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42</m:t>
                  </m:r>
                </m:sub>
              </m:sSub>
            </m:oMath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估计值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t xml:space="preserve">QPSK</w:t>
            </w:r>
          </w:p>
        </w:tc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t xml:space="preserve">1.00</w:t>
            </w:r>
          </w:p>
        </w:tc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t xml:space="preserve">0.95±0.06</w:t>
            </w:r>
          </w:p>
        </w:tc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t xml:space="preserve">−1.00</w:t>
            </w:r>
          </w:p>
        </w:tc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t xml:space="preserve">−1.01±0.02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t xml:space="preserve">8PSK</w:t>
            </w:r>
          </w:p>
        </w:tc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t xml:space="preserve">0.00</w:t>
            </w:r>
          </w:p>
        </w:tc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t xml:space="preserve">0.01±0.01</w:t>
            </w:r>
          </w:p>
        </w:tc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t xml:space="preserve">−1.00</w:t>
            </w:r>
          </w:p>
        </w:tc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t xml:space="preserve">−1.00±0.02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jc w:val="center"/>
            </w:pPr>
            <w:r>
              <w:t xml:space="preserve">16QAM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t xml:space="preserve">0.68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t xml:space="preserve">0.65±0.03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t xml:space="preserve">−0.68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t xml:space="preserve">−0.68±0.01</w:t>
            </w:r>
          </w:p>
        </w:tc>
      </w:tr>
    </w:tbl>
    <w:bookmarkEnd w:id="60"/>
    <w:bookmarkStart w:id="61" w:name="估计结果汇总"/>
    <w:p>
      <w:pPr>
        <w:pStyle w:val="Heading2"/>
      </w:pPr>
      <w:r>
        <w:t xml:space="preserve">5.7 估计结果汇总</w:t>
      </w:r>
    </w:p>
    <w:p>
      <w:pPr>
        <w:pStyle w:val="FirstParagraph"/>
      </w:pPr>
      <w:r>
        <w:t xml:space="preserve">SNR = 0 dB 时由 16 帧接收数据得到的参数估计结果汇总于表3。经整数约束与多帧相干处理后，全部结构参数均被准确恢复，频偏估计误差仅为 0.05 Hz。</w:t>
      </w:r>
    </w:p>
    <w:p>
      <w:pPr>
        <w:pStyle w:val="TableCaption"/>
      </w:pPr>
      <w:r>
        <w:t xml:space="preserve">表3 信号源参数估计结果汇总（SNR = 0 dB）</w:t>
      </w:r>
    </w:p>
    <w:tbl>
      <w:tblPr>
        <w:tblStyle w:val="Table"/>
        <w:tblW w:w="9070" w:type="dxa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ook w:firstRow="1" w:lastRow="0" w:firstColumn="0" w:lastColumn="0" w:noHBand="0" w:noVBand="0" w:val="0020"/>
        <w:tblCaption w:val="表3 信号源参数估计结果汇总（SNR = 0 dB）"/>
      </w:tblPr>
      <w:tblGrid>
        <w:gridCol w:w="2217"/>
        <w:gridCol w:w="1900"/>
        <w:gridCol w:w="1900"/>
        <w:gridCol w:w="1900"/>
      </w:tblGrid>
      <w:tr>
        <w:trPr>
          <w:tblHeader w:val="true"/>
          <w:cantSplit/>
        </w:trPr>
        <w:tc>
          <w:tcPr>
            <w:tcBorders>
              <w:bottom w:val="single" w:sz="6" w:space="0" w:color="000000"/>
            </w:tcBorders>
            <w:vAlign w:val="center"/>
          </w:tcPr>
          <w:p>
            <w:pPr>
              <w:pStyle w:val="Compact"/>
              <w:keepNext/>
              <w:jc w:val="left"/>
            </w:pPr>
            <w:r>
              <w:rPr>
                <w:b/>
              </w:rPr>
              <w:t xml:space="preserve">参数</w:t>
            </w:r>
          </w:p>
        </w:tc>
        <w:tc>
          <w:tcPr>
            <w:tcBorders>
              <w:bottom w:val="single" w:sz="6" w:space="0" w:color="000000"/>
            </w:tcBorders>
            <w:vAlign w:val="center"/>
          </w:tcPr>
          <w:p>
            <w:pPr>
              <w:pStyle w:val="Compact"/>
              <w:keepNext/>
              <w:jc w:val="center"/>
            </w:pPr>
            <w:r>
              <w:rPr>
                <w:b/>
              </w:rPr>
              <w:t xml:space="preserve">真值</w:t>
            </w:r>
          </w:p>
        </w:tc>
        <w:tc>
          <w:tcPr>
            <w:tcBorders>
              <w:bottom w:val="single" w:sz="6" w:space="0" w:color="000000"/>
            </w:tcBorders>
            <w:vAlign w:val="center"/>
          </w:tcPr>
          <w:p>
            <w:pPr>
              <w:pStyle w:val="Compact"/>
              <w:keepNext/>
              <w:jc w:val="center"/>
            </w:pPr>
            <w:r>
              <w:rPr>
                <w:b/>
              </w:rPr>
              <w:t xml:space="preserve">盲估计值</w:t>
            </w:r>
          </w:p>
        </w:tc>
        <w:tc>
          <w:tcPr>
            <w:tcBorders>
              <w:bottom w:val="single" w:sz="6" w:space="0" w:color="000000"/>
            </w:tcBorders>
            <w:vAlign w:val="center"/>
          </w:tcPr>
          <w:p>
            <w:pPr>
              <w:pStyle w:val="Compact"/>
              <w:keepNext/>
              <w:jc w:val="center"/>
            </w:pPr>
            <w:r>
              <w:rPr>
                <w:b/>
              </w:rPr>
              <w:t xml:space="preserve">约束/精估计后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keepNext/>
              <w:jc w:val="left"/>
            </w:pPr>
            <w:r>
              <w:t xml:space="preserve">符号周期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y</m:t>
                  </m:r>
                  <m:r>
                    <m:rPr>
                      <m:sty m:val="p"/>
                    </m:rPr>
                    <m:t>m</m:t>
                  </m:r>
                </m:sub>
              </m:sSub>
            </m:oMath>
          </w:p>
        </w:tc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t xml:space="preserve">4.4 μs</w:t>
            </w:r>
          </w:p>
        </w:tc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t xml:space="preserve">4.4004 μs</w:t>
            </w:r>
          </w:p>
        </w:tc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t xml:space="preserve">4.4 μs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keepNext/>
              <w:jc w:val="left"/>
            </w:pPr>
            <w:r>
              <w:t xml:space="preserve">采样率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</m:oMath>
            <w:r>
              <w:t xml:space="preserve"> </w:t>
            </w:r>
            <w:r>
              <w:t xml:space="preserve">/ 子载波数</w:t>
            </w:r>
            <w:r>
              <w:t xml:space="preserve"> </w:t>
            </w:r>
            <m:oMath>
              <m:r>
                <m:t>N</m:t>
              </m:r>
            </m:oMath>
          </w:p>
        </w:tc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t xml:space="preserve">240 MHz / 1024</w:t>
            </w:r>
          </w:p>
        </w:tc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t xml:space="preserve">—</w:t>
            </w:r>
          </w:p>
        </w:tc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t xml:space="preserve">240 MHz / 1024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keepNext/>
              <w:jc w:val="left"/>
            </w:pPr>
            <w:r>
              <w:t xml:space="preserve">CP 样点数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g</m:t>
                  </m:r>
                </m:sub>
              </m:sSub>
            </m:oMath>
          </w:p>
        </w:tc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t xml:space="preserve">32</w:t>
            </w:r>
          </w:p>
        </w:tc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t xml:space="preserve">32.09</w:t>
            </w:r>
          </w:p>
        </w:tc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t xml:space="preserve">32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keepNext/>
              <w:jc w:val="left"/>
            </w:pPr>
            <w:r>
              <w:t xml:space="preserve">帧周期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f</m:t>
                  </m:r>
                </m:sub>
              </m:sSub>
            </m:oMath>
          </w:p>
        </w:tc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t xml:space="preserve">1.3333 ms</w:t>
            </w:r>
          </w:p>
        </w:tc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t xml:space="preserve">1.3333 ms</w:t>
            </w:r>
          </w:p>
        </w:tc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keepNext/>
              <w:jc w:val="left"/>
            </w:pPr>
            <w:r>
              <w:t xml:space="preserve">帧保护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g</m:t>
                  </m:r>
                </m:sub>
              </m:sSub>
            </m:oMath>
          </w:p>
        </w:tc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t xml:space="preserve">4.533 μs</w:t>
            </w:r>
          </w:p>
        </w:tc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t xml:space="preserve">4.52 μs</w:t>
            </w:r>
          </w:p>
        </w:tc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t xml:space="preserve">4.533 μs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keepNext/>
              <w:jc w:val="left"/>
            </w:pPr>
            <w:r>
              <w:t xml:space="preserve">每帧符号数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f</m:t>
                  </m:r>
                </m:sub>
              </m:sSub>
            </m:oMath>
          </w:p>
        </w:tc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t xml:space="preserve">302</w:t>
            </w:r>
          </w:p>
        </w:tc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t xml:space="preserve">302</w:t>
            </w:r>
          </w:p>
        </w:tc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keepNext/>
              <w:jc w:val="left"/>
            </w:pPr>
            <w:r>
              <w:t xml:space="preserve">帧起点误差</w:t>
            </w:r>
          </w:p>
        </w:tc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t xml:space="preserve">5 样点</w:t>
            </w:r>
          </w:p>
        </w:tc>
        <w:tc>
          <w:tcPr>
            <w:vAlign w:val="center"/>
          </w:tcPr>
          <w:p>
            <w:pPr>
              <w:pStyle w:val="Compact"/>
              <w:keepNext/>
              <w:jc w:val="center"/>
            </w:pPr>
            <w:r>
              <w:t xml:space="preserve">0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频偏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d</m:t>
                  </m:r>
                </m:sub>
              </m:sSub>
            </m:oMath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t xml:space="preserve">186 400 Hz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t xml:space="preserve">187 283 Hz（粗）/ 186 250 Hz（CP-ML）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t xml:space="preserve">186 400.05 Hz</w:t>
            </w:r>
          </w:p>
        </w:tc>
      </w:tr>
    </w:tbl>
    <w:bookmarkEnd w:id="61"/>
    <w:bookmarkEnd w:id="62"/>
    <w:bookmarkStart w:id="63" w:name="结论及在本项目中的应用"/>
    <w:p>
      <w:pPr>
        <w:pStyle w:val="Heading1"/>
      </w:pPr>
      <w:r>
        <w:t xml:space="preserve">6 结论及在本项目中的应用</w:t>
      </w:r>
    </w:p>
    <w:p>
      <w:pPr>
        <w:pStyle w:val="FirstParagraph"/>
      </w:pPr>
      <w:r>
        <w:t xml:space="preserve">本文以文献[1]对 Starlink 下行信号的盲识别为主线，阐述了非合作信号源参数精确估计的原理：利用 CP 结构产生的自相关与循环平稳特征盲估计符号级时间参数；利用采样率、子载波数、CP 长度与帧长之间的整数关系，将带误差的时间估计转化为精确的结构参数；进而提取同步符号，借助多帧相干的数据辅助估计使频偏精度逼近 CRB。</w:t>
      </w:r>
    </w:p>
    <w:p>
      <w:pPr>
        <w:pStyle w:val="BodyText"/>
      </w:pPr>
      <w:r>
        <w:t xml:space="preserve">在本项目中，该模块位于多辐射源信号分选之后、分布式相参融合之前，其输出可用于：（1）重构纯净参考信号；（2）为多源串扰抑制提供各信号源的时频结构；（3）为多信号源间及分布式接收站间的时间、频率与相位对齐提供高精度参数，支撑三维相参融合中的长时间相干积累。后续需进一步研究多径信道、多普勒变化率及多星同频叠加条件下的估计方法，并开展实测数据验证。</w:t>
      </w:r>
    </w:p>
    <w:bookmarkEnd w:id="63"/>
    <w:bookmarkStart w:id="64" w:name="参考文献"/>
    <w:p>
      <w:pPr>
        <w:pStyle w:val="Heading1"/>
      </w:pPr>
      <w:r>
        <w:t xml:space="preserve">参考文献</w:t>
      </w:r>
    </w:p>
    <w:p>
      <w:pPr>
        <w:pStyle w:val="CanKao"/>
      </w:pPr>
      <w:r>
        <w:t xml:space="preserve">[1] Humphreys T E, Iannucci P A, Komodromos Z, Graff A M. Signal structure of the Starlink Ku-band downlink[J]. IEEE Transactions on Aerospace and Electronic Systems, 2023. (arXiv: 2210.11578)</w:t>
      </w:r>
    </w:p>
    <w:p>
      <w:pPr>
        <w:pStyle w:val="CanKao"/>
      </w:pPr>
      <w:r>
        <w:t xml:space="preserve">[2] Komodromos Z, et al. Signal simulator for Starlink Ku-band downlink[R/OL]. Radionavigation Laboratory, The University of Texas at Austin.</w:t>
      </w:r>
    </w:p>
    <w:p>
      <w:pPr>
        <w:pStyle w:val="CanKao"/>
      </w:pPr>
      <w:r>
        <w:t xml:space="preserve">[3] Qin W, et al. Timing properties of the Starlink Ku-band downlink[EB/OL]. arXiv: 2501.05302, 2025.</w:t>
      </w:r>
    </w:p>
    <w:p>
      <w:pPr>
        <w:pStyle w:val="CanKao"/>
      </w:pPr>
      <w:r>
        <w:t xml:space="preserve">[4] van de Beek J J, Sandell M, Börjesson P O. ML estimation of time and frequency offset in OFDM systems[J]. IEEE Transactions on Signal Processing, 1997, 45(7): 1800-1805.</w:t>
      </w:r>
    </w:p>
    <w:p>
      <w:pPr>
        <w:pStyle w:val="CanKao"/>
      </w:pPr>
      <w:r>
        <w:t xml:space="preserve">[5] Le Nir V, van Waterschoot T, Moonen M, Duplicy J. Blind CP-OFDM and ZP-OFDM parameter estimation in frequency selective channels[J]. EURASIP Journal on Wireless Communications and Networking, 2009, 2009: 315765.</w:t>
      </w:r>
    </w:p>
    <w:p>
      <w:pPr>
        <w:pStyle w:val="CanKao"/>
      </w:pPr>
      <w:r>
        <w:t xml:space="preserve">[6] Gardner W A. Exploitation of spectral redundancy in cyclostationary signals[J]. IEEE Signal Processing Magazine, 1991, 8(2): 14-36.</w:t>
      </w:r>
    </w:p>
    <w:p>
      <w:pPr>
        <w:pStyle w:val="CanKao"/>
      </w:pPr>
      <w:r>
        <w:t xml:space="preserve">[7] Schmidl T M, Cox D C. Robust frequency and timing synchronization for OFDM[J]. IEEE Transactions on Communications, 1997, 45(12): 1613-1621.</w:t>
      </w:r>
    </w:p>
    <w:p>
      <w:pPr>
        <w:pStyle w:val="CanKao"/>
      </w:pPr>
      <w:r>
        <w:t xml:space="preserve">[8] Rife D C, Boorstyn R R. Single-tone parameter estimation from discrete-time observations[J]. IEEE Transactions on Information Theory, 1974, 20(5): 591-598.</w:t>
      </w:r>
    </w:p>
    <w:p>
      <w:pPr>
        <w:pStyle w:val="CanKao"/>
      </w:pPr>
      <w:r>
        <w:t xml:space="preserve">[9] Swami A, Sadler B M. Hierarchical digital modulation classification using cumulants[J]. IEEE Transactions on Communications, 2000, 48(3): 416-429.</w:t>
      </w:r>
    </w:p>
    <w:bookmarkEnd w:id="64"/>
    <w:sectPr>
      <w:footerReference w:type="default" r:id="rIdFooter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r="http://schemas.openxmlformats.org/officeDocument/2006/relationships" xmlns:m="http://schemas.openxmlformats.org/officeDocument/2006/math">
  <w:p>
    <w:pPr>
      <w:jc w:val="center"/>
    </w:pP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defaultTabStop w:val="420"/>
  <w:characterSpacingControl w:val="compressPunctuation"/>
  <w:footnotePr>
    <w:footnote w:id="-1"/>
    <w:footnote w:id="0"/>
  </w:footnotePr>
  <w:compat>
    <w:compatSetting w:name="compatibilityMode" w:uri="http://schemas.microsoft.com/office/word" w:val="15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宋体" w:hAnsi="Times New Roman"/>
        <w:sz w:val="21"/>
        <w:szCs w:val="21"/>
        <w:lang w:bidi="ar-SA" w:eastAsia="zh-CN" w:val="en-US"/>
      </w:rPr>
    </w:rPrDefault>
    <w:pPrDefault>
      <w:pPr>
        <w:spacing w:after="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 w:val="0"/>
      <w:jc w:val="both"/>
    </w:pPr>
    <w:rPr>
      <w:rFonts w:ascii="Times New Roman" w:cs="Times New Roman" w:eastAsia="宋体" w:hAnsi="Times New Roman"/>
      <w:sz w:val="21"/>
      <w:szCs w:val="21"/>
    </w:rPr>
  </w:style>
  <w:style w:styleId="BodyText" w:type="paragraph">
    <w:name w:val="Body Text"/>
    <w:basedOn w:val="Normal"/>
    <w:qFormat/>
    <w:pPr>
      <w:spacing w:after="0" w:before="0"/>
      <w:ind w:firstLine="420" w:firstLineChars="200"/>
    </w:pPr>
    <w:rPr/>
  </w:style>
  <w:style w:customStyle="1" w:styleId="FirstParagraph" w:type="paragraph">
    <w:name w:val="First Paragraph"/>
    <w:basedOn w:val="BodyText"/>
    <w:next w:val="BodyText"/>
    <w:qFormat/>
    <w:pPr/>
    <w:rPr/>
  </w:style>
  <w:style w:customStyle="1" w:styleId="Compact" w:type="paragraph">
    <w:name w:val="Compact"/>
    <w:basedOn w:val="Normal"/>
    <w:qFormat/>
    <w:pPr>
      <w:spacing w:after="24" w:before="24" w:line="240" w:lineRule="auto"/>
      <w:jc w:val="center"/>
    </w:pPr>
    <w:rPr>
      <w:sz w:val="18"/>
      <w:szCs w:val="18"/>
    </w:rPr>
  </w:style>
  <w:style w:styleId="Title" w:type="paragraph">
    <w:name w:val="Title"/>
    <w:basedOn w:val="Normal"/>
    <w:next w:val="BodyText"/>
    <w:qFormat/>
    <w:pPr>
      <w:keepNext/>
      <w:spacing w:after="80" w:before="120" w:line="240" w:lineRule="auto"/>
      <w:jc w:val="center"/>
    </w:pPr>
    <w:rPr>
      <w:rFonts w:ascii="Times New Roman" w:cs="Times New Roman" w:eastAsia="黑体" w:hAnsi="Times New Roman"/>
      <w:b/>
      <w:sz w:val="32"/>
      <w:szCs w:val="32"/>
    </w:rPr>
  </w:style>
  <w:style w:styleId="Subtitle" w:type="paragraph">
    <w:name w:val="Subtitle"/>
    <w:basedOn w:val="Normal"/>
    <w:next w:val="BodyText"/>
    <w:qFormat/>
    <w:pPr>
      <w:spacing w:after="240" w:before="0" w:line="240" w:lineRule="auto"/>
      <w:jc w:val="center"/>
    </w:pPr>
    <w:rPr>
      <w:rFonts w:ascii="Times New Roman" w:cs="Times New Roman" w:eastAsia="楷体" w:hAnsi="Times New Roman"/>
      <w:sz w:val="24"/>
      <w:szCs w:val="24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qFormat/>
    <w:pPr>
      <w:keepNext/>
      <w:keepLines/>
      <w:spacing w:after="120" w:before="240"/>
      <w:jc w:val="left"/>
      <w:outlineLvl w:val="0"/>
    </w:pPr>
    <w:rPr>
      <w:rFonts w:ascii="Times New Roman" w:cs="Times New Roman" w:eastAsia="黑体" w:hAnsi="Times New Roman"/>
      <w:color w:val="000000"/>
      <w:sz w:val="28"/>
      <w:szCs w:val="28"/>
    </w:rPr>
  </w:style>
  <w:style w:styleId="Heading2" w:type="paragraph">
    <w:name w:val="heading 2"/>
    <w:basedOn w:val="Normal"/>
    <w:next w:val="BodyText"/>
    <w:qFormat/>
    <w:pPr>
      <w:keepNext/>
      <w:keepLines/>
      <w:spacing w:after="60" w:before="120"/>
      <w:jc w:val="left"/>
      <w:outlineLvl w:val="1"/>
    </w:pPr>
    <w:rPr>
      <w:rFonts w:ascii="Times New Roman" w:cs="Times New Roman" w:eastAsia="黑体" w:hAnsi="Times New Roman"/>
      <w:color w:val="000000"/>
      <w:sz w:val="24"/>
      <w:szCs w:val="24"/>
    </w:rPr>
  </w:style>
  <w:style w:styleId="Heading3" w:type="paragraph">
    <w:name w:val="heading 3"/>
    <w:basedOn w:val="Normal"/>
    <w:next w:val="BodyText"/>
    <w:qFormat/>
    <w:pPr>
      <w:keepNext/>
      <w:keepLines/>
      <w:spacing w:after="60" w:before="120"/>
      <w:outlineLvl w:val="2"/>
    </w:pPr>
    <w:rPr>
      <w:rFonts w:ascii="Times New Roman" w:cs="Times New Roman" w:eastAsia="黑体" w:hAnsi="Times New Roman"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qFormat/>
    <w:pPr>
      <w:spacing w:after="120" w:before="60" w:line="240" w:lineRule="auto"/>
      <w:jc w:val="center"/>
    </w:pPr>
    <w:rPr>
      <w:sz w:val="18"/>
      <w:szCs w:val="18"/>
    </w:rPr>
  </w:style>
  <w:style w:customStyle="1" w:styleId="TableCaption" w:type="paragraph">
    <w:name w:val="Table Caption"/>
    <w:basedOn w:val="Caption"/>
    <w:qFormat/>
    <w:pPr>
      <w:keepNext/>
      <w:spacing w:after="60" w:before="160"/>
    </w:pPr>
    <w:rPr/>
  </w:style>
  <w:style w:customStyle="1" w:styleId="ImageCaption" w:type="paragraph">
    <w:name w:val="Image Caption"/>
    <w:basedOn w:val="Caption"/>
    <w:qFormat/>
    <w:pPr>
      <w:spacing w:after="200" w:before="40"/>
    </w:pPr>
    <w:rPr/>
  </w:style>
  <w:style w:customStyle="1" w:styleId="Figure" w:type="paragraph">
    <w:name w:val="Figure"/>
    <w:basedOn w:val="Normal"/>
    <w:qFormat/>
    <w:pPr>
      <w:keepNext/>
      <w:spacing w:after="0" w:before="120" w:line="240" w:lineRule="auto"/>
      <w:jc w:val="center"/>
    </w:pPr>
    <w:rPr/>
  </w:style>
  <w:style w:customStyle="1" w:styleId="CaptionedFigure" w:type="paragraph">
    <w:name w:val="Captioned Figure"/>
    <w:basedOn w:val="Figure"/>
    <w:qFormat/>
    <w:pPr>
      <w:keepNext/>
    </w:pPr>
    <w:rPr/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iYao" w:type="paragraph">
    <w:name w:val="提要"/>
    <w:basedOn w:val="Normal"/>
    <w:qFormat/>
    <w:pPr>
      <w:spacing w:after="240" w:before="60" w:line="288" w:lineRule="auto"/>
      <w:ind w:firstLine="360" w:firstLineChars="200" w:left="420" w:right="420"/>
    </w:pPr>
    <w:rPr>
      <w:rFonts w:ascii="Times New Roman" w:cs="Times New Roman" w:eastAsia="楷体" w:hAnsi="Times New Roman"/>
      <w:sz w:val="18"/>
      <w:szCs w:val="18"/>
    </w:rPr>
  </w:style>
  <w:style w:customStyle="1" w:styleId="CanKao" w:type="paragraph">
    <w:name w:val="参考文献"/>
    <w:basedOn w:val="Normal"/>
    <w:qFormat/>
    <w:pPr>
      <w:spacing w:after="40" w:before="0" w:line="276" w:lineRule="auto"/>
      <w:ind w:hanging="420" w:left="420"/>
    </w:pPr>
    <w:rPr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Id="rIdFooter1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信号源参数精确估计技术</dc:title>
  <dc:creator/>
  <cp:keywords/>
  <dcterms:created xsi:type="dcterms:W3CDTF">2026-10-14T08:58:54Z</dcterms:created>
  <dcterms:modified xsi:type="dcterms:W3CDTF">2026-10-14T08:58:54Z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——基于低轨卫星OFDM信号盲识别的原理与验证</vt:lpwstr>
  </property>
</Properties>
</file>