
<file path=[Content_Types].xml><?xml version="1.0" encoding="utf-8"?>
<Types xmlns="http://schemas.openxmlformats.org/package/2006/content-types">
  <Default Extension="png" ContentType="image/png"/>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45.png" ContentType="image/png"/>
  <Override PartName="/word/media/rId20.png" ContentType="image/png"/>
  <Override PartName="/word/media/rId57.png" ContentType="image/png"/>
  <Override PartName="/word/media/rId78.png" ContentType="image/png"/>
  <Override PartName="/word/media/rId75.png" ContentType="image/png"/>
  <Override PartName="/word/media/rId85.png" ContentType="image/png"/>
  <Override PartName="/word/media/rId71.png" ContentType="image/png"/>
  <Override PartName="/word/media/rId68.png" ContentType="image/png"/>
  <Override PartName="/word/media/rId81.png" ContentType="image/png"/>
  <Override PartName="/word/media/rId40.png" ContentType="image/png"/>
  <Override PartName="/word/media/rId103.png" ContentType="image/png"/>
  <Override PartName="/word/media/rId96.png" ContentType="image/png"/>
  <Override PartName="/word/media/rId92.png" ContentType="image/png"/>
  <Override PartName="/word/media/rId100.png" ContentType="image/png"/>
  <Override PartName="/word/media/rId89.png" ContentType="image/png"/>
  <Override PartName="/word/media/rId35.png" ContentType="image/png"/>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2发5收分布式探测系统相参融合检测算法方案</w:t>
      </w:r>
    </w:p>
    <w:p>
      <w:pPr>
        <w:pStyle w:val="Subtitle"/>
      </w:pPr>
      <w:r>
        <w:t xml:space="preserve">——基于被动MIMO雷达与空间相参多基地检测理论的10链路信号级融合</w:t>
      </w:r>
    </w:p>
    <w:p>
      <w:pPr>
        <w:pStyle w:val="TiYao"/>
      </w:pPr>
      <w:r>
        <w:rPr>
          <w:b/>
          <w:bCs/>
        </w:rPr>
        <w:t xml:space="preserve">内容提要：</w:t>
      </w:r>
      <w:r>
        <w:t xml:space="preserve">针对由2个非合作信号源与5个接收站构成的分布式探测系统（每站配置参考天线与监视天线，共10条双基地链路），本文以被动MIMO雷达网络集中式检测</w:t>
      </w:r>
      <w:r>
        <w:rPr>
          <w:vertAlign w:val="superscript"/>
        </w:rPr>
        <w:t xml:space="preserve">[1,2]</w:t>
      </w:r>
      <w:r>
        <w:t xml:space="preserve">与空间相参/非相参多基地检测理论</w:t>
      </w:r>
      <w:r>
        <w:rPr>
          <w:vertAlign w:val="superscript"/>
        </w:rPr>
        <w:t xml:space="preserve">[4]</w:t>
      </w:r>
      <w:r>
        <w:t xml:space="preserve">为主要依据，给出10条链路回波的相参融合检测方案。方案的要点是：各接收站以“本站接收的该信号源直达波”作为相位基准完成互模糊处理，使信号源与接收站的载频、初相和相位噪声自动抵消，从而</w:t>
      </w:r>
      <w:r>
        <w:rPr>
          <w:b/>
          <w:bCs/>
        </w:rPr>
        <w:t xml:space="preserve">无需两个信号源之间的时间同步与相位锁定</w:t>
      </w:r>
      <w:r>
        <w:t xml:space="preserve">；融合中心在目标状态空间先进行非相参粗检测，再按亚波长网格进行相位补偿与相参精搜索，并按目标散射相参性自适应选择相参或非相参支路。文中给出了实现相参所需的两信号源条件（照射同时性、载频差、视角差、波形与相位稳定性）及接收站条件（频率基准、时间同步、站址精度与通道标定），以及各站回波处理流程。仿真表明：10条链路相参融合后的输出信噪比较单链路平均值提高 9.89 dB（理论值10 dB）；若不保留直达波相位基准或不进行通道相位标定，相参增益基本丧失；点目标条件下，</w:t>
      </w:r>
      <m:oMath>
        <m:sSub>
          <m:e>
            <m:r>
              <m:t>P</m:t>
            </m:r>
          </m:e>
          <m:sub>
            <m:r>
              <m:t>d</m:t>
            </m:r>
          </m:sub>
        </m:sSub>
        <m:r>
          <m:rPr>
            <m:sty m:val="p"/>
          </m:rPr>
          <m:t>=</m:t>
        </m:r>
        <m:r>
          <m:t>0.9</m:t>
        </m:r>
      </m:oMath>
      <w:r>
        <w:t xml:space="preserve">、</w:t>
      </w:r>
      <m:oMath>
        <m:sSub>
          <m:e>
            <m:r>
              <m:t>P</m:t>
            </m:r>
          </m:e>
          <m:sub>
            <m:r>
              <m:t>f</m:t>
            </m:r>
            <m:r>
              <m:t>a</m:t>
            </m:r>
          </m:sub>
        </m:sSub>
        <m:r>
          <m:rPr>
            <m:sty m:val="p"/>
          </m:rPr>
          <m:t>=</m:t>
        </m:r>
        <m:sSup>
          <m:e>
            <m:r>
              <m:t>10</m:t>
            </m:r>
          </m:e>
          <m:sup>
            <m:r>
              <m:rPr>
                <m:sty m:val="p"/>
              </m:rPr>
              <m:t>−</m:t>
            </m:r>
            <m:r>
              <m:t>6</m:t>
            </m:r>
          </m:sup>
        </m:sSup>
      </m:oMath>
      <w:r>
        <w:t xml:space="preserve"> </w:t>
      </w:r>
      <w:r>
        <w:t xml:space="preserve">所需单链路平均信噪比由最佳单链路检测的 11.6 dB 降至 4.4 dB，较非相参融合再降低 0.8 dB；当目标尺寸超过约 1 m 时，散射去相关使非相参融合更优，相参/非相参双支路检测在各种情况下均接近两者中的较优者。</w:t>
      </w:r>
    </w:p>
    <w:bookmarkStart w:id="25" w:name="背景与需求"/>
    <w:p>
      <w:pPr>
        <w:pStyle w:val="Heading1"/>
      </w:pPr>
      <w:r>
        <w:t xml:space="preserve">1 背景与需求</w:t>
      </w:r>
    </w:p>
    <w:bookmarkStart w:id="23" w:name="系统组成"/>
    <w:p>
      <w:pPr>
        <w:pStyle w:val="Heading2"/>
      </w:pPr>
      <w:r>
        <w:t xml:space="preserve">1.1 系统组成</w:t>
      </w:r>
    </w:p>
    <w:p>
      <w:pPr>
        <w:pStyle w:val="FirstParagraph"/>
      </w:pPr>
      <w:r>
        <w:t xml:space="preserve">本项目采用“2发5收”分布式探测体制：以两个非合作信号源（广播、通信或卫星下行信号，记为T1、T2）作为照射源，在不同站址部署5个接收站（R1~R5）。每个接收站配置两路接收通道：参考天线对准信号源，接收直达波作为参考信号；监视天线对准监视空域，接收飞行目标的散射回波。每个“信号源—接收站”组合构成一条双基地链路，系统共有</w:t>
      </w:r>
      <w:r>
        <w:t xml:space="preserve"> </w:t>
      </w:r>
      <m:oMath>
        <m:r>
          <m:t>2</m:t>
        </m:r>
        <m:r>
          <m:rPr>
            <m:sty m:val="p"/>
          </m:rPr>
          <m:t>×</m:t>
        </m:r>
        <m:r>
          <m:t>5</m:t>
        </m:r>
        <m:r>
          <m:rPr>
            <m:sty m:val="p"/>
          </m:rPr>
          <m:t>=</m:t>
        </m:r>
        <m:r>
          <m:t>10</m:t>
        </m:r>
      </m:oMath>
      <w:r>
        <w:t xml:space="preserve"> </w:t>
      </w:r>
      <w:r>
        <w:t xml:space="preserve">条链路，记为 T</w:t>
      </w:r>
      <m:oMath>
        <m:r>
          <m:t>i</m:t>
        </m:r>
      </m:oMath>
      <w:r>
        <w:t xml:space="preserve">R</w:t>
      </w:r>
      <m:oMath>
        <m:r>
          <m:t>j</m:t>
        </m:r>
      </m:oMath>
      <w:r>
        <w:t xml:space="preserve">（</w:t>
      </w:r>
      <m:oMath>
        <m:r>
          <m:t>i</m:t>
        </m:r>
        <m:r>
          <m:rPr>
            <m:sty m:val="p"/>
          </m:rPr>
          <m:t>=</m:t>
        </m:r>
        <m:r>
          <m:t>1</m:t>
        </m:r>
        <m:r>
          <m:rPr>
            <m:sty m:val="p"/>
          </m:rPr>
          <m:t>,</m:t>
        </m:r>
        <m:r>
          <m:t>2</m:t>
        </m:r>
      </m:oMath>
      <w:r>
        <w:t xml:space="preserve">；</w:t>
      </w:r>
      <m:oMath>
        <m:r>
          <m:t>j</m:t>
        </m:r>
        <m:r>
          <m:rPr>
            <m:sty m:val="p"/>
          </m:rPr>
          <m:t>=</m:t>
        </m:r>
        <m:r>
          <m:t>1</m:t>
        </m:r>
        <m:r>
          <m:rPr>
            <m:sty m:val="p"/>
          </m:rPr>
          <m:t>,</m:t>
        </m:r>
        <m:r>
          <m:rPr>
            <m:sty m:val="p"/>
          </m:rPr>
          <m:t>⋯</m:t>
        </m:r>
        <m:r>
          <m:rPr>
            <m:sty m:val="p"/>
          </m:rPr>
          <m:t>,</m:t>
        </m:r>
        <m:r>
          <m:t>5</m:t>
        </m:r>
      </m:oMath>
      <w:r>
        <w:t xml:space="preserve">），链路序号</w:t>
      </w:r>
      <w:r>
        <w:t xml:space="preserve"> </w:t>
      </w:r>
      <m:oMath>
        <m:r>
          <m:t>l</m:t>
        </m:r>
        <m:r>
          <m:rPr>
            <m:sty m:val="p"/>
          </m:rPr>
          <m:t>=</m:t>
        </m:r>
        <m:r>
          <m:t>5</m:t>
        </m:r>
        <m:d>
          <m:dPr>
            <m:begChr m:val="("/>
            <m:sepChr m:val=""/>
            <m:endChr m:val=")"/>
            <m:grow/>
          </m:dPr>
          <m:e>
            <m:r>
              <m:t>i</m:t>
            </m:r>
            <m:r>
              <m:rPr>
                <m:sty m:val="p"/>
              </m:rPr>
              <m:t>−</m:t>
            </m:r>
            <m:r>
              <m:t>1</m:t>
            </m:r>
          </m:e>
        </m:d>
        <m:r>
          <m:rPr>
            <m:sty m:val="p"/>
          </m:rPr>
          <m:t>+</m:t>
        </m:r>
        <m:r>
          <m:t>j</m:t>
        </m:r>
      </m:oMath>
      <w:r>
        <w:t xml:space="preserve">。图1为本文仿真所采用的构型：两个信号源位于接收站群西南方向约15 km处，5个接收站分布在约3 km范围内，目标为距接收站约28 km、高度1.5 km的小型无人机。</w:t>
      </w:r>
    </w:p>
    <w:p>
      <w:pPr>
        <w:pStyle w:val="CaptionedFigure"/>
      </w:pPr>
      <w:r>
        <w:drawing>
          <wp:inline>
            <wp:extent cx="5039999" cy="2664176"/>
            <wp:effectExtent b="0" l="0" r="0" t="0"/>
            <wp:docPr descr="图1 2发5收分布式探测系统构型（仿真场景）" title="" id="21" name="Picture"/>
            <a:graphic>
              <a:graphicData uri="http://schemas.openxmlformats.org/drawingml/2006/picture">
                <pic:pic>
                  <pic:nvPicPr>
                    <pic:cNvPr descr="figures/fig_geometry.png" id="22" name="Picture"/>
                    <pic:cNvPicPr>
                      <a:picLocks noChangeArrowheads="1" noChangeAspect="1"/>
                    </pic:cNvPicPr>
                  </pic:nvPicPr>
                  <pic:blipFill>
                    <a:blip r:embed="rId20"/>
                    <a:stretch>
                      <a:fillRect/>
                    </a:stretch>
                  </pic:blipFill>
                  <pic:spPr bwMode="auto">
                    <a:xfrm>
                      <a:off x="0" y="0"/>
                      <a:ext cx="5039999" cy="2664176"/>
                    </a:xfrm>
                    <a:prstGeom prst="rect">
                      <a:avLst/>
                    </a:prstGeom>
                    <a:noFill/>
                    <a:ln w="9525">
                      <a:noFill/>
                      <a:headEnd/>
                      <a:tailEnd/>
                    </a:ln>
                  </pic:spPr>
                </pic:pic>
              </a:graphicData>
            </a:graphic>
          </wp:inline>
        </w:drawing>
      </w:r>
    </w:p>
    <w:p>
      <w:pPr>
        <w:pStyle w:val="ImageCaption"/>
      </w:pPr>
      <w:r>
        <w:t xml:space="preserve">图1 2发5收分布式探测系统构型（仿真场景）</w:t>
      </w:r>
    </w:p>
    <w:bookmarkEnd w:id="23"/>
    <w:bookmarkStart w:id="24" w:name="相参融合的需求与难点"/>
    <w:p>
      <w:pPr>
        <w:pStyle w:val="Heading2"/>
      </w:pPr>
      <w:r>
        <w:t xml:space="preserve">1.2 相参融合的需求与难点</w:t>
      </w:r>
    </w:p>
    <w:p>
      <w:pPr>
        <w:pStyle w:val="FirstParagraph"/>
      </w:pPr>
      <w:r>
        <w:t xml:space="preserve">非合作信号源的发射功率与波形均不受控，单条链路对小型无人机等微弱飞行目标的输出信噪比往往不足以完成检测。若能将10条链路的回波在信号层面相参合成，理想情况下融合输出信噪比等于各链路信噪比之和，在链路信噪比相近时可提高约</w:t>
      </w:r>
      <w:r>
        <w:t xml:space="preserve"> </w:t>
      </w:r>
      <m:oMath>
        <m:r>
          <m:t>10</m:t>
        </m:r>
        <m:r>
          <m:rPr>
            <m:sty m:val="p"/>
          </m:rPr>
          <m:t>lg</m:t>
        </m:r>
        <m:r>
          <m:t>10</m:t>
        </m:r>
        <m:r>
          <m:rPr>
            <m:sty m:val="p"/>
          </m:rPr>
          <m:t>=</m:t>
        </m:r>
        <m:r>
          <m:t>10</m:t>
        </m:r>
      </m:oMath>
      <w:r>
        <w:t xml:space="preserve"> </w:t>
      </w:r>
      <w:r>
        <w:t xml:space="preserve">dB，这正是项目“时域×多源×多站三维相参融合”中“多信号源间相参”与“分布式接收站间相参”的核心内容。与单站雷达的脉冲间相参积累相比，分布式多源多站相参融合面临以下难点：</w:t>
      </w:r>
    </w:p>
    <w:p>
      <w:pPr>
        <w:pStyle w:val="BodyText"/>
      </w:pPr>
      <w:r>
        <w:t xml:space="preserve">（1）信号源非合作：两个信号源之间、信号源与接收站之间均不存在时间与相位同步，发射载频偏差、初相及相位噪声未知；</w:t>
      </w:r>
    </w:p>
    <w:p>
      <w:pPr>
        <w:pStyle w:val="BodyText"/>
      </w:pPr>
      <w:r>
        <w:t xml:space="preserve">（2）接收站分布式部署：各站本振与时钟相互独立，站址相距数公里，各链路回波相位随目标位置以波长为周期剧烈变化；</w:t>
      </w:r>
    </w:p>
    <w:p>
      <w:pPr>
        <w:pStyle w:val="BodyText"/>
      </w:pPr>
      <w:r>
        <w:t xml:space="preserve">（3）目标散射的空间与频率去相关：不同链路从不同视角、以不同载频照射目标，目标的复散射系数不一定相同；</w:t>
      </w:r>
    </w:p>
    <w:p>
      <w:pPr>
        <w:pStyle w:val="BodyText"/>
      </w:pPr>
      <w:r>
        <w:t xml:space="preserve">（4）相参处理需要亚波长级的目标位置假设：几何相位以波长（UHF频段约0.46 m）为周期变化，而距离分辨单元约43 m。</w:t>
      </w:r>
    </w:p>
    <w:p>
      <w:pPr>
        <w:pStyle w:val="BodyText"/>
      </w:pPr>
      <w:r>
        <w:t xml:space="preserve">本方案的目标是：给出10链路相参融合检测算法，明确实现相参所需满足的条件（特别是两个信号源之间的条件）与各接收站回波的处理流程，并以仿真实验验证其性能与适用边界。</w:t>
      </w:r>
    </w:p>
    <w:bookmarkEnd w:id="24"/>
    <w:bookmarkEnd w:id="25"/>
    <w:bookmarkStart w:id="29" w:name="参考文献与技术路线"/>
    <w:p>
      <w:pPr>
        <w:pStyle w:val="Heading1"/>
      </w:pPr>
      <w:r>
        <w:t xml:space="preserve">2 参考文献与技术路线</w:t>
      </w:r>
    </w:p>
    <w:bookmarkStart w:id="26" w:name="相关研究概况"/>
    <w:p>
      <w:pPr>
        <w:pStyle w:val="Heading2"/>
      </w:pPr>
      <w:r>
        <w:t xml:space="preserve">2.1 相关研究概况</w:t>
      </w:r>
    </w:p>
    <w:p>
      <w:pPr>
        <w:pStyle w:val="FirstParagraph"/>
      </w:pPr>
      <w:r>
        <w:rPr>
          <w:b/>
          <w:bCs/>
        </w:rPr>
        <w:t xml:space="preserve">被动MIMO雷达与多基地被动雷达检测。</w:t>
      </w:r>
      <w:r>
        <w:t xml:space="preserve">Hack、Patton、Himed与Saville</w:t>
      </w:r>
      <w:r>
        <w:rPr>
          <w:vertAlign w:val="superscript"/>
        </w:rPr>
        <w:t xml:space="preserve">[1,2]</w:t>
      </w:r>
      <w:r>
        <w:t xml:space="preserve">针对由多个非合作照射源和多个双通道（参考/监视）接收站构成的被动MIMO雷达网络，建立了参考通道与监视通道联合的信号模型，分别推导了存在直达波参考信号与不存在直达波参考信号两种情况下的集中式广义似然比检测器（GLRT），论证了在融合中心对全部“发射—接收”通道联合检测的优势。Liu、Li与Himed</w:t>
      </w:r>
      <w:r>
        <w:rPr>
          <w:vertAlign w:val="superscript"/>
        </w:rPr>
        <w:t xml:space="preserve">[3]</w:t>
      </w:r>
      <w:r>
        <w:t xml:space="preserve">针对单照射源、多接收站的被动多基地雷达，提出了需已知噪声功率的广义典型相关检测器与具有恒虚警特性的GLRT检测器。上述工作构成了“多源多站被动雷达集中式检测”的理论框架，这类工作通常将各“发射—接收”对的目标散射系数视为相互独立的未知量，链路间实际上以非相参方式合并。</w:t>
      </w:r>
    </w:p>
    <w:p>
      <w:pPr>
        <w:pStyle w:val="BodyText"/>
      </w:pPr>
      <w:r>
        <w:rPr>
          <w:b/>
          <w:bCs/>
        </w:rPr>
        <w:t xml:space="preserve">空间相参与空间非相参多基地检测。</w:t>
      </w:r>
      <w:r>
        <w:t xml:space="preserve">Derham等</w:t>
      </w:r>
      <w:r>
        <w:rPr>
          <w:vertAlign w:val="superscript"/>
        </w:rPr>
        <w:t xml:space="preserve">[4]</w:t>
      </w:r>
      <w:r>
        <w:t xml:space="preserve">由最优检测器出发推导了多基地雷达的模糊函数，指出最优检测器的形式取决于目标起伏在各接收站之间的空间相参性：空间相参时各通道匹配滤波输出相参求和，空间非相参时各通道输出能量求和；所得模糊函数可在二维/三维的位置—速度空间评估任意波形与布站的分辨性能。Fishler等</w:t>
      </w:r>
      <w:r>
        <w:rPr>
          <w:vertAlign w:val="superscript"/>
        </w:rPr>
        <w:t xml:space="preserve">[5]</w:t>
      </w:r>
      <w:r>
        <w:t xml:space="preserve">与Haimovich等</w:t>
      </w:r>
      <w:r>
        <w:rPr>
          <w:vertAlign w:val="superscript"/>
        </w:rPr>
        <w:t xml:space="preserve">[6]</w:t>
      </w:r>
      <w:r>
        <w:t xml:space="preserve">针对天线广泛分布的MIMO雷达指出：当收发站间距足够大时目标散射在各通道间去相关，最优检测器退化为非相参处理并获得空间分集增益；而在相参处理条件下，可获得远超波形分辨率的定位精度。Godrich等</w:t>
      </w:r>
      <w:r>
        <w:rPr>
          <w:vertAlign w:val="superscript"/>
        </w:rPr>
        <w:t xml:space="preserve">[7]</w:t>
      </w:r>
      <w:r>
        <w:t xml:space="preserve">证明相参处理的定位克拉美-罗界与载频成反比（非相参时与信号有效带宽成反比），并在文献[8]中分析了相位同步误差对相参MIMO雷达定位性能的影响。Gogineni等</w:t>
      </w:r>
      <w:r>
        <w:rPr>
          <w:vertAlign w:val="superscript"/>
        </w:rPr>
        <w:t xml:space="preserve">[9]</w:t>
      </w:r>
      <w:r>
        <w:t xml:space="preserve">以UMTS信号为例分析了被动多基地雷达在相参与非相参两种模式下的模糊函数。</w:t>
      </w:r>
    </w:p>
    <w:p>
      <w:pPr>
        <w:pStyle w:val="BodyText"/>
      </w:pPr>
      <w:r>
        <w:rPr>
          <w:b/>
          <w:bCs/>
        </w:rPr>
        <w:t xml:space="preserve">分布式相参合成与同步。</w:t>
      </w:r>
      <w:r>
        <w:t xml:space="preserve">分布式孔径相参合成雷达通过估计各单元雷达间的时延差与相位差（相参参数）实现多孔径相参合成</w:t>
      </w:r>
      <w:r>
        <w:rPr>
          <w:vertAlign w:val="superscript"/>
        </w:rPr>
        <w:t xml:space="preserve">[10,11]</w:t>
      </w:r>
      <w:r>
        <w:t xml:space="preserve">；万显荣等</w:t>
      </w:r>
      <w:r>
        <w:rPr>
          <w:vertAlign w:val="superscript"/>
        </w:rPr>
        <w:t xml:space="preserve">[12]</w:t>
      </w:r>
      <w:r>
        <w:t xml:space="preserve">针对分布式数字广播电视外辐射源雷达，提出了基于GPS授时的站间时间与频率同步方案并完成了外场测试；Zheng等</w:t>
      </w:r>
      <w:r>
        <w:rPr>
          <w:vertAlign w:val="superscript"/>
        </w:rPr>
        <w:t xml:space="preserve">[13]</w:t>
      </w:r>
      <w:r>
        <w:t xml:space="preserve">在GNSS外辐射源雷达中将多颗卫星信号相参积累用于成像，相对多图像非相参融合获得了更高的增益。</w:t>
      </w:r>
    </w:p>
    <w:p>
      <w:pPr>
        <w:pStyle w:val="BodyText"/>
      </w:pPr>
      <w:r>
        <w:rPr>
          <w:b/>
          <w:bCs/>
        </w:rPr>
        <w:t xml:space="preserve">单站信号处理。</w:t>
      </w:r>
      <w:r>
        <w:t xml:space="preserve">参考信号提纯、直达波与多径杂波对消（ECA）及距离—多普勒处理可参考文献[14,15]；长时间相参积累中的距离走动问题可借鉴Radon-Fourier变换（RFT）思想</w:t>
      </w:r>
      <w:r>
        <w:rPr>
          <w:vertAlign w:val="superscript"/>
        </w:rPr>
        <w:t xml:space="preserve">[16]</w:t>
      </w:r>
      <w:r>
        <w:t xml:space="preserve">；多基地定位与双基地雷达方程见文献[17,18,21]。</w:t>
      </w:r>
    </w:p>
    <w:bookmarkEnd w:id="26"/>
    <w:bookmarkStart w:id="27" w:name="方案所依据的核心论文"/>
    <w:p>
      <w:pPr>
        <w:pStyle w:val="Heading2"/>
      </w:pPr>
      <w:r>
        <w:t xml:space="preserve">2.2 方案所依据的核心论文</w:t>
      </w:r>
    </w:p>
    <w:p>
      <w:pPr>
        <w:pStyle w:val="FirstParagraph"/>
      </w:pPr>
      <w:r>
        <w:t xml:space="preserve">本方案以文献[1,2]的被动MIMO雷达网络模型与集中式检测框架为基础，引入文献[4]的空间相参检测模型实现链路间相参合成，并结合文献[5-8]给出的相参条件与相位误差分析、文献[10,11]的相参参数估计思想（用于相位标校），形成适用于本项目的10链路相参融合检测算法，见表1。</w:t>
      </w:r>
    </w:p>
    <w:p>
      <w:pPr>
        <w:pStyle w:val="TableCaption"/>
      </w:pPr>
      <w:r>
        <w:t xml:space="preserve">表1 核心参考论文及其在本方案中的作用</w:t>
      </w:r>
    </w:p>
    <w:tbl>
      <w:tblPr>
        <w:tblStyle w:val="Table"/>
        <w:tblW w:w="9070" w:type="dxa"/>
        <w:jc w:val="center"/>
        <w:tblBorders>
          <w:top w:val="single" w:sz="12" w:space="0" w:color="000000"/>
          <w:left w:val="nil"/>
          <w:bottom w:val="single" w:sz="12" w:space="0" w:color="000000"/>
          <w:right w:val="nil"/>
          <w:insideH w:val="nil"/>
          <w:insideV w:val="nil"/>
        </w:tblBorders>
        <w:tblLook w:firstRow="1" w:lastRow="0" w:firstColumn="0" w:lastColumn="0" w:noHBand="0" w:noVBand="0" w:val="0020"/>
        <w:tblCaption w:val="表1 核心参考论文及其在本方案中的作用"/>
      </w:tblPr>
      <w:tblGrid>
        <w:gridCol w:w="2640"/>
        <w:gridCol w:w="2640"/>
        <w:gridCol w:w="2640"/>
      </w:tblGrid>
      <w:tr>
        <w:trPr>
          <w:tblHeader w:val="true"/>
          <w:cantSplit/>
        </w:trPr>
        <w:tc>
          <w:tcPr>
            <w:tcBorders>
              <w:bottom w:val="single" w:sz="6" w:space="0" w:color="000000"/>
            </w:tcBorders>
            <w:vAlign w:val="center"/>
          </w:tcPr>
          <w:p>
            <w:pPr>
              <w:pStyle w:val="Compact"/>
              <w:keepNext/>
              <w:jc w:val="left"/>
            </w:pPr>
            <w:r>
              <w:rPr>
                <w:b/>
              </w:rPr>
              <w:t xml:space="preserve">文献</w:t>
            </w:r>
          </w:p>
        </w:tc>
        <w:tc>
          <w:tcPr>
            <w:tcBorders>
              <w:bottom w:val="single" w:sz="6" w:space="0" w:color="000000"/>
            </w:tcBorders>
            <w:vAlign w:val="center"/>
          </w:tcPr>
          <w:p>
            <w:pPr>
              <w:pStyle w:val="Compact"/>
              <w:keepNext/>
              <w:jc w:val="left"/>
            </w:pPr>
            <w:r>
              <w:rPr>
                <w:b/>
              </w:rPr>
              <w:t xml:space="preserve">主要内容</w:t>
            </w:r>
          </w:p>
        </w:tc>
        <w:tc>
          <w:tcPr>
            <w:tcBorders>
              <w:bottom w:val="single" w:sz="6" w:space="0" w:color="000000"/>
            </w:tcBorders>
            <w:vAlign w:val="center"/>
          </w:tcPr>
          <w:p>
            <w:pPr>
              <w:pStyle w:val="Compact"/>
              <w:keepNext/>
              <w:jc w:val="left"/>
            </w:pPr>
            <w:r>
              <w:rPr>
                <w:b/>
              </w:rPr>
              <w:t xml:space="preserve">在本方案中的作用</w:t>
            </w:r>
          </w:p>
        </w:tc>
      </w:tr>
      <w:tr>
        <w:trPr>
          <w:cantSplit/>
        </w:trPr>
        <w:tc>
          <w:tcPr>
            <w:vAlign w:val="center"/>
          </w:tcPr>
          <w:p>
            <w:pPr>
              <w:pStyle w:val="Compact"/>
              <w:keepNext/>
              <w:jc w:val="left"/>
            </w:pPr>
            <w:r>
              <w:t xml:space="preserve">Hack等</w:t>
            </w:r>
            <w:r>
              <w:rPr>
                <w:vertAlign w:val="superscript"/>
              </w:rPr>
              <w:t xml:space="preserve">[1,2]</w:t>
            </w:r>
          </w:p>
        </w:tc>
        <w:tc>
          <w:tcPr>
            <w:vAlign w:val="center"/>
          </w:tcPr>
          <w:p>
            <w:pPr>
              <w:pStyle w:val="Compact"/>
              <w:keepNext/>
              <w:jc w:val="left"/>
            </w:pPr>
            <w:r>
              <w:t xml:space="preserve">多照射源、多双通道接收站的被动MIMO雷达网络模型与集中式GLRT</w:t>
            </w:r>
          </w:p>
        </w:tc>
        <w:tc>
          <w:tcPr>
            <w:vAlign w:val="center"/>
          </w:tcPr>
          <w:p>
            <w:pPr>
              <w:pStyle w:val="Compact"/>
              <w:keepNext/>
              <w:jc w:val="left"/>
            </w:pPr>
            <w:r>
              <w:t xml:space="preserve">2发5收10链路的信号模型、集中式融合检测框架</w:t>
            </w:r>
          </w:p>
        </w:tc>
      </w:tr>
      <w:tr>
        <w:trPr>
          <w:cantSplit/>
        </w:trPr>
        <w:tc>
          <w:tcPr>
            <w:vAlign w:val="center"/>
          </w:tcPr>
          <w:p>
            <w:pPr>
              <w:pStyle w:val="Compact"/>
              <w:keepNext/>
              <w:jc w:val="left"/>
            </w:pPr>
            <w:r>
              <w:t xml:space="preserve">Derham等</w:t>
            </w:r>
            <w:r>
              <w:rPr>
                <w:vertAlign w:val="superscript"/>
              </w:rPr>
              <w:t xml:space="preserve">[4]</w:t>
            </w:r>
          </w:p>
        </w:tc>
        <w:tc>
          <w:tcPr>
            <w:vAlign w:val="center"/>
          </w:tcPr>
          <w:p>
            <w:pPr>
              <w:pStyle w:val="Compact"/>
              <w:keepNext/>
              <w:jc w:val="left"/>
            </w:pPr>
            <w:r>
              <w:t xml:space="preserve">空间相参/非相参多基地最优检测器及其位置—速度模糊函数</w:t>
            </w:r>
          </w:p>
        </w:tc>
        <w:tc>
          <w:tcPr>
            <w:vAlign w:val="center"/>
          </w:tcPr>
          <w:p>
            <w:pPr>
              <w:pStyle w:val="Compact"/>
              <w:keepNext/>
              <w:jc w:val="left"/>
            </w:pPr>
            <w:r>
              <w:t xml:space="preserve">目标状态空间中的相参融合统计量与非相参融合统计量</w:t>
            </w:r>
          </w:p>
        </w:tc>
      </w:tr>
      <w:tr>
        <w:trPr>
          <w:cantSplit/>
        </w:trPr>
        <w:tc>
          <w:tcPr>
            <w:vAlign w:val="center"/>
          </w:tcPr>
          <w:p>
            <w:pPr>
              <w:pStyle w:val="Compact"/>
              <w:keepNext/>
              <w:jc w:val="left"/>
            </w:pPr>
            <w:r>
              <w:t xml:space="preserve">Fishler等</w:t>
            </w:r>
            <w:r>
              <w:rPr>
                <w:vertAlign w:val="superscript"/>
              </w:rPr>
              <w:t xml:space="preserve">[5]</w:t>
            </w:r>
            <w:r>
              <w:t xml:space="preserve">、Haimovich等^[6]</w:t>
            </w:r>
          </w:p>
        </w:tc>
        <w:tc>
          <w:tcPr>
            <w:vAlign w:val="center"/>
          </w:tcPr>
          <w:p>
            <w:pPr>
              <w:pStyle w:val="Compact"/>
              <w:keepNext/>
              <w:jc w:val="left"/>
            </w:pPr>
            <w:r>
              <w:t xml:space="preserve">广域分布MIMO雷达的散射去相关与非相参分集</w:t>
            </w:r>
          </w:p>
        </w:tc>
        <w:tc>
          <w:tcPr>
            <w:vAlign w:val="center"/>
          </w:tcPr>
          <w:p>
            <w:pPr>
              <w:pStyle w:val="Compact"/>
              <w:keepNext/>
              <w:jc w:val="left"/>
            </w:pPr>
            <w:r>
              <w:t xml:space="preserve">目标散射相参条件、非相参支路</w:t>
            </w:r>
          </w:p>
        </w:tc>
      </w:tr>
      <w:tr>
        <w:trPr>
          <w:cantSplit/>
        </w:trPr>
        <w:tc>
          <w:tcPr>
            <w:vAlign w:val="center"/>
          </w:tcPr>
          <w:p>
            <w:pPr>
              <w:pStyle w:val="Compact"/>
              <w:keepNext/>
              <w:jc w:val="left"/>
            </w:pPr>
            <w:r>
              <w:t xml:space="preserve">Godrich等</w:t>
            </w:r>
            <w:r>
              <w:rPr>
                <w:vertAlign w:val="superscript"/>
              </w:rPr>
              <w:t xml:space="preserve">[7,8]</w:t>
            </w:r>
          </w:p>
        </w:tc>
        <w:tc>
          <w:tcPr>
            <w:vAlign w:val="center"/>
          </w:tcPr>
          <w:p>
            <w:pPr>
              <w:pStyle w:val="Compact"/>
              <w:keepNext/>
              <w:jc w:val="left"/>
            </w:pPr>
            <w:r>
              <w:t xml:space="preserve">相参定位精度与相位同步误差灵敏度</w:t>
            </w:r>
          </w:p>
        </w:tc>
        <w:tc>
          <w:tcPr>
            <w:vAlign w:val="center"/>
          </w:tcPr>
          <w:p>
            <w:pPr>
              <w:pStyle w:val="Compact"/>
              <w:keepNext/>
              <w:jc w:val="left"/>
            </w:pPr>
            <w:r>
              <w:t xml:space="preserve">相位误差容限、波长级相参精定位</w:t>
            </w:r>
          </w:p>
        </w:tc>
      </w:tr>
      <w:tr>
        <w:trPr>
          <w:cantSplit/>
        </w:trPr>
        <w:tc>
          <w:tcPr>
            <w:vAlign w:val="center"/>
          </w:tcPr>
          <w:p>
            <w:pPr>
              <w:pStyle w:val="Compact"/>
              <w:keepNext/>
              <w:jc w:val="left"/>
            </w:pPr>
            <w:r>
              <w:t xml:space="preserve">分布式孔径相参合成</w:t>
            </w:r>
            <w:r>
              <w:rPr>
                <w:vertAlign w:val="superscript"/>
              </w:rPr>
              <w:t xml:space="preserve">[10,11]</w:t>
            </w:r>
          </w:p>
        </w:tc>
        <w:tc>
          <w:tcPr>
            <w:vAlign w:val="center"/>
          </w:tcPr>
          <w:p>
            <w:pPr>
              <w:pStyle w:val="Compact"/>
              <w:keepNext/>
              <w:jc w:val="left"/>
            </w:pPr>
            <w:r>
              <w:t xml:space="preserve">多孔径相参参数估计与相参合成</w:t>
            </w:r>
          </w:p>
        </w:tc>
        <w:tc>
          <w:tcPr>
            <w:vAlign w:val="center"/>
          </w:tcPr>
          <w:p>
            <w:pPr>
              <w:pStyle w:val="Compact"/>
              <w:keepNext/>
              <w:jc w:val="left"/>
            </w:pPr>
            <w:r>
              <w:t xml:space="preserve">基于强目标的链路相位自校准</w:t>
            </w:r>
          </w:p>
        </w:tc>
      </w:tr>
      <w:tr>
        <w:trPr>
          <w:cantSplit/>
        </w:trPr>
        <w:tc>
          <w:tcPr>
            <w:vAlign w:val="center"/>
          </w:tcPr>
          <w:p>
            <w:pPr>
              <w:pStyle w:val="Compact"/>
              <w:jc w:val="left"/>
            </w:pPr>
            <w:r>
              <w:t xml:space="preserve">万显荣等</w:t>
            </w:r>
            <w:r>
              <w:rPr>
                <w:vertAlign w:val="superscript"/>
              </w:rPr>
              <w:t xml:space="preserve">[12]</w:t>
            </w:r>
          </w:p>
        </w:tc>
        <w:tc>
          <w:tcPr>
            <w:vAlign w:val="center"/>
          </w:tcPr>
          <w:p>
            <w:pPr>
              <w:pStyle w:val="Compact"/>
              <w:jc w:val="left"/>
            </w:pPr>
            <w:r>
              <w:t xml:space="preserve">分布式外辐射源雷达站间时频同步</w:t>
            </w:r>
          </w:p>
        </w:tc>
        <w:tc>
          <w:tcPr>
            <w:vAlign w:val="center"/>
          </w:tcPr>
          <w:p>
            <w:pPr>
              <w:pStyle w:val="Compact"/>
              <w:jc w:val="left"/>
            </w:pPr>
            <w:r>
              <w:t xml:space="preserve">接收站时频基准设计</w:t>
            </w:r>
          </w:p>
        </w:tc>
      </w:tr>
    </w:tbl>
    <w:bookmarkEnd w:id="27"/>
    <w:bookmarkStart w:id="28" w:name="技术路线"/>
    <w:p>
      <w:pPr>
        <w:pStyle w:val="Heading2"/>
      </w:pPr>
      <w:r>
        <w:t xml:space="preserve">2.3 技术路线</w:t>
      </w:r>
    </w:p>
    <w:p>
      <w:pPr>
        <w:pStyle w:val="FirstParagraph"/>
      </w:pPr>
      <w:r>
        <w:t xml:space="preserve">方案采用“站内自同步相参积累 + 中心状态空间相参融合”的两级结构（详见第5、6章）：</w:t>
      </w:r>
    </w:p>
    <w:p>
      <w:pPr>
        <w:pStyle w:val="BodyText"/>
      </w:pPr>
      <w:r>
        <w:t xml:space="preserve">（1）</w:t>
      </w:r>
      <w:r>
        <w:rPr>
          <w:b/>
          <w:bCs/>
        </w:rPr>
        <w:t xml:space="preserve">站内</w:t>
      </w:r>
      <w:r>
        <w:t xml:space="preserve">：每个接收站对两个信号源分别完成多源分离、参考信号提纯、ECA杂波对消与互模糊函数（CAF）处理，得到2条链路的复数距离—多普勒图。关键在于以本站接收的该信号源直达波作为相位基准，使信号源与本振的相位不确定性在CAF中自动抵消；</w:t>
      </w:r>
    </w:p>
    <w:p>
      <w:pPr>
        <w:pStyle w:val="BodyText"/>
      </w:pPr>
      <w:r>
        <w:t xml:space="preserve">（2）</w:t>
      </w:r>
      <w:r>
        <w:rPr>
          <w:b/>
          <w:bCs/>
        </w:rPr>
        <w:t xml:space="preserve">中心</w:t>
      </w:r>
      <w:r>
        <w:t xml:space="preserve">：融合中心在目标状态空间（位置、速度）中，按假设的目标状态读取10条链路的复数输出，先进行非相参粗检测，再进行几何相位补偿、加权与亚波长网格的相参精搜索；</w:t>
      </w:r>
    </w:p>
    <w:p>
      <w:pPr>
        <w:pStyle w:val="BodyText"/>
      </w:pPr>
      <w:r>
        <w:t xml:space="preserve">（3）</w:t>
      </w:r>
      <w:r>
        <w:rPr>
          <w:b/>
          <w:bCs/>
        </w:rPr>
        <w:t xml:space="preserve">自适应</w:t>
      </w:r>
      <w:r>
        <w:t xml:space="preserve">：依据链路间散射相参性，在10链路全相参、源间相参、站间相参与非相参之间选择融合方式，或采用相参/非相参双支路并行检测，以兼顾点状目标的相参增益与扩展目标的分集增益。</w:t>
      </w:r>
    </w:p>
    <w:bookmarkEnd w:id="28"/>
    <w:bookmarkEnd w:id="29"/>
    <w:bookmarkStart w:id="34" w:name="信号模型"/>
    <w:p>
      <w:pPr>
        <w:pStyle w:val="Heading1"/>
      </w:pPr>
      <w:r>
        <w:t xml:space="preserve">3 信号模型</w:t>
      </w:r>
    </w:p>
    <w:bookmarkStart w:id="30" w:name="收发几何与链路参数"/>
    <w:p>
      <w:pPr>
        <w:pStyle w:val="Heading2"/>
      </w:pPr>
      <w:r>
        <w:t xml:space="preserve">3.1 收发几何与链路参数</w:t>
      </w:r>
    </w:p>
    <w:p>
      <w:pPr>
        <w:pStyle w:val="FirstParagraph"/>
      </w:pPr>
      <w:r>
        <w:t xml:space="preserve">设信号源</w:t>
      </w:r>
      <w:r>
        <w:t xml:space="preserve"> </w:t>
      </w:r>
      <m:oMath>
        <m:r>
          <m:t>i</m:t>
        </m:r>
      </m:oMath>
      <w:r>
        <w:t xml:space="preserve">、接收站</w:t>
      </w:r>
      <w:r>
        <w:t xml:space="preserve"> </w:t>
      </w:r>
      <m:oMath>
        <m:r>
          <m:t>j</m:t>
        </m:r>
      </m:oMath>
      <w:r>
        <w:t xml:space="preserve"> </w:t>
      </w:r>
      <w:r>
        <w:t xml:space="preserve">与目标的位置分别为</w:t>
      </w:r>
      <w:r>
        <w:t xml:space="preserve"> </w:t>
      </w:r>
      <m:oMath>
        <m:sSub>
          <m:e>
            <m:r>
              <m:rPr>
                <m:sty m:val="b"/>
              </m:rPr>
              <m:t>t</m:t>
            </m:r>
          </m:e>
          <m:sub>
            <m:r>
              <m:t>i</m:t>
            </m:r>
          </m:sub>
        </m:sSub>
      </m:oMath>
      <w:r>
        <w:t xml:space="preserve">、</w:t>
      </w:r>
      <m:oMath>
        <m:sSub>
          <m:e>
            <m:r>
              <m:rPr>
                <m:sty m:val="b"/>
              </m:rPr>
              <m:t>r</m:t>
            </m:r>
          </m:e>
          <m:sub>
            <m:r>
              <m:t>j</m:t>
            </m:r>
          </m:sub>
        </m:sSub>
      </m:oMath>
      <w:r>
        <w:t xml:space="preserve"> </w:t>
      </w:r>
      <w:r>
        <w:t xml:space="preserve">与</w:t>
      </w:r>
      <w:r>
        <w:t xml:space="preserve"> </w:t>
      </w:r>
      <m:oMath>
        <m:r>
          <m:rPr>
            <m:sty m:val="b"/>
          </m:rPr>
          <m:t>p</m:t>
        </m:r>
        <m:d>
          <m:dPr>
            <m:begChr m:val="("/>
            <m:sepChr m:val=""/>
            <m:endChr m:val=")"/>
            <m:grow/>
          </m:dPr>
          <m:e>
            <m:r>
              <m:t>t</m:t>
            </m:r>
          </m:e>
        </m:d>
        <m:r>
          <m:rPr>
            <m:sty m:val="p"/>
          </m:rPr>
          <m:t>=</m:t>
        </m:r>
        <m:r>
          <m:rPr>
            <m:sty m:val="b"/>
          </m:rPr>
          <m:t>p</m:t>
        </m:r>
        <m:r>
          <m:rPr>
            <m:sty m:val="p"/>
          </m:rPr>
          <m:t>+</m:t>
        </m:r>
        <m:r>
          <m:rPr>
            <m:sty m:val="b"/>
          </m:rPr>
          <m:t>v</m:t>
        </m:r>
        <m:d>
          <m:dPr>
            <m:begChr m:val="("/>
            <m:sepChr m:val=""/>
            <m:endChr m:val=")"/>
            <m:grow/>
          </m:dPr>
          <m:e>
            <m:r>
              <m:t>t</m:t>
            </m:r>
            <m:r>
              <m:rPr>
                <m:sty m:val="p"/>
              </m:rPr>
              <m:t>−</m:t>
            </m:r>
            <m:sSub>
              <m:e>
                <m:r>
                  <m:t>t</m:t>
                </m:r>
              </m:e>
              <m:sub>
                <m:r>
                  <m:t>c</m:t>
                </m:r>
              </m:sub>
            </m:sSub>
          </m:e>
        </m:d>
      </m:oMath>
      <w:r>
        <w:t xml:space="preserve">，其中</w:t>
      </w:r>
      <w:r>
        <w:t xml:space="preserve"> </w:t>
      </w:r>
      <m:oMath>
        <m:sSub>
          <m:e>
            <m:r>
              <m:t>t</m:t>
            </m:r>
          </m:e>
          <m:sub>
            <m:r>
              <m:t>c</m:t>
            </m:r>
          </m:sub>
        </m:sSub>
      </m:oMath>
      <w:r>
        <w:t xml:space="preserve"> </w:t>
      </w:r>
      <w:r>
        <w:t xml:space="preserve">为相参处理间隔（CPI）中心时刻，</w:t>
      </w:r>
      <m:oMath>
        <m:r>
          <m:rPr>
            <m:sty m:val="b"/>
          </m:rPr>
          <m:t>p</m:t>
        </m:r>
      </m:oMath>
      <w:r>
        <w:t xml:space="preserve">、</w:t>
      </w:r>
      <m:oMath>
        <m:r>
          <m:rPr>
            <m:sty m:val="b"/>
          </m:rPr>
          <m:t>v</m:t>
        </m:r>
      </m:oMath>
      <w:r>
        <w:t xml:space="preserve"> </w:t>
      </w:r>
      <w:r>
        <w:t xml:space="preserve">为该时刻目标的位置与速度，目标状态记为</w:t>
      </w:r>
      <w:r>
        <w:t xml:space="preserve"> </w:t>
      </w:r>
      <m:oMath>
        <m:r>
          <m:rPr>
            <m:sty m:val="b"/>
          </m:rPr>
          <m:t>θ</m:t>
        </m:r>
        <m:r>
          <m:rPr>
            <m:sty m:val="p"/>
          </m:rPr>
          <m:t>=</m:t>
        </m:r>
        <m:d>
          <m:dPr>
            <m:begChr m:val="("/>
            <m:sepChr m:val=""/>
            <m:endChr m:val=")"/>
            <m:grow/>
          </m:dPr>
          <m:e>
            <m:r>
              <m:rPr>
                <m:sty m:val="b"/>
              </m:rPr>
              <m:t>p</m:t>
            </m:r>
            <m:r>
              <m:rPr>
                <m:sty m:val="p"/>
              </m:rPr>
              <m:t>,</m:t>
            </m:r>
            <m:r>
              <m:rPr>
                <m:sty m:val="b"/>
              </m:rPr>
              <m:t>v</m:t>
            </m:r>
          </m:e>
        </m:d>
      </m:oMath>
      <w:r>
        <w:t xml:space="preserve">。被动雷达测量的是回波相对直达波的双基地距离差，链路</w:t>
      </w:r>
      <w:r>
        <w:t xml:space="preserve"> </w:t>
      </w:r>
      <m:oMath>
        <m:r>
          <m:t>l</m:t>
        </m:r>
        <m:r>
          <m:rPr>
            <m:sty m:val="p"/>
          </m:rPr>
          <m:t>=</m:t>
        </m:r>
        <m:d>
          <m:dPr>
            <m:begChr m:val="("/>
            <m:sepChr m:val=""/>
            <m:endChr m:val=")"/>
            <m:grow/>
          </m:dPr>
          <m:e>
            <m:r>
              <m:t>i</m:t>
            </m:r>
            <m:r>
              <m:rPr>
                <m:sty m:val="p"/>
              </m:rPr>
              <m:t>,</m:t>
            </m:r>
            <m:r>
              <m:t>j</m:t>
            </m:r>
          </m:e>
        </m:d>
      </m:oMath>
      <w:r>
        <w:t xml:space="preserve"> </w:t>
      </w:r>
      <w:r>
        <w:t xml:space="preserve">的双基地距离差为</w:t>
      </w:r>
    </w:p>
    <w:tbl>
      <w:tblPr>
        <w:tblW w:w="9070" w:type="dxa"/>
        <w:jc w:val="center"/>
        <w:tblBorders>
          <w:top w:val="nil"/>
          <w:left w:val="nil"/>
          <w:bottom w:val="nil"/>
          <w:right w:val="nil"/>
          <w:insideH w:val="nil"/>
          <w:insideV w:val="nil"/>
        </w:tblBorders>
        <w:tblLayout w:type="fixed"/>
        <w:tblCellMar>
          <w:left w:w="0" w:type="dxa"/>
          <w:right w:w="0" w:type="dxa"/>
        </w:tblCellMar>
        <w:tblLook w:val="0000" w:firstRow="0" w:lastRow="0" w:firstColumn="0" w:lastColumn="0" w:noHBand="1" w:noVBand="1"/>
      </w:tblPr>
      <w:tblGrid>
        <w:gridCol w:w="900"/>
        <w:gridCol w:w="7270"/>
        <w:gridCol w:w="900"/>
      </w:tblGrid>
      <w:tr>
        <w:trPr>
          <w:cantSplit/>
        </w:trPr>
        <w:tc>
          <w:tcPr>
            <w:tcW w:w="900" w:type="dxa"/>
            <w:vAlign w:val="center"/>
          </w:tcPr>
          <w:p>
            <w:pPr>
              <w:spacing w:before="0" w:after="0"/>
            </w:pPr>
          </w:p>
        </w:tc>
        <w:tc>
          <w:tcPr>
            <w:tcW w:w="7270" w:type="dxa"/>
            <w:vAlign w:val="center"/>
          </w:tcPr>
          <w:p>
            <w:pPr>
              <w:spacing w:before="20" w:after="20" w:line="240" w:lineRule="auto"/>
              <w:jc w:val="center"/>
            </w:pPr>
            <m:oMathPara>
              <m:oMathParaPr>
                <m:jc m:val="center"/>
              </m:oMathParaPr>
              <m:oMath>
                <m:sSub>
                  <m:e>
                    <m:r>
                      <m:t>R</m:t>
                    </m:r>
                  </m:e>
                  <m:sub>
                    <m:r>
                      <m:t>l</m:t>
                    </m:r>
                  </m:sub>
                </m:sSub>
                <m:d>
                  <m:dPr>
                    <m:begChr m:val="("/>
                    <m:sepChr m:val=""/>
                    <m:endChr m:val=")"/>
                    <m:grow/>
                  </m:dPr>
                  <m:e>
                    <m:r>
                      <m:t>t</m:t>
                    </m:r>
                  </m:e>
                </m:d>
                <m:r>
                  <m:rPr>
                    <m:sty m:val="p"/>
                  </m:rPr>
                  <m:t>=</m:t>
                </m:r>
                <m:d>
                  <m:dPr>
                    <m:begChr m:val="∥"/>
                    <m:sepChr m:val=""/>
                    <m:endChr m:val="∥"/>
                    <m:grow/>
                  </m:dPr>
                  <m:e>
                    <m:r>
                      <m:rPr>
                        <m:sty m:val="b"/>
                      </m:rPr>
                      <m:t>p</m:t>
                    </m:r>
                    <m:d>
                      <m:dPr>
                        <m:begChr m:val="("/>
                        <m:sepChr m:val=""/>
                        <m:endChr m:val=")"/>
                        <m:grow/>
                      </m:dPr>
                      <m:e>
                        <m:r>
                          <m:t>t</m:t>
                        </m:r>
                      </m:e>
                    </m:d>
                    <m:r>
                      <m:rPr>
                        <m:sty m:val="p"/>
                      </m:rPr>
                      <m:t>−</m:t>
                    </m:r>
                    <m:sSub>
                      <m:e>
                        <m:r>
                          <m:rPr>
                            <m:sty m:val="b"/>
                          </m:rPr>
                          <m:t>t</m:t>
                        </m:r>
                      </m:e>
                      <m:sub>
                        <m:r>
                          <m:t>i</m:t>
                        </m:r>
                      </m:sub>
                    </m:sSub>
                  </m:e>
                </m:d>
                <m:r>
                  <m:rPr>
                    <m:sty m:val="p"/>
                  </m:rPr>
                  <m:t>+</m:t>
                </m:r>
                <m:d>
                  <m:dPr>
                    <m:begChr m:val="∥"/>
                    <m:sepChr m:val=""/>
                    <m:endChr m:val="∥"/>
                    <m:grow/>
                  </m:dPr>
                  <m:e>
                    <m:r>
                      <m:rPr>
                        <m:sty m:val="b"/>
                      </m:rPr>
                      <m:t>p</m:t>
                    </m:r>
                    <m:d>
                      <m:dPr>
                        <m:begChr m:val="("/>
                        <m:sepChr m:val=""/>
                        <m:endChr m:val=")"/>
                        <m:grow/>
                      </m:dPr>
                      <m:e>
                        <m:r>
                          <m:t>t</m:t>
                        </m:r>
                      </m:e>
                    </m:d>
                    <m:r>
                      <m:rPr>
                        <m:sty m:val="p"/>
                      </m:rPr>
                      <m:t>−</m:t>
                    </m:r>
                    <m:sSub>
                      <m:e>
                        <m:r>
                          <m:rPr>
                            <m:sty m:val="b"/>
                          </m:rPr>
                          <m:t>r</m:t>
                        </m:r>
                      </m:e>
                      <m:sub>
                        <m:r>
                          <m:t>j</m:t>
                        </m:r>
                      </m:sub>
                    </m:sSub>
                  </m:e>
                </m:d>
                <m:r>
                  <m:rPr>
                    <m:sty m:val="p"/>
                  </m:rPr>
                  <m:t>−</m:t>
                </m:r>
                <m:d>
                  <m:dPr>
                    <m:begChr m:val="∥"/>
                    <m:sepChr m:val=""/>
                    <m:endChr m:val="∥"/>
                    <m:grow/>
                  </m:dPr>
                  <m:e>
                    <m:sSub>
                      <m:e>
                        <m:r>
                          <m:rPr>
                            <m:sty m:val="b"/>
                          </m:rPr>
                          <m:t>t</m:t>
                        </m:r>
                      </m:e>
                      <m:sub>
                        <m:r>
                          <m:t>i</m:t>
                        </m:r>
                      </m:sub>
                    </m:sSub>
                    <m:r>
                      <m:rPr>
                        <m:sty m:val="p"/>
                      </m:rPr>
                      <m:t>−</m:t>
                    </m:r>
                    <m:sSub>
                      <m:e>
                        <m:r>
                          <m:rPr>
                            <m:sty m:val="b"/>
                          </m:rPr>
                          <m:t>r</m:t>
                        </m:r>
                      </m:e>
                      <m:sub>
                        <m:r>
                          <m:t>j</m:t>
                        </m:r>
                      </m:sub>
                    </m:sSub>
                  </m:e>
                </m:d>
              </m:oMath>
            </m:oMathPara>
          </w:p>
        </w:tc>
        <w:tc>
          <w:tcPr>
            <w:tcW w:w="900" w:type="dxa"/>
            <w:vAlign w:val="center"/>
          </w:tcPr>
          <w:p>
            <w:pPr>
              <w:spacing w:before="0" w:after="0"/>
              <w:jc w:val="right"/>
            </w:pPr>
            <w:r>
              <w:t xml:space="preserve">(1)</w:t>
            </w:r>
          </w:p>
        </w:tc>
      </w:tr>
    </w:tbl>
    <w:p>
      <w:pPr>
        <w:pStyle w:val="FirstParagraph"/>
      </w:pPr>
      <w:r>
        <w:t xml:space="preserve">相应的双基地多普勒频率为</w:t>
      </w:r>
    </w:p>
    <w:tbl>
      <w:tblPr>
        <w:tblW w:w="9070" w:type="dxa"/>
        <w:jc w:val="center"/>
        <w:tblBorders>
          <w:top w:val="nil"/>
          <w:left w:val="nil"/>
          <w:bottom w:val="nil"/>
          <w:right w:val="nil"/>
          <w:insideH w:val="nil"/>
          <w:insideV w:val="nil"/>
        </w:tblBorders>
        <w:tblLayout w:type="fixed"/>
        <w:tblCellMar>
          <w:left w:w="0" w:type="dxa"/>
          <w:right w:w="0" w:type="dxa"/>
        </w:tblCellMar>
        <w:tblLook w:val="0000" w:firstRow="0" w:lastRow="0" w:firstColumn="0" w:lastColumn="0" w:noHBand="1" w:noVBand="1"/>
      </w:tblPr>
      <w:tblGrid>
        <w:gridCol w:w="900"/>
        <w:gridCol w:w="7270"/>
        <w:gridCol w:w="900"/>
      </w:tblGrid>
      <w:tr>
        <w:trPr>
          <w:cantSplit/>
        </w:trPr>
        <w:tc>
          <w:tcPr>
            <w:tcW w:w="900" w:type="dxa"/>
            <w:vAlign w:val="center"/>
          </w:tcPr>
          <w:p>
            <w:pPr>
              <w:spacing w:before="0" w:after="0"/>
            </w:pPr>
          </w:p>
        </w:tc>
        <w:tc>
          <w:tcPr>
            <w:tcW w:w="7270" w:type="dxa"/>
            <w:vAlign w:val="center"/>
          </w:tcPr>
          <w:p>
            <w:pPr>
              <w:spacing w:before="20" w:after="20" w:line="240" w:lineRule="auto"/>
              <w:jc w:val="center"/>
            </w:pPr>
            <m:oMathPara>
              <m:oMathParaPr>
                <m:jc m:val="center"/>
              </m:oMathParaPr>
              <m:oMath>
                <m:sSub>
                  <m:e>
                    <m:r>
                      <m:t>f</m:t>
                    </m:r>
                  </m:e>
                  <m:sub>
                    <m:r>
                      <m:t>l</m:t>
                    </m:r>
                  </m:sub>
                </m:sSub>
                <m:r>
                  <m:rPr>
                    <m:sty m:val="p"/>
                  </m:rPr>
                  <m:t>=</m:t>
                </m:r>
                <m:r>
                  <m:rPr>
                    <m:sty m:val="p"/>
                  </m:rPr>
                  <m:t>−</m:t>
                </m:r>
                <m:f>
                  <m:fPr>
                    <m:type m:val="bar"/>
                  </m:fPr>
                  <m:num>
                    <m:sSub>
                      <m:e>
                        <m:acc>
                          <m:accPr>
                            <m:chr m:val="̇"/>
                          </m:accPr>
                          <m:e>
                            <m:r>
                              <m:t>R</m:t>
                            </m:r>
                          </m:e>
                        </m:acc>
                      </m:e>
                      <m:sub>
                        <m:r>
                          <m:t>l</m:t>
                        </m:r>
                      </m:sub>
                    </m:sSub>
                    <m:d>
                      <m:dPr>
                        <m:begChr m:val="("/>
                        <m:sepChr m:val=""/>
                        <m:endChr m:val=")"/>
                        <m:grow/>
                      </m:dPr>
                      <m:e>
                        <m:sSub>
                          <m:e>
                            <m:r>
                              <m:t>t</m:t>
                            </m:r>
                          </m:e>
                          <m:sub>
                            <m:r>
                              <m:t>c</m:t>
                            </m:r>
                          </m:sub>
                        </m:sSub>
                      </m:e>
                    </m:d>
                  </m:num>
                  <m:den>
                    <m:sSub>
                      <m:e>
                        <m:r>
                          <m:t>λ</m:t>
                        </m:r>
                      </m:e>
                      <m:sub>
                        <m:r>
                          <m:t>i</m:t>
                        </m:r>
                      </m:sub>
                    </m:sSub>
                  </m:den>
                </m:f>
                <m:r>
                  <m:rPr>
                    <m:sty m:val="p"/>
                  </m:rPr>
                  <m:t>=</m:t>
                </m:r>
                <m:r>
                  <m:rPr>
                    <m:sty m:val="p"/>
                  </m:rPr>
                  <m:t>−</m:t>
                </m:r>
                <m:f>
                  <m:fPr>
                    <m:type m:val="bar"/>
                  </m:fPr>
                  <m:num>
                    <m:sSup>
                      <m:e>
                        <m:r>
                          <m:rPr>
                            <m:sty m:val="b"/>
                          </m:rPr>
                          <m:t>v</m:t>
                        </m:r>
                      </m:e>
                      <m:sup>
                        <m:r>
                          <m:rPr>
                            <m:sty m:val="p"/>
                          </m:rPr>
                          <m:t>T</m:t>
                        </m:r>
                      </m:sup>
                    </m:sSup>
                    <m:d>
                      <m:dPr>
                        <m:begChr m:val="("/>
                        <m:sepChr m:val=""/>
                        <m:endChr m:val=")"/>
                        <m:grow/>
                      </m:dPr>
                      <m:e>
                        <m:sSub>
                          <m:e>
                            <m:r>
                              <m:rPr>
                                <m:sty m:val="b"/>
                              </m:rPr>
                              <m:t>u</m:t>
                            </m:r>
                          </m:e>
                          <m:sub>
                            <m:r>
                              <m:rPr>
                                <m:sty m:val="p"/>
                              </m:rPr>
                              <m:t>T</m:t>
                            </m:r>
                            <m:r>
                              <m:rPr>
                                <m:sty m:val="p"/>
                              </m:rPr>
                              <m:t>,</m:t>
                            </m:r>
                            <m:r>
                              <m:t>i</m:t>
                            </m:r>
                          </m:sub>
                        </m:sSub>
                        <m:r>
                          <m:rPr>
                            <m:sty m:val="p"/>
                          </m:rPr>
                          <m:t>+</m:t>
                        </m:r>
                        <m:sSub>
                          <m:e>
                            <m:r>
                              <m:rPr>
                                <m:sty m:val="b"/>
                              </m:rPr>
                              <m:t>u</m:t>
                            </m:r>
                          </m:e>
                          <m:sub>
                            <m:r>
                              <m:rPr>
                                <m:sty m:val="p"/>
                              </m:rPr>
                              <m:t>R</m:t>
                            </m:r>
                            <m:r>
                              <m:rPr>
                                <m:sty m:val="p"/>
                              </m:rPr>
                              <m:t>,</m:t>
                            </m:r>
                            <m:r>
                              <m:t>j</m:t>
                            </m:r>
                          </m:sub>
                        </m:sSub>
                      </m:e>
                    </m:d>
                  </m:num>
                  <m:den>
                    <m:sSub>
                      <m:e>
                        <m:r>
                          <m:t>λ</m:t>
                        </m:r>
                      </m:e>
                      <m:sub>
                        <m:r>
                          <m:t>i</m:t>
                        </m:r>
                      </m:sub>
                    </m:sSub>
                  </m:den>
                </m:f>
                <m:r>
                  <m:rPr>
                    <m:sty m:val="p"/>
                  </m:rPr>
                  <m:t>,</m:t>
                </m:r>
                <m:r>
                  <m:t>  </m:t>
                </m:r>
                <m:sSub>
                  <m:e>
                    <m:r>
                      <m:rPr>
                        <m:sty m:val="b"/>
                      </m:rPr>
                      <m:t>u</m:t>
                    </m:r>
                  </m:e>
                  <m:sub>
                    <m:r>
                      <m:rPr>
                        <m:sty m:val="p"/>
                      </m:rPr>
                      <m:t>T</m:t>
                    </m:r>
                    <m:r>
                      <m:rPr>
                        <m:sty m:val="p"/>
                      </m:rPr>
                      <m:t>,</m:t>
                    </m:r>
                    <m:r>
                      <m:t>i</m:t>
                    </m:r>
                  </m:sub>
                </m:sSub>
                <m:r>
                  <m:rPr>
                    <m:sty m:val="p"/>
                  </m:rPr>
                  <m:t>=</m:t>
                </m:r>
                <m:f>
                  <m:fPr>
                    <m:type m:val="bar"/>
                  </m:fPr>
                  <m:num>
                    <m:r>
                      <m:rPr>
                        <m:sty m:val="b"/>
                      </m:rPr>
                      <m:t>p</m:t>
                    </m:r>
                    <m:r>
                      <m:rPr>
                        <m:sty m:val="p"/>
                      </m:rPr>
                      <m:t>−</m:t>
                    </m:r>
                    <m:sSub>
                      <m:e>
                        <m:r>
                          <m:rPr>
                            <m:sty m:val="b"/>
                          </m:rPr>
                          <m:t>t</m:t>
                        </m:r>
                      </m:e>
                      <m:sub>
                        <m:r>
                          <m:t>i</m:t>
                        </m:r>
                      </m:sub>
                    </m:sSub>
                  </m:num>
                  <m:den>
                    <m:d>
                      <m:dPr>
                        <m:begChr m:val="∥"/>
                        <m:sepChr m:val=""/>
                        <m:endChr m:val="∥"/>
                        <m:grow/>
                      </m:dPr>
                      <m:e>
                        <m:r>
                          <m:rPr>
                            <m:sty m:val="b"/>
                          </m:rPr>
                          <m:t>p</m:t>
                        </m:r>
                        <m:r>
                          <m:rPr>
                            <m:sty m:val="p"/>
                          </m:rPr>
                          <m:t>−</m:t>
                        </m:r>
                        <m:sSub>
                          <m:e>
                            <m:r>
                              <m:rPr>
                                <m:sty m:val="b"/>
                              </m:rPr>
                              <m:t>t</m:t>
                            </m:r>
                          </m:e>
                          <m:sub>
                            <m:r>
                              <m:t>i</m:t>
                            </m:r>
                          </m:sub>
                        </m:sSub>
                      </m:e>
                    </m:d>
                  </m:den>
                </m:f>
                <m:r>
                  <m:rPr>
                    <m:sty m:val="p"/>
                  </m:rPr>
                  <m:t>,</m:t>
                </m:r>
                <m:r>
                  <m:t> </m:t>
                </m:r>
                <m:sSub>
                  <m:e>
                    <m:r>
                      <m:rPr>
                        <m:sty m:val="b"/>
                      </m:rPr>
                      <m:t>u</m:t>
                    </m:r>
                  </m:e>
                  <m:sub>
                    <m:r>
                      <m:rPr>
                        <m:sty m:val="p"/>
                      </m:rPr>
                      <m:t>R</m:t>
                    </m:r>
                    <m:r>
                      <m:rPr>
                        <m:sty m:val="p"/>
                      </m:rPr>
                      <m:t>,</m:t>
                    </m:r>
                    <m:r>
                      <m:t>j</m:t>
                    </m:r>
                  </m:sub>
                </m:sSub>
                <m:r>
                  <m:rPr>
                    <m:sty m:val="p"/>
                  </m:rPr>
                  <m:t>=</m:t>
                </m:r>
                <m:f>
                  <m:fPr>
                    <m:type m:val="bar"/>
                  </m:fPr>
                  <m:num>
                    <m:r>
                      <m:rPr>
                        <m:sty m:val="b"/>
                      </m:rPr>
                      <m:t>p</m:t>
                    </m:r>
                    <m:r>
                      <m:rPr>
                        <m:sty m:val="p"/>
                      </m:rPr>
                      <m:t>−</m:t>
                    </m:r>
                    <m:sSub>
                      <m:e>
                        <m:r>
                          <m:rPr>
                            <m:sty m:val="b"/>
                          </m:rPr>
                          <m:t>r</m:t>
                        </m:r>
                      </m:e>
                      <m:sub>
                        <m:r>
                          <m:t>j</m:t>
                        </m:r>
                      </m:sub>
                    </m:sSub>
                  </m:num>
                  <m:den>
                    <m:d>
                      <m:dPr>
                        <m:begChr m:val="∥"/>
                        <m:sepChr m:val=""/>
                        <m:endChr m:val="∥"/>
                        <m:grow/>
                      </m:dPr>
                      <m:e>
                        <m:r>
                          <m:rPr>
                            <m:sty m:val="b"/>
                          </m:rPr>
                          <m:t>p</m:t>
                        </m:r>
                        <m:r>
                          <m:rPr>
                            <m:sty m:val="p"/>
                          </m:rPr>
                          <m:t>−</m:t>
                        </m:r>
                        <m:sSub>
                          <m:e>
                            <m:r>
                              <m:rPr>
                                <m:sty m:val="b"/>
                              </m:rPr>
                              <m:t>r</m:t>
                            </m:r>
                          </m:e>
                          <m:sub>
                            <m:r>
                              <m:t>j</m:t>
                            </m:r>
                          </m:sub>
                        </m:sSub>
                      </m:e>
                    </m:d>
                  </m:den>
                </m:f>
              </m:oMath>
            </m:oMathPara>
          </w:p>
        </w:tc>
        <w:tc>
          <w:tcPr>
            <w:tcW w:w="900" w:type="dxa"/>
            <w:vAlign w:val="center"/>
          </w:tcPr>
          <w:p>
            <w:pPr>
              <w:spacing w:before="0" w:after="0"/>
              <w:jc w:val="right"/>
            </w:pPr>
            <w:r>
              <w:t xml:space="preserve">(2)</w:t>
            </w:r>
          </w:p>
        </w:tc>
      </w:tr>
    </w:tbl>
    <w:p>
      <w:pPr>
        <w:pStyle w:val="FirstParagraph"/>
        <w:ind w:firstLineChars="0" w:firstLine="0"/>
      </w:pPr>
      <w:r>
        <w:t xml:space="preserve">式中，</w:t>
      </w:r>
      <m:oMath>
        <m:sSub>
          <m:e>
            <m:r>
              <m:t>λ</m:t>
            </m:r>
          </m:e>
          <m:sub>
            <m:r>
              <m:t>i</m:t>
            </m:r>
          </m:sub>
        </m:sSub>
        <m:r>
          <m:rPr>
            <m:sty m:val="p"/>
          </m:rPr>
          <m:t>=</m:t>
        </m:r>
        <m:r>
          <m:t>c</m:t>
        </m:r>
        <m:r>
          <m:rPr>
            <m:sty m:val="p"/>
          </m:rPr>
          <m:t>/</m:t>
        </m:r>
        <m:sSub>
          <m:e>
            <m:r>
              <m:t>f</m:t>
            </m:r>
          </m:e>
          <m:sub>
            <m:r>
              <m:t>i</m:t>
            </m:r>
          </m:sub>
        </m:sSub>
      </m:oMath>
      <w:r>
        <w:t xml:space="preserve"> </w:t>
      </w:r>
      <w:r>
        <w:t xml:space="preserve">为信号源</w:t>
      </w:r>
      <w:r>
        <w:t xml:space="preserve"> </w:t>
      </w:r>
      <m:oMath>
        <m:r>
          <m:t>i</m:t>
        </m:r>
      </m:oMath>
      <w:r>
        <w:t xml:space="preserve"> </w:t>
      </w:r>
      <w:r>
        <w:t xml:space="preserve">的波长。为描述相位随目标位置的变化，定义链路波数矢量（单位：周/米）</w:t>
      </w:r>
    </w:p>
    <w:tbl>
      <w:tblPr>
        <w:tblW w:w="9070" w:type="dxa"/>
        <w:jc w:val="center"/>
        <w:tblBorders>
          <w:top w:val="nil"/>
          <w:left w:val="nil"/>
          <w:bottom w:val="nil"/>
          <w:right w:val="nil"/>
          <w:insideH w:val="nil"/>
          <w:insideV w:val="nil"/>
        </w:tblBorders>
        <w:tblLayout w:type="fixed"/>
        <w:tblCellMar>
          <w:left w:w="0" w:type="dxa"/>
          <w:right w:w="0" w:type="dxa"/>
        </w:tblCellMar>
        <w:tblLook w:val="0000" w:firstRow="0" w:lastRow="0" w:firstColumn="0" w:lastColumn="0" w:noHBand="1" w:noVBand="1"/>
      </w:tblPr>
      <w:tblGrid>
        <w:gridCol w:w="900"/>
        <w:gridCol w:w="7270"/>
        <w:gridCol w:w="900"/>
      </w:tblGrid>
      <w:tr>
        <w:trPr>
          <w:cantSplit/>
        </w:trPr>
        <w:tc>
          <w:tcPr>
            <w:tcW w:w="900" w:type="dxa"/>
            <w:vAlign w:val="center"/>
          </w:tcPr>
          <w:p>
            <w:pPr>
              <w:spacing w:before="0" w:after="0"/>
            </w:pPr>
          </w:p>
        </w:tc>
        <w:tc>
          <w:tcPr>
            <w:tcW w:w="7270" w:type="dxa"/>
            <w:vAlign w:val="center"/>
          </w:tcPr>
          <w:p>
            <w:pPr>
              <w:spacing w:before="20" w:after="20" w:line="240" w:lineRule="auto"/>
              <w:jc w:val="center"/>
            </w:pPr>
            <m:oMathPara>
              <m:oMathParaPr>
                <m:jc m:val="center"/>
              </m:oMathParaPr>
              <m:oMath>
                <m:sSub>
                  <m:e>
                    <m:r>
                      <m:rPr>
                        <m:sty m:val="b"/>
                      </m:rPr>
                      <m:t>k</m:t>
                    </m:r>
                  </m:e>
                  <m:sub>
                    <m:r>
                      <m:t>l</m:t>
                    </m:r>
                  </m:sub>
                </m:sSub>
                <m:r>
                  <m:rPr>
                    <m:sty m:val="p"/>
                  </m:rPr>
                  <m:t>=</m:t>
                </m:r>
                <m:f>
                  <m:fPr>
                    <m:type m:val="bar"/>
                  </m:fPr>
                  <m:num>
                    <m:sSub>
                      <m:e>
                        <m:r>
                          <m:rPr>
                            <m:sty m:val="b"/>
                          </m:rPr>
                          <m:t>u</m:t>
                        </m:r>
                      </m:e>
                      <m:sub>
                        <m:r>
                          <m:rPr>
                            <m:sty m:val="p"/>
                          </m:rPr>
                          <m:t>T</m:t>
                        </m:r>
                        <m:r>
                          <m:rPr>
                            <m:sty m:val="p"/>
                          </m:rPr>
                          <m:t>,</m:t>
                        </m:r>
                        <m:r>
                          <m:t>i</m:t>
                        </m:r>
                      </m:sub>
                    </m:sSub>
                    <m:r>
                      <m:rPr>
                        <m:sty m:val="p"/>
                      </m:rPr>
                      <m:t>+</m:t>
                    </m:r>
                    <m:sSub>
                      <m:e>
                        <m:r>
                          <m:rPr>
                            <m:sty m:val="b"/>
                          </m:rPr>
                          <m:t>u</m:t>
                        </m:r>
                      </m:e>
                      <m:sub>
                        <m:r>
                          <m:rPr>
                            <m:sty m:val="p"/>
                          </m:rPr>
                          <m:t>R</m:t>
                        </m:r>
                        <m:r>
                          <m:rPr>
                            <m:sty m:val="p"/>
                          </m:rPr>
                          <m:t>,</m:t>
                        </m:r>
                        <m:r>
                          <m:t>j</m:t>
                        </m:r>
                      </m:sub>
                    </m:sSub>
                  </m:num>
                  <m:den>
                    <m:sSub>
                      <m:e>
                        <m:r>
                          <m:t>λ</m:t>
                        </m:r>
                      </m:e>
                      <m:sub>
                        <m:r>
                          <m:t>i</m:t>
                        </m:r>
                      </m:sub>
                    </m:sSub>
                  </m:den>
                </m:f>
                <m:r>
                  <m:rPr>
                    <m:sty m:val="p"/>
                  </m:rPr>
                  <m:t>,</m:t>
                </m:r>
                <m:r>
                  <m:t>  </m:t>
                </m:r>
                <m:f>
                  <m:fPr>
                    <m:type m:val="bar"/>
                  </m:fPr>
                  <m:num>
                    <m:r>
                      <m:t>2</m:t>
                    </m:r>
                    <m:r>
                      <m:t>π</m:t>
                    </m:r>
                    <m:sSub>
                      <m:e>
                        <m:r>
                          <m:t>R</m:t>
                        </m:r>
                      </m:e>
                      <m:sub>
                        <m:r>
                          <m:t>l</m:t>
                        </m:r>
                      </m:sub>
                    </m:sSub>
                    <m:d>
                      <m:dPr>
                        <m:begChr m:val="("/>
                        <m:sepChr m:val=""/>
                        <m:endChr m:val=")"/>
                        <m:grow/>
                      </m:dPr>
                      <m:e>
                        <m:r>
                          <m:rPr>
                            <m:sty m:val="b"/>
                          </m:rPr>
                          <m:t>p</m:t>
                        </m:r>
                        <m:r>
                          <m:rPr>
                            <m:sty m:val="p"/>
                          </m:rPr>
                          <m:t>+</m:t>
                        </m:r>
                        <m:r>
                          <m:t>δ</m:t>
                        </m:r>
                        <m:r>
                          <m:rPr>
                            <m:sty m:val="b"/>
                          </m:rPr>
                          <m:t>p</m:t>
                        </m:r>
                      </m:e>
                    </m:d>
                  </m:num>
                  <m:den>
                    <m:sSub>
                      <m:e>
                        <m:r>
                          <m:t>λ</m:t>
                        </m:r>
                      </m:e>
                      <m:sub>
                        <m:r>
                          <m:t>i</m:t>
                        </m:r>
                      </m:sub>
                    </m:sSub>
                  </m:den>
                </m:f>
                <m:r>
                  <m:rPr>
                    <m:sty m:val="p"/>
                  </m:rPr>
                  <m:t>≈</m:t>
                </m:r>
                <m:f>
                  <m:fPr>
                    <m:type m:val="bar"/>
                  </m:fPr>
                  <m:num>
                    <m:r>
                      <m:t>2</m:t>
                    </m:r>
                    <m:r>
                      <m:t>π</m:t>
                    </m:r>
                    <m:sSub>
                      <m:e>
                        <m:r>
                          <m:t>R</m:t>
                        </m:r>
                      </m:e>
                      <m:sub>
                        <m:r>
                          <m:t>l</m:t>
                        </m:r>
                      </m:sub>
                    </m:sSub>
                    <m:d>
                      <m:dPr>
                        <m:begChr m:val="("/>
                        <m:sepChr m:val=""/>
                        <m:endChr m:val=")"/>
                        <m:grow/>
                      </m:dPr>
                      <m:e>
                        <m:r>
                          <m:rPr>
                            <m:sty m:val="b"/>
                          </m:rPr>
                          <m:t>p</m:t>
                        </m:r>
                      </m:e>
                    </m:d>
                  </m:num>
                  <m:den>
                    <m:sSub>
                      <m:e>
                        <m:r>
                          <m:t>λ</m:t>
                        </m:r>
                      </m:e>
                      <m:sub>
                        <m:r>
                          <m:t>i</m:t>
                        </m:r>
                      </m:sub>
                    </m:sSub>
                  </m:den>
                </m:f>
                <m:r>
                  <m:rPr>
                    <m:sty m:val="p"/>
                  </m:rPr>
                  <m:t>+</m:t>
                </m:r>
                <m:r>
                  <m:t>2</m:t>
                </m:r>
                <m:r>
                  <m:t>π</m:t>
                </m:r>
                <m:sSubSup>
                  <m:e>
                    <m:r>
                      <m:rPr>
                        <m:sty m:val="b"/>
                      </m:rPr>
                      <m:t>k</m:t>
                    </m:r>
                  </m:e>
                  <m:sub>
                    <m:r>
                      <m:t>l</m:t>
                    </m:r>
                  </m:sub>
                  <m:sup>
                    <m:r>
                      <m:rPr>
                        <m:sty m:val="p"/>
                      </m:rPr>
                      <m:t>T</m:t>
                    </m:r>
                  </m:sup>
                </m:sSubSup>
                <m:r>
                  <m:t>δ</m:t>
                </m:r>
                <m:r>
                  <m:rPr>
                    <m:sty m:val="b"/>
                  </m:rPr>
                  <m:t>p</m:t>
                </m:r>
              </m:oMath>
            </m:oMathPara>
          </w:p>
        </w:tc>
        <w:tc>
          <w:tcPr>
            <w:tcW w:w="900" w:type="dxa"/>
            <w:vAlign w:val="center"/>
          </w:tcPr>
          <w:p>
            <w:pPr>
              <w:spacing w:before="0" w:after="0"/>
              <w:jc w:val="right"/>
            </w:pPr>
            <w:r>
              <w:t xml:space="preserve">(3)</w:t>
            </w:r>
          </w:p>
        </w:tc>
      </w:tr>
    </w:tbl>
    <w:p>
      <w:pPr>
        <w:pStyle w:val="FirstParagraph"/>
      </w:pPr>
      <m:oMath>
        <m:sSub>
          <m:e>
            <m:r>
              <m:rPr>
                <m:sty m:val="b"/>
              </m:rPr>
              <m:t>k</m:t>
            </m:r>
          </m:e>
          <m:sub>
            <m:r>
              <m:t>l</m:t>
            </m:r>
          </m:sub>
        </m:sSub>
      </m:oMath>
      <w:r>
        <w:t xml:space="preserve"> </w:t>
      </w:r>
      <w:r>
        <w:t xml:space="preserve">沿双基地角平分线方向，模值为</w:t>
      </w:r>
      <w:r>
        <w:t xml:space="preserve"> </w:t>
      </w:r>
      <m:oMath>
        <m:r>
          <m:t>2</m:t>
        </m:r>
        <m:r>
          <m:rPr>
            <m:sty m:val="p"/>
          </m:rPr>
          <m:t>cos</m:t>
        </m:r>
        <m:d>
          <m:dPr>
            <m:begChr m:val="("/>
            <m:sepChr m:val=""/>
            <m:endChr m:val=")"/>
            <m:grow/>
          </m:dPr>
          <m:e>
            <m:sSub>
              <m:e>
                <m:r>
                  <m:t>β</m:t>
                </m:r>
              </m:e>
              <m:sub>
                <m:r>
                  <m:t>l</m:t>
                </m:r>
              </m:sub>
            </m:sSub>
            <m:r>
              <m:rPr>
                <m:sty m:val="p"/>
              </m:rPr>
              <m:t>/</m:t>
            </m:r>
            <m:r>
              <m:t>2</m:t>
            </m:r>
          </m:e>
        </m:d>
        <m:r>
          <m:rPr>
            <m:sty m:val="p"/>
          </m:rPr>
          <m:t>/</m:t>
        </m:r>
        <m:sSub>
          <m:e>
            <m:r>
              <m:t>λ</m:t>
            </m:r>
          </m:e>
          <m:sub>
            <m:r>
              <m:t>i</m:t>
            </m:r>
          </m:sub>
        </m:sSub>
      </m:oMath>
      <w:r>
        <w:t xml:space="preserve">，</w:t>
      </w:r>
      <m:oMath>
        <m:sSub>
          <m:e>
            <m:r>
              <m:t>β</m:t>
            </m:r>
          </m:e>
          <m:sub>
            <m:r>
              <m:t>l</m:t>
            </m:r>
          </m:sub>
        </m:sSub>
      </m:oMath>
      <w:r>
        <w:t xml:space="preserve"> </w:t>
      </w:r>
      <w:r>
        <w:t xml:space="preserve">为双基地角。不同链路波数矢量之差</w:t>
      </w:r>
      <w:r>
        <w:t xml:space="preserve"> </w:t>
      </w:r>
      <m:oMath>
        <m:r>
          <m:t>Δ</m:t>
        </m:r>
        <m:sSub>
          <m:e>
            <m:r>
              <m:rPr>
                <m:sty m:val="b"/>
              </m:rPr>
              <m:t>k</m:t>
            </m:r>
          </m:e>
          <m:sub>
            <m:r>
              <m:t>l</m:t>
            </m:r>
            <m:r>
              <m:t>l</m:t>
            </m:r>
            <m:r>
              <m:rPr>
                <m:sty m:val="p"/>
              </m:rPr>
              <m:t>′</m:t>
            </m:r>
          </m:sub>
        </m:sSub>
        <m:r>
          <m:rPr>
            <m:sty m:val="p"/>
          </m:rPr>
          <m:t>=</m:t>
        </m:r>
        <m:sSub>
          <m:e>
            <m:r>
              <m:rPr>
                <m:sty m:val="b"/>
              </m:rPr>
              <m:t>k</m:t>
            </m:r>
          </m:e>
          <m:sub>
            <m:r>
              <m:t>l</m:t>
            </m:r>
          </m:sub>
        </m:sSub>
        <m:r>
          <m:rPr>
            <m:sty m:val="p"/>
          </m:rPr>
          <m:t>−</m:t>
        </m:r>
        <m:sSub>
          <m:e>
            <m:r>
              <m:rPr>
                <m:sty m:val="b"/>
              </m:rPr>
              <m:t>k</m:t>
            </m:r>
          </m:e>
          <m:sub>
            <m:r>
              <m:t>l</m:t>
            </m:r>
            <m:r>
              <m:rPr>
                <m:sty m:val="p"/>
              </m:rPr>
              <m:t>′</m:t>
            </m:r>
          </m:sub>
        </m:sSub>
      </m:oMath>
      <w:r>
        <w:t xml:space="preserve"> </w:t>
      </w:r>
      <w:r>
        <w:t xml:space="preserve">同时决定了链路间相位差随目标位置的变化速率与目标散射的链路间相参性（3.4节），是贯穿本方案的关键量。</w:t>
      </w:r>
    </w:p>
    <w:bookmarkEnd w:id="30"/>
    <w:bookmarkStart w:id="31" w:name="参考通道与监视通道信号"/>
    <w:p>
      <w:pPr>
        <w:pStyle w:val="Heading2"/>
      </w:pPr>
      <w:r>
        <w:t xml:space="preserve">3.2 参考通道与监视通道信号</w:t>
      </w:r>
    </w:p>
    <w:p>
      <w:pPr>
        <w:pStyle w:val="FirstParagraph"/>
      </w:pPr>
      <w:r>
        <w:t xml:space="preserve">信号源</w:t>
      </w:r>
      <w:r>
        <w:t xml:space="preserve"> </w:t>
      </w:r>
      <m:oMath>
        <m:r>
          <m:t>i</m:t>
        </m:r>
      </m:oMath>
      <w:r>
        <w:t xml:space="preserve"> </w:t>
      </w:r>
      <w:r>
        <w:t xml:space="preserve">的发射信号可表示为</w:t>
      </w:r>
      <w:r>
        <w:t xml:space="preserve"> </w:t>
      </w:r>
      <m:oMath>
        <m:sSub>
          <m:e>
            <m:r>
              <m:t>s</m:t>
            </m:r>
          </m:e>
          <m:sub>
            <m:r>
              <m:t>i</m:t>
            </m:r>
          </m:sub>
        </m:sSub>
        <m:d>
          <m:dPr>
            <m:begChr m:val="("/>
            <m:sepChr m:val=""/>
            <m:endChr m:val=")"/>
            <m:grow/>
          </m:dPr>
          <m:e>
            <m:r>
              <m:t>t</m:t>
            </m:r>
          </m:e>
        </m:d>
        <m:r>
          <m:rPr>
            <m:sty m:val="p"/>
          </m:rPr>
          <m:t>=</m:t>
        </m:r>
        <m:sSub>
          <m:e>
            <m:r>
              <m:t>x</m:t>
            </m:r>
          </m:e>
          <m:sub>
            <m:r>
              <m:t>i</m:t>
            </m:r>
          </m:sub>
        </m:sSub>
        <m:d>
          <m:dPr>
            <m:begChr m:val="("/>
            <m:sepChr m:val=""/>
            <m:endChr m:val=")"/>
            <m:grow/>
          </m:dPr>
          <m:e>
            <m:r>
              <m:t>t</m:t>
            </m:r>
          </m:e>
        </m:d>
        <m:r>
          <m:rPr>
            <m:sty m:val="p"/>
          </m:rPr>
          <m:t>exp</m:t>
        </m:r>
        <m:r>
          <m:rPr>
            <m:sty m:val="p"/>
          </m:rPr>
          <m:t>{</m:t>
        </m:r>
        <m:r>
          <m:rPr>
            <m:sty m:val="p"/>
          </m:rPr>
          <m:t>j</m:t>
        </m:r>
        <m:d>
          <m:dPr>
            <m:begChr m:val="["/>
            <m:sepChr m:val=""/>
            <m:endChr m:val="]"/>
            <m:grow/>
          </m:dPr>
          <m:e>
            <m:r>
              <m:t>2</m:t>
            </m:r>
            <m:r>
              <m:t>π</m:t>
            </m:r>
            <m:sSub>
              <m:e>
                <m:r>
                  <m:t>f</m:t>
                </m:r>
              </m:e>
              <m:sub>
                <m:r>
                  <m:t>i</m:t>
                </m:r>
              </m:sub>
            </m:sSub>
            <m:r>
              <m:t>t</m:t>
            </m:r>
            <m:r>
              <m:rPr>
                <m:sty m:val="p"/>
              </m:rPr>
              <m:t>+</m:t>
            </m:r>
            <m:sSub>
              <m:e>
                <m:r>
                  <m:t>ϕ</m:t>
                </m:r>
              </m:e>
              <m:sub>
                <m:r>
                  <m:t>i</m:t>
                </m:r>
              </m:sub>
            </m:sSub>
            <m:d>
              <m:dPr>
                <m:begChr m:val="("/>
                <m:sepChr m:val=""/>
                <m:endChr m:val=")"/>
                <m:grow/>
              </m:dPr>
              <m:e>
                <m:r>
                  <m:t>t</m:t>
                </m:r>
              </m:e>
            </m:d>
          </m:e>
        </m:d>
        <m:r>
          <m:rPr>
            <m:sty m:val="p"/>
          </m:rPr>
          <m:t>}</m:t>
        </m:r>
      </m:oMath>
      <w:r>
        <w:t xml:space="preserve">，其中</w:t>
      </w:r>
      <w:r>
        <w:t xml:space="preserve"> </w:t>
      </w:r>
      <m:oMath>
        <m:sSub>
          <m:e>
            <m:r>
              <m:t>x</m:t>
            </m:r>
          </m:e>
          <m:sub>
            <m:r>
              <m:t>i</m:t>
            </m:r>
          </m:sub>
        </m:sSub>
        <m:d>
          <m:dPr>
            <m:begChr m:val="("/>
            <m:sepChr m:val=""/>
            <m:endChr m:val=")"/>
            <m:grow/>
          </m:dPr>
          <m:e>
            <m:r>
              <m:t>t</m:t>
            </m:r>
          </m:e>
        </m:d>
      </m:oMath>
      <w:r>
        <w:t xml:space="preserve"> </w:t>
      </w:r>
      <w:r>
        <w:t xml:space="preserve">为复包络（如OFDM），</w:t>
      </w:r>
      <m:oMath>
        <m:sSub>
          <m:e>
            <m:r>
              <m:t>ϕ</m:t>
            </m:r>
          </m:e>
          <m:sub>
            <m:r>
              <m:t>i</m:t>
            </m:r>
          </m:sub>
        </m:sSub>
        <m:d>
          <m:dPr>
            <m:begChr m:val="("/>
            <m:sepChr m:val=""/>
            <m:endChr m:val=")"/>
            <m:grow/>
          </m:dPr>
          <m:e>
            <m:r>
              <m:t>t</m:t>
            </m:r>
          </m:e>
        </m:d>
      </m:oMath>
      <w:r>
        <w:t xml:space="preserve"> </w:t>
      </w:r>
      <w:r>
        <w:t xml:space="preserve">为发射机振荡器相位，包含未知初相、载频偏差与相位噪声。接收站</w:t>
      </w:r>
      <w:r>
        <w:t xml:space="preserve"> </w:t>
      </w:r>
      <m:oMath>
        <m:r>
          <m:t>j</m:t>
        </m:r>
      </m:oMath>
      <w:r>
        <w:t xml:space="preserve"> </w:t>
      </w:r>
      <w:r>
        <w:t xml:space="preserve">以本振</w:t>
      </w:r>
      <w:r>
        <w:t xml:space="preserve"> </w:t>
      </w:r>
      <m:oMath>
        <m:r>
          <m:rPr>
            <m:sty m:val="p"/>
          </m:rPr>
          <m:t>exp</m:t>
        </m:r>
        <m:r>
          <m:rPr>
            <m:sty m:val="p"/>
          </m:rPr>
          <m:t>{</m:t>
        </m:r>
        <m:r>
          <m:rPr>
            <m:sty m:val="p"/>
          </m:rPr>
          <m:t>−</m:t>
        </m:r>
        <m:r>
          <m:rPr>
            <m:sty m:val="p"/>
          </m:rPr>
          <m:t>j</m:t>
        </m:r>
        <m:d>
          <m:dPr>
            <m:begChr m:val="["/>
            <m:sepChr m:val=""/>
            <m:endChr m:val="]"/>
            <m:grow/>
          </m:dPr>
          <m:e>
            <m:r>
              <m:t>2</m:t>
            </m:r>
            <m:r>
              <m:t>π</m:t>
            </m:r>
            <m:sSub>
              <m:e>
                <m:r>
                  <m:t>f</m:t>
                </m:r>
              </m:e>
              <m:sub>
                <m:r>
                  <m:rPr>
                    <m:sty m:val="p"/>
                  </m:rPr>
                  <m:t>L</m:t>
                </m:r>
                <m:r>
                  <m:rPr>
                    <m:sty m:val="p"/>
                  </m:rPr>
                  <m:t>,</m:t>
                </m:r>
                <m:r>
                  <m:t>i</m:t>
                </m:r>
              </m:sub>
            </m:sSub>
            <m:r>
              <m:t>t</m:t>
            </m:r>
            <m:r>
              <m:rPr>
                <m:sty m:val="p"/>
              </m:rPr>
              <m:t>+</m:t>
            </m:r>
            <m:sSub>
              <m:e>
                <m:r>
                  <m:t>ϑ</m:t>
                </m:r>
              </m:e>
              <m:sub>
                <m:r>
                  <m:t>j</m:t>
                </m:r>
              </m:sub>
            </m:sSub>
            <m:d>
              <m:dPr>
                <m:begChr m:val="("/>
                <m:sepChr m:val=""/>
                <m:endChr m:val=")"/>
                <m:grow/>
              </m:dPr>
              <m:e>
                <m:r>
                  <m:t>t</m:t>
                </m:r>
              </m:e>
            </m:d>
          </m:e>
        </m:d>
        <m:r>
          <m:rPr>
            <m:sty m:val="p"/>
          </m:rPr>
          <m:t>}</m:t>
        </m:r>
      </m:oMath>
      <w:r>
        <w:t xml:space="preserve"> </w:t>
      </w:r>
      <w:r>
        <w:t xml:space="preserve">将信号源</w:t>
      </w:r>
      <w:r>
        <w:t xml:space="preserve"> </w:t>
      </w:r>
      <m:oMath>
        <m:r>
          <m:t>i</m:t>
        </m:r>
      </m:oMath>
      <w:r>
        <w:t xml:space="preserve"> </w:t>
      </w:r>
      <w:r>
        <w:t xml:space="preserve">所在信道变换至基带，</w:t>
      </w:r>
      <m:oMath>
        <m:sSub>
          <m:e>
            <m:r>
              <m:t>f</m:t>
            </m:r>
          </m:e>
          <m:sub>
            <m:r>
              <m:rPr>
                <m:sty m:val="p"/>
              </m:rPr>
              <m:t>L</m:t>
            </m:r>
            <m:r>
              <m:rPr>
                <m:sty m:val="p"/>
              </m:rPr>
              <m:t>,</m:t>
            </m:r>
            <m:r>
              <m:t>i</m:t>
            </m:r>
          </m:sub>
        </m:sSub>
      </m:oMath>
      <w:r>
        <w:t xml:space="preserve"> </w:t>
      </w:r>
      <w:r>
        <w:t xml:space="preserve">为该信道的本振频率，</w:t>
      </w:r>
      <m:oMath>
        <m:sSub>
          <m:e>
            <m:r>
              <m:t>ϑ</m:t>
            </m:r>
          </m:e>
          <m:sub>
            <m:r>
              <m:t>j</m:t>
            </m:r>
          </m:sub>
        </m:sSub>
        <m:d>
          <m:dPr>
            <m:begChr m:val="("/>
            <m:sepChr m:val=""/>
            <m:endChr m:val=")"/>
            <m:grow/>
          </m:dPr>
          <m:e>
            <m:r>
              <m:t>t</m:t>
            </m:r>
          </m:e>
        </m:d>
      </m:oMath>
      <w:r>
        <w:t xml:space="preserve"> </w:t>
      </w:r>
      <w:r>
        <w:t xml:space="preserve">为本振相位；</w:t>
      </w:r>
      <w:r>
        <w:rPr>
          <w:b/>
          <w:bCs/>
        </w:rPr>
        <w:t xml:space="preserve">参考通道与监视通道共用同一本振与采样时钟</w:t>
      </w:r>
      <w:r>
        <w:t xml:space="preserve">。信号源</w:t>
      </w:r>
      <w:r>
        <w:t xml:space="preserve"> </w:t>
      </w:r>
      <m:oMath>
        <m:r>
          <m:t>i</m:t>
        </m:r>
      </m:oMath>
      <w:r>
        <w:t xml:space="preserve"> </w:t>
      </w:r>
      <w:r>
        <w:t xml:space="preserve">在接收站</w:t>
      </w:r>
      <w:r>
        <w:t xml:space="preserve"> </w:t>
      </w:r>
      <m:oMath>
        <m:r>
          <m:t>j</m:t>
        </m:r>
      </m:oMath>
      <w:r>
        <w:t xml:space="preserve"> </w:t>
      </w:r>
      <w:r>
        <w:t xml:space="preserve">处的直达波基带信号为</w:t>
      </w:r>
    </w:p>
    <w:tbl>
      <w:tblPr>
        <w:tblW w:w="9070" w:type="dxa"/>
        <w:jc w:val="center"/>
        <w:tblBorders>
          <w:top w:val="nil"/>
          <w:left w:val="nil"/>
          <w:bottom w:val="nil"/>
          <w:right w:val="nil"/>
          <w:insideH w:val="nil"/>
          <w:insideV w:val="nil"/>
        </w:tblBorders>
        <w:tblLayout w:type="fixed"/>
        <w:tblCellMar>
          <w:left w:w="0" w:type="dxa"/>
          <w:right w:w="0" w:type="dxa"/>
        </w:tblCellMar>
        <w:tblLook w:val="0000" w:firstRow="0" w:lastRow="0" w:firstColumn="0" w:lastColumn="0" w:noHBand="1" w:noVBand="1"/>
      </w:tblPr>
      <w:tblGrid>
        <w:gridCol w:w="900"/>
        <w:gridCol w:w="7270"/>
        <w:gridCol w:w="900"/>
      </w:tblGrid>
      <w:tr>
        <w:trPr>
          <w:cantSplit/>
        </w:trPr>
        <w:tc>
          <w:tcPr>
            <w:tcW w:w="900" w:type="dxa"/>
            <w:vAlign w:val="center"/>
          </w:tcPr>
          <w:p>
            <w:pPr>
              <w:spacing w:before="0" w:after="0"/>
            </w:pPr>
          </w:p>
        </w:tc>
        <w:tc>
          <w:tcPr>
            <w:tcW w:w="7270" w:type="dxa"/>
            <w:vAlign w:val="center"/>
          </w:tcPr>
          <w:p>
            <w:pPr>
              <w:spacing w:before="20" w:after="20" w:line="240" w:lineRule="auto"/>
              <w:jc w:val="center"/>
            </w:pPr>
            <m:oMathPara>
              <m:oMathParaPr>
                <m:jc m:val="center"/>
              </m:oMathParaPr>
              <m:oMath>
                <m:sSub>
                  <m:e>
                    <m:r>
                      <m:t>d</m:t>
                    </m:r>
                  </m:e>
                  <m:sub>
                    <m:r>
                      <m:t>i</m:t>
                    </m:r>
                    <m:r>
                      <m:t>j</m:t>
                    </m:r>
                  </m:sub>
                </m:sSub>
                <m:d>
                  <m:dPr>
                    <m:begChr m:val="("/>
                    <m:sepChr m:val=""/>
                    <m:endChr m:val=")"/>
                    <m:grow/>
                  </m:dPr>
                  <m:e>
                    <m:r>
                      <m:t>t</m:t>
                    </m:r>
                  </m:e>
                </m:d>
                <m:r>
                  <m:rPr>
                    <m:sty m:val="p"/>
                  </m:rPr>
                  <m:t>=</m:t>
                </m:r>
                <m:sSub>
                  <m:e>
                    <m:r>
                      <m:t>x</m:t>
                    </m:r>
                  </m:e>
                  <m:sub>
                    <m:r>
                      <m:t>i</m:t>
                    </m:r>
                  </m:sub>
                </m:sSub>
                <m:d>
                  <m:dPr>
                    <m:begChr m:val="("/>
                    <m:sepChr m:val=""/>
                    <m:endChr m:val=")"/>
                    <m:grow/>
                  </m:dPr>
                  <m:e>
                    <m:r>
                      <m:t>t</m:t>
                    </m:r>
                    <m:r>
                      <m:rPr>
                        <m:sty m:val="p"/>
                      </m:rPr>
                      <m:t>−</m:t>
                    </m:r>
                    <m:sSubSup>
                      <m:e>
                        <m:r>
                          <m:t>τ</m:t>
                        </m:r>
                      </m:e>
                      <m:sub>
                        <m:r>
                          <m:t>i</m:t>
                        </m:r>
                        <m:r>
                          <m:t>j</m:t>
                        </m:r>
                      </m:sub>
                      <m:sup>
                        <m:r>
                          <m:rPr>
                            <m:sty m:val="p"/>
                          </m:rPr>
                          <m:t>d</m:t>
                        </m:r>
                      </m:sup>
                    </m:sSubSup>
                  </m:e>
                </m:d>
                <m:r>
                  <m:rPr>
                    <m:sty m:val="p"/>
                  </m:rPr>
                  <m:t>exp</m:t>
                </m:r>
                <m:d>
                  <m:dPr>
                    <m:begChr m:val="{"/>
                    <m:sepChr m:val=""/>
                    <m:endChr m:val="}"/>
                    <m:grow/>
                  </m:dPr>
                  <m:e>
                    <m:r>
                      <m:rPr>
                        <m:sty m:val="p"/>
                      </m:rPr>
                      <m:t>j</m:t>
                    </m:r>
                    <m:d>
                      <m:dPr>
                        <m:begChr m:val="["/>
                        <m:sepChr m:val=""/>
                        <m:endChr m:val="]"/>
                        <m:grow/>
                      </m:dPr>
                      <m:e>
                        <m:r>
                          <m:t>2</m:t>
                        </m:r>
                        <m:r>
                          <m:t>π</m:t>
                        </m:r>
                        <m:d>
                          <m:dPr>
                            <m:begChr m:val="("/>
                            <m:sepChr m:val=""/>
                            <m:endChr m:val=")"/>
                            <m:grow/>
                          </m:dPr>
                          <m:e>
                            <m:sSub>
                              <m:e>
                                <m:r>
                                  <m:t>f</m:t>
                                </m:r>
                              </m:e>
                              <m:sub>
                                <m:r>
                                  <m:t>i</m:t>
                                </m:r>
                              </m:sub>
                            </m:sSub>
                            <m:r>
                              <m:rPr>
                                <m:sty m:val="p"/>
                              </m:rPr>
                              <m:t>−</m:t>
                            </m:r>
                            <m:sSub>
                              <m:e>
                                <m:r>
                                  <m:t>f</m:t>
                                </m:r>
                              </m:e>
                              <m:sub>
                                <m:r>
                                  <m:rPr>
                                    <m:sty m:val="p"/>
                                  </m:rPr>
                                  <m:t>L</m:t>
                                </m:r>
                                <m:r>
                                  <m:rPr>
                                    <m:sty m:val="p"/>
                                  </m:rPr>
                                  <m:t>,</m:t>
                                </m:r>
                                <m:r>
                                  <m:t>i</m:t>
                                </m:r>
                              </m:sub>
                            </m:sSub>
                          </m:e>
                        </m:d>
                        <m:r>
                          <m:t>t</m:t>
                        </m:r>
                        <m:r>
                          <m:rPr>
                            <m:sty m:val="p"/>
                          </m:rPr>
                          <m:t>−</m:t>
                        </m:r>
                        <m:r>
                          <m:t>2</m:t>
                        </m:r>
                        <m:r>
                          <m:t>π</m:t>
                        </m:r>
                        <m:sSub>
                          <m:e>
                            <m:r>
                              <m:t>f</m:t>
                            </m:r>
                          </m:e>
                          <m:sub>
                            <m:r>
                              <m:t>i</m:t>
                            </m:r>
                          </m:sub>
                        </m:sSub>
                        <m:sSubSup>
                          <m:e>
                            <m:r>
                              <m:t>τ</m:t>
                            </m:r>
                          </m:e>
                          <m:sub>
                            <m:r>
                              <m:t>i</m:t>
                            </m:r>
                            <m:r>
                              <m:t>j</m:t>
                            </m:r>
                          </m:sub>
                          <m:sup>
                            <m:r>
                              <m:rPr>
                                <m:sty m:val="p"/>
                              </m:rPr>
                              <m:t>d</m:t>
                            </m:r>
                          </m:sup>
                        </m:sSubSup>
                        <m:r>
                          <m:rPr>
                            <m:sty m:val="p"/>
                          </m:rPr>
                          <m:t>+</m:t>
                        </m:r>
                        <m:sSub>
                          <m:e>
                            <m:r>
                              <m:t>ϕ</m:t>
                            </m:r>
                          </m:e>
                          <m:sub>
                            <m:r>
                              <m:t>i</m:t>
                            </m:r>
                          </m:sub>
                        </m:sSub>
                        <m:d>
                          <m:dPr>
                            <m:begChr m:val="("/>
                            <m:sepChr m:val=""/>
                            <m:endChr m:val=")"/>
                            <m:grow/>
                          </m:dPr>
                          <m:e>
                            <m:r>
                              <m:t>t</m:t>
                            </m:r>
                            <m:r>
                              <m:rPr>
                                <m:sty m:val="p"/>
                              </m:rPr>
                              <m:t>−</m:t>
                            </m:r>
                            <m:sSubSup>
                              <m:e>
                                <m:r>
                                  <m:t>τ</m:t>
                                </m:r>
                              </m:e>
                              <m:sub>
                                <m:r>
                                  <m:t>i</m:t>
                                </m:r>
                                <m:r>
                                  <m:t>j</m:t>
                                </m:r>
                              </m:sub>
                              <m:sup>
                                <m:r>
                                  <m:rPr>
                                    <m:sty m:val="p"/>
                                  </m:rPr>
                                  <m:t>d</m:t>
                                </m:r>
                              </m:sup>
                            </m:sSubSup>
                          </m:e>
                        </m:d>
                        <m:r>
                          <m:rPr>
                            <m:sty m:val="p"/>
                          </m:rPr>
                          <m:t>−</m:t>
                        </m:r>
                        <m:sSub>
                          <m:e>
                            <m:r>
                              <m:t>ϑ</m:t>
                            </m:r>
                          </m:e>
                          <m:sub>
                            <m:r>
                              <m:t>j</m:t>
                            </m:r>
                          </m:sub>
                        </m:sSub>
                        <m:d>
                          <m:dPr>
                            <m:begChr m:val="("/>
                            <m:sepChr m:val=""/>
                            <m:endChr m:val=")"/>
                            <m:grow/>
                          </m:dPr>
                          <m:e>
                            <m:r>
                              <m:t>t</m:t>
                            </m:r>
                          </m:e>
                        </m:d>
                      </m:e>
                    </m:d>
                  </m:e>
                </m:d>
              </m:oMath>
            </m:oMathPara>
          </w:p>
        </w:tc>
        <w:tc>
          <w:tcPr>
            <w:tcW w:w="900" w:type="dxa"/>
            <w:vAlign w:val="center"/>
          </w:tcPr>
          <w:p>
            <w:pPr>
              <w:spacing w:before="0" w:after="0"/>
              <w:jc w:val="right"/>
            </w:pPr>
            <w:r>
              <w:t xml:space="preserve">(4)</w:t>
            </w:r>
          </w:p>
        </w:tc>
      </w:tr>
    </w:tbl>
    <w:p>
      <w:pPr>
        <w:pStyle w:val="FirstParagraph"/>
        <w:ind w:firstLineChars="0" w:firstLine="0"/>
      </w:pPr>
      <w:r>
        <w:t xml:space="preserve">式中，</w:t>
      </w:r>
      <m:oMath>
        <m:sSubSup>
          <m:e>
            <m:r>
              <m:t>τ</m:t>
            </m:r>
          </m:e>
          <m:sub>
            <m:r>
              <m:t>i</m:t>
            </m:r>
            <m:r>
              <m:t>j</m:t>
            </m:r>
          </m:sub>
          <m:sup>
            <m:r>
              <m:rPr>
                <m:sty m:val="p"/>
              </m:rPr>
              <m:t>d</m:t>
            </m:r>
          </m:sup>
        </m:sSubSup>
        <m:r>
          <m:rPr>
            <m:sty m:val="p"/>
          </m:rPr>
          <m:t>=</m:t>
        </m:r>
        <m:d>
          <m:dPr>
            <m:begChr m:val="∥"/>
            <m:sepChr m:val=""/>
            <m:endChr m:val="∥"/>
            <m:grow/>
          </m:dPr>
          <m:e>
            <m:sSub>
              <m:e>
                <m:r>
                  <m:rPr>
                    <m:sty m:val="b"/>
                  </m:rPr>
                  <m:t>t</m:t>
                </m:r>
              </m:e>
              <m:sub>
                <m:r>
                  <m:t>i</m:t>
                </m:r>
              </m:sub>
            </m:sSub>
            <m:r>
              <m:rPr>
                <m:sty m:val="p"/>
              </m:rPr>
              <m:t>−</m:t>
            </m:r>
            <m:sSub>
              <m:e>
                <m:r>
                  <m:rPr>
                    <m:sty m:val="b"/>
                  </m:rPr>
                  <m:t>r</m:t>
                </m:r>
              </m:e>
              <m:sub>
                <m:r>
                  <m:t>j</m:t>
                </m:r>
              </m:sub>
            </m:sSub>
          </m:e>
        </m:d>
        <m:r>
          <m:rPr>
            <m:sty m:val="p"/>
          </m:rPr>
          <m:t>/</m:t>
        </m:r>
        <m:r>
          <m:t>c</m:t>
        </m:r>
      </m:oMath>
      <w:r>
        <w:t xml:space="preserve">。参考通道与监视通道（信号源</w:t>
      </w:r>
      <w:r>
        <w:t xml:space="preserve"> </w:t>
      </w:r>
      <m:oMath>
        <m:r>
          <m:t>i</m:t>
        </m:r>
      </m:oMath>
      <w:r>
        <w:t xml:space="preserve"> </w:t>
      </w:r>
      <w:r>
        <w:t xml:space="preserve">所在信道）的接收信号分别为</w:t>
      </w:r>
    </w:p>
    <w:tbl>
      <w:tblPr>
        <w:tblW w:w="9070" w:type="dxa"/>
        <w:jc w:val="center"/>
        <w:tblBorders>
          <w:top w:val="nil"/>
          <w:left w:val="nil"/>
          <w:bottom w:val="nil"/>
          <w:right w:val="nil"/>
          <w:insideH w:val="nil"/>
          <w:insideV w:val="nil"/>
        </w:tblBorders>
        <w:tblLayout w:type="fixed"/>
        <w:tblCellMar>
          <w:left w:w="0" w:type="dxa"/>
          <w:right w:w="0" w:type="dxa"/>
        </w:tblCellMar>
        <w:tblLook w:val="0000" w:firstRow="0" w:lastRow="0" w:firstColumn="0" w:lastColumn="0" w:noHBand="1" w:noVBand="1"/>
      </w:tblPr>
      <w:tblGrid>
        <w:gridCol w:w="900"/>
        <w:gridCol w:w="7270"/>
        <w:gridCol w:w="900"/>
      </w:tblGrid>
      <w:tr>
        <w:trPr>
          <w:cantSplit/>
        </w:trPr>
        <w:tc>
          <w:tcPr>
            <w:tcW w:w="900" w:type="dxa"/>
            <w:vAlign w:val="center"/>
          </w:tcPr>
          <w:p>
            <w:pPr>
              <w:spacing w:before="0" w:after="0"/>
            </w:pPr>
          </w:p>
        </w:tc>
        <w:tc>
          <w:tcPr>
            <w:tcW w:w="7270" w:type="dxa"/>
            <w:vAlign w:val="center"/>
          </w:tcPr>
          <w:p>
            <w:pPr>
              <w:spacing w:before="20" w:after="20" w:line="240" w:lineRule="auto"/>
              <w:jc w:val="center"/>
            </w:pPr>
            <m:oMathPara>
              <m:oMathParaPr>
                <m:jc m:val="center"/>
              </m:oMathParaPr>
              <m:oMath>
                <m:sSubSup>
                  <m:e>
                    <m:r>
                      <m:t>y</m:t>
                    </m:r>
                  </m:e>
                  <m:sub>
                    <m:r>
                      <m:t>i</m:t>
                    </m:r>
                    <m:r>
                      <m:t>j</m:t>
                    </m:r>
                  </m:sub>
                  <m:sup>
                    <m:r>
                      <m:rPr>
                        <m:sty m:val="p"/>
                      </m:rPr>
                      <m:t>r</m:t>
                    </m:r>
                  </m:sup>
                </m:sSubSup>
                <m:d>
                  <m:dPr>
                    <m:begChr m:val="("/>
                    <m:sepChr m:val=""/>
                    <m:endChr m:val=")"/>
                    <m:grow/>
                  </m:dPr>
                  <m:e>
                    <m:r>
                      <m:t>t</m:t>
                    </m:r>
                  </m:e>
                </m:d>
                <m:r>
                  <m:rPr>
                    <m:sty m:val="p"/>
                  </m:rPr>
                  <m:t>=</m:t>
                </m:r>
                <m:sSub>
                  <m:e>
                    <m:r>
                      <m:t>b</m:t>
                    </m:r>
                  </m:e>
                  <m:sub>
                    <m:r>
                      <m:t>i</m:t>
                    </m:r>
                    <m:r>
                      <m:t>j</m:t>
                    </m:r>
                  </m:sub>
                </m:sSub>
                <m:r>
                  <m:t> </m:t>
                </m:r>
                <m:sSub>
                  <m:e>
                    <m:r>
                      <m:t>d</m:t>
                    </m:r>
                  </m:e>
                  <m:sub>
                    <m:r>
                      <m:t>i</m:t>
                    </m:r>
                    <m:r>
                      <m:t>j</m:t>
                    </m:r>
                  </m:sub>
                </m:sSub>
                <m:d>
                  <m:dPr>
                    <m:begChr m:val="("/>
                    <m:sepChr m:val=""/>
                    <m:endChr m:val=")"/>
                    <m:grow/>
                  </m:dPr>
                  <m:e>
                    <m:r>
                      <m:t>t</m:t>
                    </m:r>
                  </m:e>
                </m:d>
                <m:r>
                  <m:rPr>
                    <m:sty m:val="p"/>
                  </m:rPr>
                  <m:t>+</m:t>
                </m:r>
                <m:sSubSup>
                  <m:e>
                    <m:r>
                      <m:t>n</m:t>
                    </m:r>
                  </m:e>
                  <m:sub>
                    <m:r>
                      <m:t>i</m:t>
                    </m:r>
                    <m:r>
                      <m:t>j</m:t>
                    </m:r>
                  </m:sub>
                  <m:sup>
                    <m:r>
                      <m:rPr>
                        <m:sty m:val="p"/>
                      </m:rPr>
                      <m:t>r</m:t>
                    </m:r>
                  </m:sup>
                </m:sSubSup>
                <m:d>
                  <m:dPr>
                    <m:begChr m:val="("/>
                    <m:sepChr m:val=""/>
                    <m:endChr m:val=")"/>
                    <m:grow/>
                  </m:dPr>
                  <m:e>
                    <m:r>
                      <m:t>t</m:t>
                    </m:r>
                  </m:e>
                </m:d>
                <m:r>
                  <m:rPr>
                    <m:sty m:val="p"/>
                  </m:rPr>
                  <m:t>,</m:t>
                </m:r>
                <m:r>
                  <m:t>  </m:t>
                </m:r>
                <m:sSubSup>
                  <m:e>
                    <m:r>
                      <m:t>y</m:t>
                    </m:r>
                  </m:e>
                  <m:sub>
                    <m:r>
                      <m:t>i</m:t>
                    </m:r>
                    <m:r>
                      <m:t>j</m:t>
                    </m:r>
                  </m:sub>
                  <m:sup>
                    <m:r>
                      <m:rPr>
                        <m:sty m:val="p"/>
                      </m:rPr>
                      <m:t>s</m:t>
                    </m:r>
                  </m:sup>
                </m:sSubSup>
                <m:d>
                  <m:dPr>
                    <m:begChr m:val="("/>
                    <m:sepChr m:val=""/>
                    <m:endChr m:val=")"/>
                    <m:grow/>
                  </m:dPr>
                  <m:e>
                    <m:r>
                      <m:t>t</m:t>
                    </m:r>
                  </m:e>
                </m:d>
                <m:r>
                  <m:rPr>
                    <m:sty m:val="p"/>
                  </m:rPr>
                  <m:t>=</m:t>
                </m:r>
                <m:sSub>
                  <m:e>
                    <m:r>
                      <m:t>a</m:t>
                    </m:r>
                  </m:e>
                  <m:sub>
                    <m:r>
                      <m:t>i</m:t>
                    </m:r>
                    <m:r>
                      <m:t>j</m:t>
                    </m:r>
                  </m:sub>
                </m:sSub>
                <m:sSub>
                  <m:e>
                    <m:r>
                      <m:t>d</m:t>
                    </m:r>
                  </m:e>
                  <m:sub>
                    <m:r>
                      <m:t>i</m:t>
                    </m:r>
                    <m:r>
                      <m:t>j</m:t>
                    </m:r>
                  </m:sub>
                </m:sSub>
                <m:d>
                  <m:dPr>
                    <m:begChr m:val="("/>
                    <m:sepChr m:val=""/>
                    <m:endChr m:val=")"/>
                    <m:grow/>
                  </m:dPr>
                  <m:e>
                    <m:r>
                      <m:t>t</m:t>
                    </m:r>
                  </m:e>
                </m:d>
                <m:r>
                  <m:rPr>
                    <m:sty m:val="p"/>
                  </m:rPr>
                  <m:t>+</m:t>
                </m:r>
                <m:nary>
                  <m:naryPr>
                    <m:chr m:val="∑"/>
                    <m:limLoc m:val="undOvr"/>
                    <m:subHide m:val="off"/>
                    <m:supHide m:val="on"/>
                  </m:naryPr>
                  <m:sub>
                    <m:r>
                      <m:t>k</m:t>
                    </m:r>
                  </m:sub>
                  <m:sup>
                    <m:r>
                      <m:t>​</m:t>
                    </m:r>
                  </m:sup>
                  <m:e>
                    <m:sSub>
                      <m:e>
                        <m:r>
                          <m:t>c</m:t>
                        </m:r>
                      </m:e>
                      <m:sub>
                        <m:r>
                          <m:t>i</m:t>
                        </m:r>
                        <m:r>
                          <m:t>j</m:t>
                        </m:r>
                        <m:r>
                          <m:t>k</m:t>
                        </m:r>
                      </m:sub>
                    </m:sSub>
                  </m:e>
                </m:nary>
                <m:r>
                  <m:t> </m:t>
                </m:r>
                <m:sSub>
                  <m:e>
                    <m:r>
                      <m:t>d</m:t>
                    </m:r>
                  </m:e>
                  <m:sub>
                    <m:r>
                      <m:t>i</m:t>
                    </m:r>
                    <m:r>
                      <m:t>j</m:t>
                    </m:r>
                  </m:sub>
                </m:sSub>
                <m:d>
                  <m:dPr>
                    <m:begChr m:val="("/>
                    <m:sepChr m:val=""/>
                    <m:endChr m:val=")"/>
                    <m:grow/>
                  </m:dPr>
                  <m:e>
                    <m:r>
                      <m:t>t</m:t>
                    </m:r>
                    <m:r>
                      <m:rPr>
                        <m:sty m:val="p"/>
                      </m:rPr>
                      <m:t>−</m:t>
                    </m:r>
                    <m:sSubSup>
                      <m:e>
                        <m:r>
                          <m:t>τ</m:t>
                        </m:r>
                      </m:e>
                      <m:sub>
                        <m:r>
                          <m:t>i</m:t>
                        </m:r>
                        <m:r>
                          <m:t>j</m:t>
                        </m:r>
                        <m:r>
                          <m:t>k</m:t>
                        </m:r>
                      </m:sub>
                      <m:sup>
                        <m:r>
                          <m:rPr>
                            <m:sty m:val="p"/>
                          </m:rPr>
                          <m:t>c</m:t>
                        </m:r>
                      </m:sup>
                    </m:sSubSup>
                  </m:e>
                </m:d>
                <m:r>
                  <m:rPr>
                    <m:sty m:val="p"/>
                  </m:rPr>
                  <m:t>+</m:t>
                </m:r>
                <m:sSub>
                  <m:e>
                    <m:r>
                      <m:t>e</m:t>
                    </m:r>
                  </m:e>
                  <m:sub>
                    <m:r>
                      <m:t>l</m:t>
                    </m:r>
                  </m:sub>
                </m:sSub>
                <m:d>
                  <m:dPr>
                    <m:begChr m:val="("/>
                    <m:sepChr m:val=""/>
                    <m:endChr m:val=")"/>
                    <m:grow/>
                  </m:dPr>
                  <m:e>
                    <m:r>
                      <m:t>t</m:t>
                    </m:r>
                  </m:e>
                </m:d>
                <m:r>
                  <m:rPr>
                    <m:sty m:val="p"/>
                  </m:rPr>
                  <m:t>+</m:t>
                </m:r>
                <m:sSubSup>
                  <m:e>
                    <m:r>
                      <m:t>n</m:t>
                    </m:r>
                  </m:e>
                  <m:sub>
                    <m:r>
                      <m:t>i</m:t>
                    </m:r>
                    <m:r>
                      <m:t>j</m:t>
                    </m:r>
                  </m:sub>
                  <m:sup>
                    <m:r>
                      <m:rPr>
                        <m:sty m:val="p"/>
                      </m:rPr>
                      <m:t>s</m:t>
                    </m:r>
                  </m:sup>
                </m:sSubSup>
                <m:d>
                  <m:dPr>
                    <m:begChr m:val="("/>
                    <m:sepChr m:val=""/>
                    <m:endChr m:val=")"/>
                    <m:grow/>
                  </m:dPr>
                  <m:e>
                    <m:r>
                      <m:t>t</m:t>
                    </m:r>
                  </m:e>
                </m:d>
              </m:oMath>
            </m:oMathPara>
          </w:p>
        </w:tc>
        <w:tc>
          <w:tcPr>
            <w:tcW w:w="900" w:type="dxa"/>
            <w:vAlign w:val="center"/>
          </w:tcPr>
          <w:p>
            <w:pPr>
              <w:spacing w:before="0" w:after="0"/>
              <w:jc w:val="right"/>
            </w:pPr>
            <w:r>
              <w:t xml:space="preserve">(5)</w:t>
            </w:r>
          </w:p>
        </w:tc>
      </w:tr>
    </w:tbl>
    <w:p>
      <w:pPr>
        <w:pStyle w:val="FirstParagraph"/>
        <w:ind w:firstLineChars="0" w:firstLine="0"/>
      </w:pPr>
      <w:r>
        <w:t xml:space="preserve">式中，</w:t>
      </w:r>
      <m:oMath>
        <m:sSub>
          <m:e>
            <m:r>
              <m:t>b</m:t>
            </m:r>
          </m:e>
          <m:sub>
            <m:r>
              <m:t>i</m:t>
            </m:r>
            <m:r>
              <m:t>j</m:t>
            </m:r>
          </m:sub>
        </m:sSub>
      </m:oMath>
      <w:r>
        <w:t xml:space="preserve">、</w:t>
      </w:r>
      <m:oMath>
        <m:sSub>
          <m:e>
            <m:r>
              <m:t>a</m:t>
            </m:r>
          </m:e>
          <m:sub>
            <m:r>
              <m:t>i</m:t>
            </m:r>
            <m:r>
              <m:t>j</m:t>
            </m:r>
          </m:sub>
        </m:sSub>
      </m:oMath>
      <w:r>
        <w:t xml:space="preserve"> </w:t>
      </w:r>
      <w:r>
        <w:t xml:space="preserve">分别为参考通道与监视通道中直达波的复增益，第二项为多径杂波，</w:t>
      </w:r>
      <m:oMath>
        <m:sSubSup>
          <m:e>
            <m:r>
              <m:t>n</m:t>
            </m:r>
          </m:e>
          <m:sub>
            <m:r>
              <m:t>i</m:t>
            </m:r>
            <m:r>
              <m:t>j</m:t>
            </m:r>
          </m:sub>
          <m:sup>
            <m:r>
              <m:rPr>
                <m:sty m:val="p"/>
              </m:rPr>
              <m:t>r</m:t>
            </m:r>
          </m:sup>
        </m:sSubSup>
      </m:oMath>
      <w:r>
        <w:t xml:space="preserve">、</w:t>
      </w:r>
      <m:oMath>
        <m:sSubSup>
          <m:e>
            <m:r>
              <m:t>n</m:t>
            </m:r>
          </m:e>
          <m:sub>
            <m:r>
              <m:t>i</m:t>
            </m:r>
            <m:r>
              <m:t>j</m:t>
            </m:r>
          </m:sub>
          <m:sup>
            <m:r>
              <m:rPr>
                <m:sty m:val="p"/>
              </m:rPr>
              <m:t>s</m:t>
            </m:r>
          </m:sup>
        </m:sSubSup>
      </m:oMath>
      <w:r>
        <w:t xml:space="preserve"> </w:t>
      </w:r>
      <w:r>
        <w:t xml:space="preserve">为接收机噪声。目标回波相对直达波的附加时延为</w:t>
      </w:r>
      <w:r>
        <w:t xml:space="preserve"> </w:t>
      </w:r>
      <m:oMath>
        <m:sSub>
          <m:e>
            <m:r>
              <m:t>τ</m:t>
            </m:r>
          </m:e>
          <m:sub>
            <m:r>
              <m:t>l</m:t>
            </m:r>
          </m:sub>
        </m:sSub>
        <m:d>
          <m:dPr>
            <m:begChr m:val="("/>
            <m:sepChr m:val=""/>
            <m:endChr m:val=")"/>
            <m:grow/>
          </m:dPr>
          <m:e>
            <m:r>
              <m:t>t</m:t>
            </m:r>
          </m:e>
        </m:d>
        <m:r>
          <m:rPr>
            <m:sty m:val="p"/>
          </m:rPr>
          <m:t>=</m:t>
        </m:r>
        <m:sSub>
          <m:e>
            <m:r>
              <m:t>R</m:t>
            </m:r>
          </m:e>
          <m:sub>
            <m:r>
              <m:t>l</m:t>
            </m:r>
          </m:sub>
        </m:sSub>
        <m:d>
          <m:dPr>
            <m:begChr m:val="("/>
            <m:sepChr m:val=""/>
            <m:endChr m:val=")"/>
            <m:grow/>
          </m:dPr>
          <m:e>
            <m:r>
              <m:t>t</m:t>
            </m:r>
          </m:e>
        </m:d>
        <m:r>
          <m:rPr>
            <m:sty m:val="p"/>
          </m:rPr>
          <m:t>/</m:t>
        </m:r>
        <m:r>
          <m:t>c</m:t>
        </m:r>
      </m:oMath>
      <w:r>
        <w:t xml:space="preserve">。将回波写成直达波的时延形式，并利用CPI内</w:t>
      </w:r>
      <w:r>
        <w:t xml:space="preserve"> </w:t>
      </w:r>
      <m:oMath>
        <m:sSub>
          <m:e>
            <m:r>
              <m:t>τ</m:t>
            </m:r>
          </m:e>
          <m:sub>
            <m:r>
              <m:t>l</m:t>
            </m:r>
          </m:sub>
        </m:sSub>
        <m:d>
          <m:dPr>
            <m:begChr m:val="("/>
            <m:sepChr m:val=""/>
            <m:endChr m:val=")"/>
            <m:grow/>
          </m:dPr>
          <m:e>
            <m:r>
              <m:t>t</m:t>
            </m:r>
          </m:e>
        </m:d>
        <m:r>
          <m:rPr>
            <m:sty m:val="p"/>
          </m:rPr>
          <m:t>≈</m:t>
        </m:r>
        <m:sSub>
          <m:e>
            <m:r>
              <m:t>τ</m:t>
            </m:r>
          </m:e>
          <m:sub>
            <m:r>
              <m:t>l</m:t>
            </m:r>
          </m:sub>
        </m:sSub>
        <m:r>
          <m:rPr>
            <m:sty m:val="p"/>
          </m:rPr>
          <m:t>+</m:t>
        </m:r>
        <m:sSub>
          <m:e>
            <m:acc>
              <m:accPr>
                <m:chr m:val="̇"/>
              </m:accPr>
              <m:e>
                <m:r>
                  <m:t>τ</m:t>
                </m:r>
              </m:e>
            </m:acc>
          </m:e>
          <m:sub>
            <m:r>
              <m:t>l</m:t>
            </m:r>
          </m:sub>
        </m:sSub>
        <m:d>
          <m:dPr>
            <m:begChr m:val="("/>
            <m:sepChr m:val=""/>
            <m:endChr m:val=")"/>
            <m:grow/>
          </m:dPr>
          <m:e>
            <m:r>
              <m:t>t</m:t>
            </m:r>
            <m:r>
              <m:rPr>
                <m:sty m:val="p"/>
              </m:rPr>
              <m:t>−</m:t>
            </m:r>
            <m:sSub>
              <m:e>
                <m:r>
                  <m:t>t</m:t>
                </m:r>
              </m:e>
              <m:sub>
                <m:r>
                  <m:t>c</m:t>
                </m:r>
              </m:sub>
            </m:sSub>
          </m:e>
        </m:d>
      </m:oMath>
      <w:r>
        <w:t xml:space="preserve">，可得</w:t>
      </w:r>
    </w:p>
    <w:tbl>
      <w:tblPr>
        <w:tblW w:w="9070" w:type="dxa"/>
        <w:jc w:val="center"/>
        <w:tblBorders>
          <w:top w:val="nil"/>
          <w:left w:val="nil"/>
          <w:bottom w:val="nil"/>
          <w:right w:val="nil"/>
          <w:insideH w:val="nil"/>
          <w:insideV w:val="nil"/>
        </w:tblBorders>
        <w:tblLayout w:type="fixed"/>
        <w:tblCellMar>
          <w:left w:w="0" w:type="dxa"/>
          <w:right w:w="0" w:type="dxa"/>
        </w:tblCellMar>
        <w:tblLook w:val="0000" w:firstRow="0" w:lastRow="0" w:firstColumn="0" w:lastColumn="0" w:noHBand="1" w:noVBand="1"/>
      </w:tblPr>
      <w:tblGrid>
        <w:gridCol w:w="900"/>
        <w:gridCol w:w="7270"/>
        <w:gridCol w:w="900"/>
      </w:tblGrid>
      <w:tr>
        <w:trPr>
          <w:cantSplit/>
        </w:trPr>
        <w:tc>
          <w:tcPr>
            <w:tcW w:w="900" w:type="dxa"/>
            <w:vAlign w:val="center"/>
          </w:tcPr>
          <w:p>
            <w:pPr>
              <w:spacing w:before="0" w:after="0"/>
            </w:pPr>
          </w:p>
        </w:tc>
        <w:tc>
          <w:tcPr>
            <w:tcW w:w="7270" w:type="dxa"/>
            <w:vAlign w:val="center"/>
          </w:tcPr>
          <w:p>
            <w:pPr>
              <w:spacing w:before="20" w:after="20" w:line="240" w:lineRule="auto"/>
              <w:jc w:val="center"/>
            </w:pPr>
            <m:oMathPara>
              <m:oMathParaPr>
                <m:jc m:val="center"/>
              </m:oMathParaPr>
              <m:oMath>
                <m:sSub>
                  <m:e>
                    <m:r>
                      <m:t>e</m:t>
                    </m:r>
                  </m:e>
                  <m:sub>
                    <m:r>
                      <m:t>l</m:t>
                    </m:r>
                  </m:sub>
                </m:sSub>
                <m:d>
                  <m:dPr>
                    <m:begChr m:val="("/>
                    <m:sepChr m:val=""/>
                    <m:endChr m:val=")"/>
                    <m:grow/>
                  </m:dPr>
                  <m:e>
                    <m:r>
                      <m:t>t</m:t>
                    </m:r>
                  </m:e>
                </m:d>
                <m:r>
                  <m:rPr>
                    <m:sty m:val="p"/>
                  </m:rPr>
                  <m:t>=</m:t>
                </m:r>
                <m:sSub>
                  <m:e>
                    <m:r>
                      <m:t>g</m:t>
                    </m:r>
                  </m:e>
                  <m:sub>
                    <m:r>
                      <m:t>l</m:t>
                    </m:r>
                  </m:sub>
                </m:sSub>
                <m:r>
                  <m:t> </m:t>
                </m:r>
                <m:sSub>
                  <m:e>
                    <m:r>
                      <m:t>α</m:t>
                    </m:r>
                  </m:e>
                  <m:sub>
                    <m:r>
                      <m:t>l</m:t>
                    </m:r>
                  </m:sub>
                </m:sSub>
                <m:r>
                  <m:t> </m:t>
                </m:r>
                <m:sSup>
                  <m:e>
                    <m:r>
                      <m:t>e</m:t>
                    </m:r>
                  </m:e>
                  <m:sup>
                    <m:r>
                      <m:rPr>
                        <m:sty m:val="p"/>
                      </m:rPr>
                      <m:t>j</m:t>
                    </m:r>
                    <m:sSubSup>
                      <m:e>
                        <m:r>
                          <m:rPr>
                            <m:sty m:val="p"/>
                          </m:rPr>
                          <m:t>𝜘</m:t>
                        </m:r>
                      </m:e>
                      <m:sub>
                        <m:r>
                          <m:t>i</m:t>
                        </m:r>
                        <m:r>
                          <m:t>j</m:t>
                        </m:r>
                      </m:sub>
                      <m:sup>
                        <m:r>
                          <m:rPr>
                            <m:sty m:val="p"/>
                          </m:rPr>
                          <m:t>s</m:t>
                        </m:r>
                      </m:sup>
                    </m:sSubSup>
                  </m:sup>
                </m:sSup>
                <m:r>
                  <m:t> </m:t>
                </m:r>
                <m:sSub>
                  <m:e>
                    <m:r>
                      <m:t>d</m:t>
                    </m:r>
                  </m:e>
                  <m:sub>
                    <m:r>
                      <m:t>i</m:t>
                    </m:r>
                    <m:r>
                      <m:t>j</m:t>
                    </m:r>
                  </m:sub>
                </m:sSub>
                <m:d>
                  <m:dPr>
                    <m:begChr m:val="("/>
                    <m:sepChr m:val=""/>
                    <m:endChr m:val=")"/>
                    <m:grow/>
                  </m:dPr>
                  <m:e>
                    <m:r>
                      <m:t>t</m:t>
                    </m:r>
                    <m:r>
                      <m:rPr>
                        <m:sty m:val="p"/>
                      </m:rPr>
                      <m:t>−</m:t>
                    </m:r>
                    <m:sSub>
                      <m:e>
                        <m:r>
                          <m:t>τ</m:t>
                        </m:r>
                      </m:e>
                      <m:sub>
                        <m:r>
                          <m:t>l</m:t>
                        </m:r>
                      </m:sub>
                    </m:sSub>
                  </m:e>
                </m:d>
                <m:r>
                  <m:rPr>
                    <m:sty m:val="p"/>
                  </m:rPr>
                  <m:t>exp</m:t>
                </m:r>
                <m:d>
                  <m:dPr>
                    <m:begChr m:val="("/>
                    <m:sepChr m:val=""/>
                    <m:endChr m:val=")"/>
                    <m:grow/>
                  </m:dPr>
                  <m:e>
                    <m:r>
                      <m:rPr>
                        <m:sty m:val="p"/>
                      </m:rPr>
                      <m:t>−</m:t>
                    </m:r>
                    <m:r>
                      <m:rPr>
                        <m:sty m:val="p"/>
                      </m:rPr>
                      <m:t>j</m:t>
                    </m:r>
                    <m:r>
                      <m:t>2</m:t>
                    </m:r>
                    <m:r>
                      <m:t>π</m:t>
                    </m:r>
                    <m:sSub>
                      <m:e>
                        <m:r>
                          <m:t>f</m:t>
                        </m:r>
                      </m:e>
                      <m:sub>
                        <m:r>
                          <m:rPr>
                            <m:sty m:val="p"/>
                          </m:rPr>
                          <m:t>L</m:t>
                        </m:r>
                        <m:r>
                          <m:rPr>
                            <m:sty m:val="p"/>
                          </m:rPr>
                          <m:t>,</m:t>
                        </m:r>
                        <m:r>
                          <m:t>i</m:t>
                        </m:r>
                      </m:sub>
                    </m:sSub>
                    <m:sSub>
                      <m:e>
                        <m:r>
                          <m:t>τ</m:t>
                        </m:r>
                      </m:e>
                      <m:sub>
                        <m:r>
                          <m:t>l</m:t>
                        </m:r>
                      </m:sub>
                    </m:sSub>
                  </m:e>
                </m:d>
                <m:r>
                  <m:rPr>
                    <m:sty m:val="p"/>
                  </m:rPr>
                  <m:t>exp</m:t>
                </m:r>
                <m:d>
                  <m:dPr>
                    <m:begChr m:val="["/>
                    <m:sepChr m:val=""/>
                    <m:endChr m:val="]"/>
                    <m:grow/>
                  </m:dPr>
                  <m:e>
                    <m:r>
                      <m:rPr>
                        <m:sty m:val="p"/>
                      </m:rPr>
                      <m:t>j</m:t>
                    </m:r>
                    <m:r>
                      <m:t>2</m:t>
                    </m:r>
                    <m:r>
                      <m:t>π</m:t>
                    </m:r>
                    <m:sSub>
                      <m:e>
                        <m:r>
                          <m:t>f</m:t>
                        </m:r>
                      </m:e>
                      <m:sub>
                        <m:r>
                          <m:t>l</m:t>
                        </m:r>
                      </m:sub>
                    </m:sSub>
                    <m:d>
                      <m:dPr>
                        <m:begChr m:val="("/>
                        <m:sepChr m:val=""/>
                        <m:endChr m:val=")"/>
                        <m:grow/>
                      </m:dPr>
                      <m:e>
                        <m:r>
                          <m:t>t</m:t>
                        </m:r>
                        <m:r>
                          <m:rPr>
                            <m:sty m:val="p"/>
                          </m:rPr>
                          <m:t>−</m:t>
                        </m:r>
                        <m:sSub>
                          <m:e>
                            <m:r>
                              <m:t>t</m:t>
                            </m:r>
                          </m:e>
                          <m:sub>
                            <m:r>
                              <m:t>c</m:t>
                            </m:r>
                          </m:sub>
                        </m:sSub>
                      </m:e>
                    </m:d>
                  </m:e>
                </m:d>
              </m:oMath>
            </m:oMathPara>
          </w:p>
        </w:tc>
        <w:tc>
          <w:tcPr>
            <w:tcW w:w="900" w:type="dxa"/>
            <w:vAlign w:val="center"/>
          </w:tcPr>
          <w:p>
            <w:pPr>
              <w:spacing w:before="0" w:after="0"/>
              <w:jc w:val="right"/>
            </w:pPr>
            <w:r>
              <w:t xml:space="preserve">(6)</w:t>
            </w:r>
          </w:p>
        </w:tc>
      </w:tr>
    </w:tbl>
    <w:p>
      <w:pPr>
        <w:pStyle w:val="FirstParagraph"/>
        <w:ind w:firstLineChars="0" w:firstLine="0"/>
      </w:pPr>
      <w:r>
        <w:t xml:space="preserve">式中，</w:t>
      </w:r>
      <m:oMath>
        <m:sSub>
          <m:e>
            <m:r>
              <m:t>g</m:t>
            </m:r>
          </m:e>
          <m:sub>
            <m:r>
              <m:t>l</m:t>
            </m:r>
          </m:sub>
        </m:sSub>
      </m:oMath>
      <w:r>
        <w:t xml:space="preserve"> </w:t>
      </w:r>
      <w:r>
        <w:t xml:space="preserve">为由双基地雷达方程决定的回波幅度，</w:t>
      </w:r>
      <m:oMath>
        <m:sSub>
          <m:e>
            <m:r>
              <m:t>α</m:t>
            </m:r>
          </m:e>
          <m:sub>
            <m:r>
              <m:t>l</m:t>
            </m:r>
          </m:sub>
        </m:sSub>
      </m:oMath>
      <w:r>
        <w:t xml:space="preserve"> </w:t>
      </w:r>
      <w:r>
        <w:t xml:space="preserve">为目标在链路</w:t>
      </w:r>
      <w:r>
        <w:t xml:space="preserve"> </w:t>
      </w:r>
      <m:oMath>
        <m:r>
          <m:t>l</m:t>
        </m:r>
      </m:oMath>
      <w:r>
        <w:t xml:space="preserve"> </w:t>
      </w:r>
      <w:r>
        <w:t xml:space="preserve">收发视角下的复散射系数，</w:t>
      </w:r>
      <m:oMath>
        <m:sSubSup>
          <m:e>
            <m:r>
              <m:rPr>
                <m:sty m:val="p"/>
              </m:rPr>
              <m:t>𝜘</m:t>
            </m:r>
          </m:e>
          <m:sub>
            <m:r>
              <m:t>i</m:t>
            </m:r>
            <m:r>
              <m:t>j</m:t>
            </m:r>
          </m:sub>
          <m:sup>
            <m:r>
              <m:rPr>
                <m:sty m:val="p"/>
              </m:rPr>
              <m:t>s</m:t>
            </m:r>
          </m:sup>
        </m:sSubSup>
      </m:oMath>
      <w:r>
        <w:t xml:space="preserve"> </w:t>
      </w:r>
      <w:r>
        <w:t xml:space="preserve">为监视天线（目标方向）及监视通道的相位响应。推导中利用了：发射相位噪声在回波与直达波之间的时延差</w:t>
      </w:r>
      <w:r>
        <w:t xml:space="preserve"> </w:t>
      </w:r>
      <m:oMath>
        <m:sSub>
          <m:e>
            <m:r>
              <m:t>τ</m:t>
            </m:r>
          </m:e>
          <m:sub>
            <m:r>
              <m:t>l</m:t>
            </m:r>
          </m:sub>
        </m:sSub>
      </m:oMath>
      <w:r>
        <w:t xml:space="preserve">（本例小于0.2 ms）内近似不变，本振相位</w:t>
      </w:r>
      <w:r>
        <w:t xml:space="preserve"> </w:t>
      </w:r>
      <m:oMath>
        <m:sSub>
          <m:e>
            <m:r>
              <m:t>ϑ</m:t>
            </m:r>
          </m:e>
          <m:sub>
            <m:r>
              <m:t>j</m:t>
            </m:r>
          </m:sub>
        </m:sSub>
        <m:d>
          <m:dPr>
            <m:begChr m:val="("/>
            <m:sepChr m:val=""/>
            <m:endChr m:val=")"/>
            <m:grow/>
          </m:dPr>
          <m:e>
            <m:r>
              <m:t>t</m:t>
            </m:r>
          </m:e>
        </m:d>
      </m:oMath>
      <w:r>
        <w:t xml:space="preserve"> </w:t>
      </w:r>
      <w:r>
        <w:t xml:space="preserve">在两路信号中相同。</w:t>
      </w:r>
    </w:p>
    <w:bookmarkEnd w:id="31"/>
    <w:bookmarkStart w:id="32" w:name="链路互模糊函数输出及其相位构成"/>
    <w:p>
      <w:pPr>
        <w:pStyle w:val="Heading2"/>
      </w:pPr>
      <w:r>
        <w:t xml:space="preserve">3.3 链路互模糊函数输出及其相位构成</w:t>
      </w:r>
    </w:p>
    <w:p>
      <w:pPr>
        <w:pStyle w:val="FirstParagraph"/>
      </w:pPr>
      <w:r>
        <w:t xml:space="preserve">以提纯后保留直达波复增益相位的参考信号</w:t>
      </w:r>
      <w:r>
        <w:t xml:space="preserve"> </w:t>
      </w:r>
      <m:oMath>
        <m:sSub>
          <m:e>
            <m:acc>
              <m:accPr>
                <m:chr m:val="̂"/>
              </m:accPr>
              <m:e>
                <m:r>
                  <m:t>d</m:t>
                </m:r>
              </m:e>
            </m:acc>
          </m:e>
          <m:sub>
            <m:r>
              <m:t>i</m:t>
            </m:r>
            <m:r>
              <m:t>j</m:t>
            </m:r>
          </m:sub>
        </m:sSub>
        <m:d>
          <m:dPr>
            <m:begChr m:val="("/>
            <m:sepChr m:val=""/>
            <m:endChr m:val=")"/>
            <m:grow/>
          </m:dPr>
          <m:e>
            <m:r>
              <m:t>t</m:t>
            </m:r>
          </m:e>
        </m:d>
        <m:r>
          <m:rPr>
            <m:sty m:val="p"/>
          </m:rPr>
          <m:t>=</m:t>
        </m:r>
        <m:sSup>
          <m:e>
            <m:r>
              <m:t>e</m:t>
            </m:r>
          </m:e>
          <m:sup>
            <m:r>
              <m:rPr>
                <m:sty m:val="p"/>
              </m:rPr>
              <m:t>j</m:t>
            </m:r>
            <m:sSubSup>
              <m:e>
                <m:r>
                  <m:rPr>
                    <m:sty m:val="p"/>
                  </m:rPr>
                  <m:t>𝜘</m:t>
                </m:r>
              </m:e>
              <m:sub>
                <m:r>
                  <m:t>i</m:t>
                </m:r>
                <m:r>
                  <m:t>j</m:t>
                </m:r>
              </m:sub>
              <m:sup>
                <m:r>
                  <m:rPr>
                    <m:sty m:val="p"/>
                  </m:rPr>
                  <m:t>r</m:t>
                </m:r>
              </m:sup>
            </m:sSubSup>
          </m:sup>
        </m:sSup>
        <m:sSub>
          <m:e>
            <m:r>
              <m:t>d</m:t>
            </m:r>
          </m:e>
          <m:sub>
            <m:r>
              <m:t>i</m:t>
            </m:r>
            <m:r>
              <m:t>j</m:t>
            </m:r>
          </m:sub>
        </m:sSub>
        <m:d>
          <m:dPr>
            <m:begChr m:val="("/>
            <m:sepChr m:val=""/>
            <m:endChr m:val=")"/>
            <m:grow/>
          </m:dPr>
          <m:e>
            <m:r>
              <m:t>t</m:t>
            </m:r>
          </m:e>
        </m:d>
      </m:oMath>
      <w:r>
        <w:t xml:space="preserve">（</w:t>
      </w:r>
      <m:oMath>
        <m:sSubSup>
          <m:e>
            <m:r>
              <m:rPr>
                <m:sty m:val="p"/>
              </m:rPr>
              <m:t>𝜘</m:t>
            </m:r>
          </m:e>
          <m:sub>
            <m:r>
              <m:t>i</m:t>
            </m:r>
            <m:r>
              <m:t>j</m:t>
            </m:r>
          </m:sub>
          <m:sup>
            <m:r>
              <m:rPr>
                <m:sty m:val="p"/>
              </m:rPr>
              <m:t>r</m:t>
            </m:r>
          </m:sup>
        </m:sSubSup>
        <m:r>
          <m:rPr>
            <m:sty m:val="p"/>
          </m:rPr>
          <m:t>=</m:t>
        </m:r>
        <m:r>
          <m:rPr>
            <m:sty m:val="p"/>
          </m:rPr>
          <m:t>arg</m:t>
        </m:r>
        <m:sSub>
          <m:e>
            <m:r>
              <m:t>b</m:t>
            </m:r>
          </m:e>
          <m:sub>
            <m:r>
              <m:t>i</m:t>
            </m:r>
            <m:r>
              <m:t>j</m:t>
            </m:r>
          </m:sub>
        </m:sSub>
      </m:oMath>
      <w:r>
        <w:t xml:space="preserve">）对ECA对消后的监视信号作互模糊函数处理，相位基准统一取在CPI中心</w:t>
      </w:r>
      <w:r>
        <w:t xml:space="preserve"> </w:t>
      </w:r>
      <m:oMath>
        <m:sSub>
          <m:e>
            <m:r>
              <m:t>t</m:t>
            </m:r>
          </m:e>
          <m:sub>
            <m:r>
              <m:t>c</m:t>
            </m:r>
          </m:sub>
        </m:sSub>
      </m:oMath>
      <w:r>
        <w:t xml:space="preserve">：</w:t>
      </w:r>
    </w:p>
    <w:tbl>
      <w:tblPr>
        <w:tblW w:w="9070" w:type="dxa"/>
        <w:jc w:val="center"/>
        <w:tblBorders>
          <w:top w:val="nil"/>
          <w:left w:val="nil"/>
          <w:bottom w:val="nil"/>
          <w:right w:val="nil"/>
          <w:insideH w:val="nil"/>
          <w:insideV w:val="nil"/>
        </w:tblBorders>
        <w:tblLayout w:type="fixed"/>
        <w:tblCellMar>
          <w:left w:w="0" w:type="dxa"/>
          <w:right w:w="0" w:type="dxa"/>
        </w:tblCellMar>
        <w:tblLook w:val="0000" w:firstRow="0" w:lastRow="0" w:firstColumn="0" w:lastColumn="0" w:noHBand="1" w:noVBand="1"/>
      </w:tblPr>
      <w:tblGrid>
        <w:gridCol w:w="900"/>
        <w:gridCol w:w="7270"/>
        <w:gridCol w:w="900"/>
      </w:tblGrid>
      <w:tr>
        <w:trPr>
          <w:cantSplit/>
        </w:trPr>
        <w:tc>
          <w:tcPr>
            <w:tcW w:w="900" w:type="dxa"/>
            <w:vAlign w:val="center"/>
          </w:tcPr>
          <w:p>
            <w:pPr>
              <w:spacing w:before="0" w:after="0"/>
            </w:pPr>
          </w:p>
        </w:tc>
        <w:tc>
          <w:tcPr>
            <w:tcW w:w="7270" w:type="dxa"/>
            <w:vAlign w:val="center"/>
          </w:tcPr>
          <w:p>
            <w:pPr>
              <w:spacing w:before="20" w:after="20" w:line="240" w:lineRule="auto"/>
              <w:jc w:val="center"/>
            </w:pPr>
            <m:oMathPara>
              <m:oMathParaPr>
                <m:jc m:val="center"/>
              </m:oMathParaPr>
              <m:oMath>
                <m:sSub>
                  <m:e>
                    <m:r>
                      <m:t>χ</m:t>
                    </m:r>
                  </m:e>
                  <m:sub>
                    <m:r>
                      <m:t>l</m:t>
                    </m:r>
                  </m:sub>
                </m:sSub>
                <m:d>
                  <m:dPr>
                    <m:begChr m:val="("/>
                    <m:sepChr m:val=""/>
                    <m:endChr m:val=")"/>
                    <m:grow/>
                  </m:dPr>
                  <m:e>
                    <m:r>
                      <m:t>τ</m:t>
                    </m:r>
                    <m:r>
                      <m:rPr>
                        <m:sty m:val="p"/>
                      </m:rPr>
                      <m:t>,</m:t>
                    </m:r>
                    <m:r>
                      <m:t>f</m:t>
                    </m:r>
                  </m:e>
                </m:d>
                <m:r>
                  <m:rPr>
                    <m:sty m:val="p"/>
                  </m:rPr>
                  <m:t>=</m:t>
                </m:r>
                <m:nary>
                  <m:naryPr>
                    <m:chr m:val="∫"/>
                    <m:limLoc m:val="subSup"/>
                    <m:subHide m:val="off"/>
                    <m:supHide m:val="off"/>
                  </m:naryPr>
                  <m:sub>
                    <m:sSub>
                      <m:e>
                        <m:r>
                          <m:t>t</m:t>
                        </m:r>
                      </m:e>
                      <m:sub>
                        <m:r>
                          <m:t>c</m:t>
                        </m:r>
                      </m:sub>
                    </m:sSub>
                    <m:r>
                      <m:rPr>
                        <m:sty m:val="p"/>
                      </m:rPr>
                      <m:t>−</m:t>
                    </m:r>
                    <m:r>
                      <m:t>T</m:t>
                    </m:r>
                    <m:r>
                      <m:rPr>
                        <m:sty m:val="p"/>
                      </m:rPr>
                      <m:t>/</m:t>
                    </m:r>
                    <m:r>
                      <m:t>2</m:t>
                    </m:r>
                  </m:sub>
                  <m:sup>
                    <m:sSub>
                      <m:e>
                        <m:r>
                          <m:t>t</m:t>
                        </m:r>
                      </m:e>
                      <m:sub>
                        <m:r>
                          <m:t>c</m:t>
                        </m:r>
                      </m:sub>
                    </m:sSub>
                    <m:r>
                      <m:rPr>
                        <m:sty m:val="p"/>
                      </m:rPr>
                      <m:t>+</m:t>
                    </m:r>
                    <m:r>
                      <m:t>T</m:t>
                    </m:r>
                    <m:r>
                      <m:rPr>
                        <m:sty m:val="p"/>
                      </m:rPr>
                      <m:t>/</m:t>
                    </m:r>
                    <m:r>
                      <m:t>2</m:t>
                    </m:r>
                  </m:sup>
                  <m:e>
                    <m:sSubSup>
                      <m:e>
                        <m:r>
                          <m:t>y</m:t>
                        </m:r>
                      </m:e>
                      <m:sub>
                        <m:r>
                          <m:rPr>
                            <m:sty m:val="p"/>
                          </m:rPr>
                          <m:t>⊥</m:t>
                        </m:r>
                        <m:r>
                          <m:rPr>
                            <m:sty m:val="p"/>
                          </m:rPr>
                          <m:t>,</m:t>
                        </m:r>
                        <m:r>
                          <m:t>i</m:t>
                        </m:r>
                        <m:r>
                          <m:t>j</m:t>
                        </m:r>
                      </m:sub>
                      <m:sup>
                        <m:r>
                          <m:rPr>
                            <m:sty m:val="p"/>
                          </m:rPr>
                          <m:t>s</m:t>
                        </m:r>
                      </m:sup>
                    </m:sSubSup>
                  </m:e>
                </m:nary>
                <m:d>
                  <m:dPr>
                    <m:begChr m:val="("/>
                    <m:sepChr m:val=""/>
                    <m:endChr m:val=")"/>
                    <m:grow/>
                  </m:dPr>
                  <m:e>
                    <m:r>
                      <m:t>t</m:t>
                    </m:r>
                  </m:e>
                </m:d>
                <m:r>
                  <m:t> </m:t>
                </m:r>
                <m:sSubSup>
                  <m:e>
                    <m:acc>
                      <m:accPr>
                        <m:chr m:val="̂"/>
                      </m:accPr>
                      <m:e>
                        <m:r>
                          <m:t>d</m:t>
                        </m:r>
                      </m:e>
                    </m:acc>
                  </m:e>
                  <m:sub>
                    <m:r>
                      <m:t>i</m:t>
                    </m:r>
                    <m:r>
                      <m:t>j</m:t>
                    </m:r>
                  </m:sub>
                  <m:sup>
                    <m:r>
                      <m:rPr>
                        <m:sty m:val="p"/>
                      </m:rPr>
                      <m:t>*</m:t>
                    </m:r>
                  </m:sup>
                </m:sSubSup>
                <m:d>
                  <m:dPr>
                    <m:begChr m:val="("/>
                    <m:sepChr m:val=""/>
                    <m:endChr m:val=")"/>
                    <m:grow/>
                  </m:dPr>
                  <m:e>
                    <m:r>
                      <m:t>t</m:t>
                    </m:r>
                    <m:r>
                      <m:rPr>
                        <m:sty m:val="p"/>
                      </m:rPr>
                      <m:t>−</m:t>
                    </m:r>
                    <m:r>
                      <m:t>τ</m:t>
                    </m:r>
                  </m:e>
                </m:d>
                <m:r>
                  <m:t> </m:t>
                </m:r>
                <m:sSup>
                  <m:e>
                    <m:r>
                      <m:t>e</m:t>
                    </m:r>
                  </m:e>
                  <m:sup>
                    <m:r>
                      <m:rPr>
                        <m:sty m:val="p"/>
                      </m:rPr>
                      <m:t>−</m:t>
                    </m:r>
                    <m:r>
                      <m:rPr>
                        <m:sty m:val="p"/>
                      </m:rPr>
                      <m:t>j</m:t>
                    </m:r>
                    <m:r>
                      <m:t>2</m:t>
                    </m:r>
                    <m:r>
                      <m:t>π</m:t>
                    </m:r>
                    <m:r>
                      <m:t>f</m:t>
                    </m:r>
                    <m:d>
                      <m:dPr>
                        <m:begChr m:val="("/>
                        <m:sepChr m:val=""/>
                        <m:endChr m:val=")"/>
                        <m:grow/>
                      </m:dPr>
                      <m:e>
                        <m:r>
                          <m:t>t</m:t>
                        </m:r>
                        <m:r>
                          <m:rPr>
                            <m:sty m:val="p"/>
                          </m:rPr>
                          <m:t>−</m:t>
                        </m:r>
                        <m:sSub>
                          <m:e>
                            <m:r>
                              <m:t>t</m:t>
                            </m:r>
                          </m:e>
                          <m:sub>
                            <m:r>
                              <m:t>c</m:t>
                            </m:r>
                          </m:sub>
                        </m:sSub>
                      </m:e>
                    </m:d>
                  </m:sup>
                </m:sSup>
                <m:r>
                  <m:t> </m:t>
                </m:r>
                <m:r>
                  <m:rPr>
                    <m:sty m:val="p"/>
                  </m:rPr>
                  <m:t>d</m:t>
                </m:r>
                <m:r>
                  <m:t>t</m:t>
                </m:r>
              </m:oMath>
            </m:oMathPara>
          </w:p>
        </w:tc>
        <w:tc>
          <w:tcPr>
            <w:tcW w:w="900" w:type="dxa"/>
            <w:vAlign w:val="center"/>
          </w:tcPr>
          <w:p>
            <w:pPr>
              <w:spacing w:before="0" w:after="0"/>
              <w:jc w:val="right"/>
            </w:pPr>
            <w:r>
              <w:t xml:space="preserve">(7)</w:t>
            </w:r>
          </w:p>
        </w:tc>
      </w:tr>
    </w:tbl>
    <w:p>
      <w:pPr>
        <w:pStyle w:val="FirstParagraph"/>
      </w:pPr>
      <w:r>
        <w:t xml:space="preserve">在目标所在的时延—多普勒单元，链路</w:t>
      </w:r>
      <w:r>
        <w:t xml:space="preserve"> </w:t>
      </w:r>
      <m:oMath>
        <m:r>
          <m:t>l</m:t>
        </m:r>
      </m:oMath>
      <w:r>
        <w:t xml:space="preserve"> </w:t>
      </w:r>
      <w:r>
        <w:t xml:space="preserve">的复输出为</w:t>
      </w:r>
    </w:p>
    <w:tbl>
      <w:tblPr>
        <w:tblW w:w="9070" w:type="dxa"/>
        <w:jc w:val="center"/>
        <w:tblBorders>
          <w:top w:val="nil"/>
          <w:left w:val="nil"/>
          <w:bottom w:val="nil"/>
          <w:right w:val="nil"/>
          <w:insideH w:val="nil"/>
          <w:insideV w:val="nil"/>
        </w:tblBorders>
        <w:tblLayout w:type="fixed"/>
        <w:tblCellMar>
          <w:left w:w="0" w:type="dxa"/>
          <w:right w:w="0" w:type="dxa"/>
        </w:tblCellMar>
        <w:tblLook w:val="0000" w:firstRow="0" w:lastRow="0" w:firstColumn="0" w:lastColumn="0" w:noHBand="1" w:noVBand="1"/>
      </w:tblPr>
      <w:tblGrid>
        <w:gridCol w:w="900"/>
        <w:gridCol w:w="7270"/>
        <w:gridCol w:w="900"/>
      </w:tblGrid>
      <w:tr>
        <w:trPr>
          <w:cantSplit/>
        </w:trPr>
        <w:tc>
          <w:tcPr>
            <w:tcW w:w="900" w:type="dxa"/>
            <w:vAlign w:val="center"/>
          </w:tcPr>
          <w:p>
            <w:pPr>
              <w:spacing w:before="0" w:after="0"/>
            </w:pPr>
          </w:p>
        </w:tc>
        <w:tc>
          <w:tcPr>
            <w:tcW w:w="7270" w:type="dxa"/>
            <w:vAlign w:val="center"/>
          </w:tcPr>
          <w:p>
            <w:pPr>
              <w:spacing w:before="20" w:after="20" w:line="240" w:lineRule="auto"/>
              <w:jc w:val="center"/>
            </w:pPr>
            <m:oMathPara>
              <m:oMathParaPr>
                <m:jc m:val="center"/>
              </m:oMathParaPr>
              <m:oMath>
                <m:sSub>
                  <m:e>
                    <m:r>
                      <m:t>z</m:t>
                    </m:r>
                  </m:e>
                  <m:sub>
                    <m:r>
                      <m:t>l</m:t>
                    </m:r>
                  </m:sub>
                </m:sSub>
                <m:r>
                  <m:rPr>
                    <m:sty m:val="p"/>
                  </m:rPr>
                  <m:t>=</m:t>
                </m:r>
                <m:sSub>
                  <m:e>
                    <m:r>
                      <m:t>χ</m:t>
                    </m:r>
                  </m:e>
                  <m:sub>
                    <m:r>
                      <m:t>l</m:t>
                    </m:r>
                  </m:sub>
                </m:sSub>
                <m:d>
                  <m:dPr>
                    <m:begChr m:val="("/>
                    <m:sepChr m:val=""/>
                    <m:endChr m:val=")"/>
                    <m:grow/>
                  </m:dPr>
                  <m:e>
                    <m:sSub>
                      <m:e>
                        <m:r>
                          <m:t>τ</m:t>
                        </m:r>
                      </m:e>
                      <m:sub>
                        <m:r>
                          <m:t>l</m:t>
                        </m:r>
                      </m:sub>
                    </m:sSub>
                    <m:r>
                      <m:rPr>
                        <m:sty m:val="p"/>
                      </m:rPr>
                      <m:t>,</m:t>
                    </m:r>
                    <m:sSub>
                      <m:e>
                        <m:r>
                          <m:t>f</m:t>
                        </m:r>
                      </m:e>
                      <m:sub>
                        <m:r>
                          <m:t>l</m:t>
                        </m:r>
                      </m:sub>
                    </m:sSub>
                  </m:e>
                </m:d>
                <m:r>
                  <m:rPr>
                    <m:sty m:val="p"/>
                  </m:rPr>
                  <m:t>=</m:t>
                </m:r>
                <m:sSub>
                  <m:e>
                    <m:r>
                      <m:t>A</m:t>
                    </m:r>
                  </m:e>
                  <m:sub>
                    <m:r>
                      <m:t>l</m:t>
                    </m:r>
                  </m:sub>
                </m:sSub>
                <m:r>
                  <m:t> </m:t>
                </m:r>
                <m:sSub>
                  <m:e>
                    <m:r>
                      <m:t>α</m:t>
                    </m:r>
                  </m:e>
                  <m:sub>
                    <m:r>
                      <m:t>l</m:t>
                    </m:r>
                  </m:sub>
                </m:sSub>
                <m:r>
                  <m:rPr>
                    <m:sty m:val="p"/>
                  </m:rPr>
                  <m:t>exp</m:t>
                </m:r>
                <m:d>
                  <m:dPr>
                    <m:begChr m:val="["/>
                    <m:sepChr m:val=""/>
                    <m:endChr m:val="]"/>
                    <m:grow/>
                  </m:dPr>
                  <m:e>
                    <m:r>
                      <m:rPr>
                        <m:sty m:val="p"/>
                      </m:rPr>
                      <m:t>j</m:t>
                    </m:r>
                    <m:d>
                      <m:dPr>
                        <m:begChr m:val="("/>
                        <m:sepChr m:val=""/>
                        <m:endChr m:val=")"/>
                        <m:grow/>
                      </m:dPr>
                      <m:e>
                        <m:sSub>
                          <m:e>
                            <m:r>
                              <m:t>κ</m:t>
                            </m:r>
                          </m:e>
                          <m:sub>
                            <m:r>
                              <m:t>l</m:t>
                            </m:r>
                          </m:sub>
                        </m:sSub>
                        <m:r>
                          <m:rPr>
                            <m:sty m:val="p"/>
                          </m:rPr>
                          <m:t>−</m:t>
                        </m:r>
                        <m:f>
                          <m:fPr>
                            <m:type m:val="bar"/>
                          </m:fPr>
                          <m:num>
                            <m:r>
                              <m:t>2</m:t>
                            </m:r>
                            <m:r>
                              <m:t>π</m:t>
                            </m:r>
                            <m:sSub>
                              <m:e>
                                <m:r>
                                  <m:t>R</m:t>
                                </m:r>
                              </m:e>
                              <m:sub>
                                <m:r>
                                  <m:t>l</m:t>
                                </m:r>
                              </m:sub>
                            </m:sSub>
                          </m:num>
                          <m:den>
                            <m:sSub>
                              <m:e>
                                <m:r>
                                  <m:t>λ</m:t>
                                </m:r>
                              </m:e>
                              <m:sub>
                                <m:r>
                                  <m:t>l</m:t>
                                </m:r>
                              </m:sub>
                            </m:sSub>
                          </m:den>
                        </m:f>
                      </m:e>
                    </m:d>
                  </m:e>
                </m:d>
                <m:r>
                  <m:rPr>
                    <m:sty m:val="p"/>
                  </m:rPr>
                  <m:t>+</m:t>
                </m:r>
                <m:sSub>
                  <m:e>
                    <m:r>
                      <m:t>w</m:t>
                    </m:r>
                  </m:e>
                  <m:sub>
                    <m:r>
                      <m:t>l</m:t>
                    </m:r>
                  </m:sub>
                </m:sSub>
                <m:r>
                  <m:rPr>
                    <m:sty m:val="p"/>
                  </m:rPr>
                  <m:t>,</m:t>
                </m:r>
                <m:r>
                  <m:t>  </m:t>
                </m:r>
                <m:sSub>
                  <m:e>
                    <m:r>
                      <m:t>κ</m:t>
                    </m:r>
                  </m:e>
                  <m:sub>
                    <m:r>
                      <m:t>l</m:t>
                    </m:r>
                  </m:sub>
                </m:sSub>
                <m:r>
                  <m:rPr>
                    <m:sty m:val="p"/>
                  </m:rPr>
                  <m:t>=</m:t>
                </m:r>
                <m:sSubSup>
                  <m:e>
                    <m:r>
                      <m:rPr>
                        <m:sty m:val="p"/>
                      </m:rPr>
                      <m:t>𝜘</m:t>
                    </m:r>
                  </m:e>
                  <m:sub>
                    <m:r>
                      <m:t>i</m:t>
                    </m:r>
                    <m:r>
                      <m:t>j</m:t>
                    </m:r>
                  </m:sub>
                  <m:sup>
                    <m:r>
                      <m:rPr>
                        <m:sty m:val="p"/>
                      </m:rPr>
                      <m:t>s</m:t>
                    </m:r>
                  </m:sup>
                </m:sSubSup>
                <m:r>
                  <m:rPr>
                    <m:sty m:val="p"/>
                  </m:rPr>
                  <m:t>−</m:t>
                </m:r>
                <m:sSubSup>
                  <m:e>
                    <m:r>
                      <m:rPr>
                        <m:sty m:val="p"/>
                      </m:rPr>
                      <m:t>𝜘</m:t>
                    </m:r>
                  </m:e>
                  <m:sub>
                    <m:r>
                      <m:t>i</m:t>
                    </m:r>
                    <m:r>
                      <m:t>j</m:t>
                    </m:r>
                  </m:sub>
                  <m:sup>
                    <m:r>
                      <m:rPr>
                        <m:sty m:val="p"/>
                      </m:rPr>
                      <m:t>r</m:t>
                    </m:r>
                  </m:sup>
                </m:sSubSup>
                <m:r>
                  <m:rPr>
                    <m:sty m:val="p"/>
                  </m:rPr>
                  <m:t>,</m:t>
                </m:r>
                <m:r>
                  <m:t> </m:t>
                </m:r>
                <m:sSub>
                  <m:e>
                    <m:r>
                      <m:t>λ</m:t>
                    </m:r>
                  </m:e>
                  <m:sub>
                    <m:r>
                      <m:t>l</m:t>
                    </m:r>
                  </m:sub>
                </m:sSub>
                <m:r>
                  <m:rPr>
                    <m:sty m:val="p"/>
                  </m:rPr>
                  <m:t>=</m:t>
                </m:r>
                <m:f>
                  <m:fPr>
                    <m:type m:val="bar"/>
                  </m:fPr>
                  <m:num>
                    <m:r>
                      <m:t>c</m:t>
                    </m:r>
                  </m:num>
                  <m:den>
                    <m:sSub>
                      <m:e>
                        <m:r>
                          <m:t>f</m:t>
                        </m:r>
                      </m:e>
                      <m:sub>
                        <m:r>
                          <m:rPr>
                            <m:sty m:val="p"/>
                          </m:rPr>
                          <m:t>L</m:t>
                        </m:r>
                        <m:r>
                          <m:rPr>
                            <m:sty m:val="p"/>
                          </m:rPr>
                          <m:t>,</m:t>
                        </m:r>
                        <m:r>
                          <m:t>i</m:t>
                        </m:r>
                      </m:sub>
                    </m:sSub>
                  </m:den>
                </m:f>
              </m:oMath>
            </m:oMathPara>
          </w:p>
        </w:tc>
        <w:tc>
          <w:tcPr>
            <w:tcW w:w="900" w:type="dxa"/>
            <w:vAlign w:val="center"/>
          </w:tcPr>
          <w:p>
            <w:pPr>
              <w:spacing w:before="0" w:after="0"/>
              <w:jc w:val="right"/>
            </w:pPr>
            <w:r>
              <w:t xml:space="preserve">(8)</w:t>
            </w:r>
          </w:p>
        </w:tc>
      </w:tr>
    </w:tbl>
    <w:p>
      <w:pPr>
        <w:pStyle w:val="FirstParagraph"/>
        <w:ind w:firstLineChars="0" w:firstLine="0"/>
      </w:pPr>
      <w:r>
        <w:t xml:space="preserve">式中，</w:t>
      </w:r>
      <m:oMath>
        <m:sSub>
          <m:e>
            <m:r>
              <m:t>A</m:t>
            </m:r>
          </m:e>
          <m:sub>
            <m:r>
              <m:t>l</m:t>
            </m:r>
          </m:sub>
        </m:sSub>
      </m:oMath>
      <w:r>
        <w:t xml:space="preserve"> </w:t>
      </w:r>
      <w:r>
        <w:t xml:space="preserve">为积累后的信号幅度，</w:t>
      </w:r>
      <m:oMath>
        <m:sSub>
          <m:e>
            <m:r>
              <m:t>w</m:t>
            </m:r>
          </m:e>
          <m:sub>
            <m:r>
              <m:t>l</m:t>
            </m:r>
          </m:sub>
        </m:sSub>
        <m:r>
          <m:rPr>
            <m:sty m:val="p"/>
          </m:rPr>
          <m:t>∼</m:t>
        </m:r>
        <m:r>
          <m:rPr>
            <m:scr m:val="script"/>
            <m:sty m:val="p"/>
          </m:rPr>
          <m:t>C</m:t>
        </m:r>
        <m:r>
          <m:rPr>
            <m:scr m:val="script"/>
            <m:sty m:val="p"/>
          </m:rPr>
          <m:t>N</m:t>
        </m:r>
        <m:d>
          <m:dPr>
            <m:begChr m:val="("/>
            <m:sepChr m:val=""/>
            <m:endChr m:val=")"/>
            <m:grow/>
          </m:dPr>
          <m:e>
            <m:r>
              <m:t>0</m:t>
            </m:r>
            <m:r>
              <m:rPr>
                <m:sty m:val="p"/>
              </m:rPr>
              <m:t>,</m:t>
            </m:r>
            <m:sSubSup>
              <m:e>
                <m:r>
                  <m:t>σ</m:t>
                </m:r>
              </m:e>
              <m:sub>
                <m:r>
                  <m:t>l</m:t>
                </m:r>
              </m:sub>
              <m:sup>
                <m:r>
                  <m:t>2</m:t>
                </m:r>
              </m:sup>
            </m:sSubSup>
          </m:e>
        </m:d>
      </m:oMath>
      <w:r>
        <w:t xml:space="preserve"> </w:t>
      </w:r>
      <w:r>
        <w:t xml:space="preserve">为积累后的噪声。式(8)是本方案的出发点，它表明：</w:t>
      </w:r>
    </w:p>
    <w:p>
      <w:pPr>
        <w:pStyle w:val="BodyText"/>
      </w:pPr>
      <w:r>
        <w:t xml:space="preserve">（1）</w:t>
      </w:r>
      <w:r>
        <w:rPr>
          <w:b/>
          <w:bCs/>
        </w:rPr>
        <w:t xml:space="preserve">发射机相位</w:t>
      </w:r>
      <w:r>
        <w:rPr>
          <w:b/>
          <w:bCs/>
        </w:rPr>
        <w:t xml:space="preserve"> </w:t>
      </w:r>
      <m:oMath>
        <m:sSub>
          <m:e>
            <m:r>
              <m:t>ϕ</m:t>
            </m:r>
          </m:e>
          <m:sub>
            <m:r>
              <m:t>i</m:t>
            </m:r>
          </m:sub>
        </m:sSub>
        <m:d>
          <m:dPr>
            <m:begChr m:val="("/>
            <m:sepChr m:val=""/>
            <m:endChr m:val=")"/>
            <m:grow/>
          </m:dPr>
          <m:e>
            <m:r>
              <m:t>t</m:t>
            </m:r>
          </m:e>
        </m:d>
      </m:oMath>
      <w:r>
        <w:rPr>
          <w:b/>
          <w:bCs/>
        </w:rPr>
        <w:t xml:space="preserve">（初相、载频偏差、相位噪声）与接收机本振相位</w:t>
      </w:r>
      <w:r>
        <w:rPr>
          <w:b/>
          <w:bCs/>
        </w:rPr>
        <w:t xml:space="preserve"> </w:t>
      </w:r>
      <m:oMath>
        <m:sSub>
          <m:e>
            <m:r>
              <m:t>ϑ</m:t>
            </m:r>
          </m:e>
          <m:sub>
            <m:r>
              <m:t>j</m:t>
            </m:r>
          </m:sub>
        </m:sSub>
        <m:d>
          <m:dPr>
            <m:begChr m:val="("/>
            <m:sepChr m:val=""/>
            <m:endChr m:val=")"/>
            <m:grow/>
          </m:dPr>
          <m:e>
            <m:r>
              <m:t>t</m:t>
            </m:r>
          </m:e>
        </m:d>
      </m:oMath>
      <w:r>
        <w:rPr>
          <w:b/>
          <w:bCs/>
        </w:rPr>
        <w:t xml:space="preserve"> </w:t>
      </w:r>
      <w:r>
        <w:rPr>
          <w:b/>
          <w:bCs/>
        </w:rPr>
        <w:t xml:space="preserve">均不出现在链路输出中。</w:t>
      </w:r>
      <w:r>
        <w:t xml:space="preserve">这是因为同一信号源的回波与直达波经同一接收机、同一本振接收，在互模糊处理中相互抵消，即参考通道的“自同步”特性。因此，各链路输出的相位均以“本站接收的该信号源直达波”为基准；</w:t>
      </w:r>
    </w:p>
    <w:p>
      <w:pPr>
        <w:pStyle w:val="BodyText"/>
      </w:pPr>
      <w:r>
        <w:t xml:space="preserve">（2）链路输出相位只由三部分构成：目标散射相位</w:t>
      </w:r>
      <w:r>
        <w:t xml:space="preserve"> </w:t>
      </w:r>
      <m:oMath>
        <m:r>
          <m:rPr>
            <m:sty m:val="p"/>
          </m:rPr>
          <m:t>arg</m:t>
        </m:r>
        <m:sSub>
          <m:e>
            <m:r>
              <m:t>α</m:t>
            </m:r>
          </m:e>
          <m:sub>
            <m:r>
              <m:t>l</m:t>
            </m:r>
          </m:sub>
        </m:sSub>
      </m:oMath>
      <w:r>
        <w:t xml:space="preserve">、几何相位</w:t>
      </w:r>
      <w:r>
        <w:t xml:space="preserve"> </w:t>
      </w:r>
      <m:oMath>
        <m:r>
          <m:rPr>
            <m:sty m:val="p"/>
          </m:rPr>
          <m:t>−</m:t>
        </m:r>
        <m:r>
          <m:t>2</m:t>
        </m:r>
        <m:r>
          <m:t>π</m:t>
        </m:r>
        <m:sSub>
          <m:e>
            <m:r>
              <m:t>R</m:t>
            </m:r>
          </m:e>
          <m:sub>
            <m:r>
              <m:t>l</m:t>
            </m:r>
          </m:sub>
        </m:sSub>
        <m:r>
          <m:rPr>
            <m:sty m:val="p"/>
          </m:rPr>
          <m:t>/</m:t>
        </m:r>
        <m:sSub>
          <m:e>
            <m:r>
              <m:t>λ</m:t>
            </m:r>
          </m:e>
          <m:sub>
            <m:r>
              <m:t>l</m:t>
            </m:r>
          </m:sub>
        </m:sSub>
      </m:oMath>
      <w:r>
        <w:t xml:space="preserve">（给定目标位置假设后可精确计算）以及通道相位差</w:t>
      </w:r>
      <w:r>
        <w:t xml:space="preserve"> </w:t>
      </w:r>
      <m:oMath>
        <m:sSub>
          <m:e>
            <m:r>
              <m:t>κ</m:t>
            </m:r>
          </m:e>
          <m:sub>
            <m:r>
              <m:t>l</m:t>
            </m:r>
          </m:sub>
        </m:sSub>
      </m:oMath>
      <w:r>
        <w:t xml:space="preserve">（可标定）；</w:t>
      </w:r>
    </w:p>
    <w:p>
      <w:pPr>
        <w:pStyle w:val="BodyText"/>
      </w:pPr>
      <w:r>
        <w:t xml:space="preserve">（3）几何相位按接收站自身的本振频率</w:t>
      </w:r>
      <w:r>
        <w:t xml:space="preserve"> </w:t>
      </w:r>
      <m:oMath>
        <m:sSub>
          <m:e>
            <m:r>
              <m:t>f</m:t>
            </m:r>
          </m:e>
          <m:sub>
            <m:r>
              <m:rPr>
                <m:sty m:val="p"/>
              </m:rPr>
              <m:t>L</m:t>
            </m:r>
            <m:r>
              <m:rPr>
                <m:sty m:val="p"/>
              </m:rPr>
              <m:t>,</m:t>
            </m:r>
            <m:r>
              <m:t>i</m:t>
            </m:r>
          </m:sub>
        </m:sSub>
      </m:oMath>
      <w:r>
        <w:t xml:space="preserve"> </w:t>
      </w:r>
      <w:r>
        <w:t xml:space="preserve">计算，与信号源的实际载频无关，因此信号源的载频偏差不影响相参性，但接收站频率基准的误差会引入相位误差（4.2节）；</w:t>
      </w:r>
    </w:p>
    <w:p>
      <w:pPr>
        <w:pStyle w:val="BodyText"/>
      </w:pPr>
      <w:r>
        <w:t xml:space="preserve">（4）各站的相位参考时刻必须统一为同一</w:t>
      </w:r>
      <w:r>
        <w:t xml:space="preserve"> </w:t>
      </w:r>
      <m:oMath>
        <m:sSub>
          <m:e>
            <m:r>
              <m:t>t</m:t>
            </m:r>
          </m:e>
          <m:sub>
            <m:r>
              <m:t>c</m:t>
            </m:r>
          </m:sub>
        </m:sSub>
      </m:oMath>
      <w:r>
        <w:t xml:space="preserve">，否则多普勒相位</w:t>
      </w:r>
      <w:r>
        <w:t xml:space="preserve"> </w:t>
      </w:r>
      <m:oMath>
        <m:r>
          <m:t>2</m:t>
        </m:r>
        <m:r>
          <m:t>π</m:t>
        </m:r>
        <m:sSub>
          <m:e>
            <m:r>
              <m:t>f</m:t>
            </m:r>
          </m:e>
          <m:sub>
            <m:r>
              <m:t>l</m:t>
            </m:r>
          </m:sub>
        </m:sSub>
        <m:r>
          <m:t>δ</m:t>
        </m:r>
        <m:r>
          <m:t>t</m:t>
        </m:r>
      </m:oMath>
      <w:r>
        <w:t xml:space="preserve"> </w:t>
      </w:r>
      <w:r>
        <w:t xml:space="preserve">将引入站间相位差。</w:t>
      </w:r>
    </w:p>
    <w:bookmarkEnd w:id="32"/>
    <w:bookmarkStart w:id="33" w:name="目标散射的链路间相参性"/>
    <w:p>
      <w:pPr>
        <w:pStyle w:val="Heading2"/>
      </w:pPr>
      <w:r>
        <w:t xml:space="preserve">3.4 目标散射的链路间相参性</w:t>
      </w:r>
    </w:p>
    <w:p>
      <w:pPr>
        <w:pStyle w:val="FirstParagraph"/>
      </w:pPr>
      <w:r>
        <w:t xml:space="preserve">将目标视为位于参考点</w:t>
      </w:r>
      <w:r>
        <w:t xml:space="preserve"> </w:t>
      </w:r>
      <m:oMath>
        <m:r>
          <m:rPr>
            <m:sty m:val="b"/>
          </m:rPr>
          <m:t>p</m:t>
        </m:r>
      </m:oMath>
      <w:r>
        <w:t xml:space="preserve"> </w:t>
      </w:r>
      <w:r>
        <w:t xml:space="preserve">附近、偏移量为</w:t>
      </w:r>
      <w:r>
        <w:t xml:space="preserve"> </w:t>
      </w:r>
      <m:oMath>
        <m:sSub>
          <m:e>
            <m:r>
              <m:rPr>
                <m:sty m:val="b"/>
              </m:rPr>
              <m:t>q</m:t>
            </m:r>
          </m:e>
          <m:sub>
            <m:r>
              <m:t>m</m:t>
            </m:r>
          </m:sub>
        </m:sSub>
      </m:oMath>
      <w:r>
        <w:t xml:space="preserve"> </w:t>
      </w:r>
      <w:r>
        <w:t xml:space="preserve">的</w:t>
      </w:r>
      <w:r>
        <w:t xml:space="preserve"> </w:t>
      </w:r>
      <m:oMath>
        <m:r>
          <m:t>M</m:t>
        </m:r>
      </m:oMath>
      <w:r>
        <w:t xml:space="preserve"> </w:t>
      </w:r>
      <w:r>
        <w:t xml:space="preserve">个散射中心，其复散射幅度为</w:t>
      </w:r>
      <w:r>
        <w:t xml:space="preserve"> </w:t>
      </w:r>
      <m:oMath>
        <m:sSub>
          <m:e>
            <m:r>
              <m:t>η</m:t>
            </m:r>
          </m:e>
          <m:sub>
            <m:r>
              <m:t>m</m:t>
            </m:r>
          </m:sub>
        </m:sSub>
      </m:oMath>
      <w:r>
        <w:t xml:space="preserve">，则链路</w:t>
      </w:r>
      <w:r>
        <w:t xml:space="preserve"> </w:t>
      </w:r>
      <m:oMath>
        <m:r>
          <m:t>l</m:t>
        </m:r>
      </m:oMath>
      <w:r>
        <w:t xml:space="preserve"> </w:t>
      </w:r>
      <w:r>
        <w:t xml:space="preserve">的复散射系数为</w:t>
      </w:r>
    </w:p>
    <w:tbl>
      <w:tblPr>
        <w:tblW w:w="9070" w:type="dxa"/>
        <w:jc w:val="center"/>
        <w:tblBorders>
          <w:top w:val="nil"/>
          <w:left w:val="nil"/>
          <w:bottom w:val="nil"/>
          <w:right w:val="nil"/>
          <w:insideH w:val="nil"/>
          <w:insideV w:val="nil"/>
        </w:tblBorders>
        <w:tblLayout w:type="fixed"/>
        <w:tblCellMar>
          <w:left w:w="0" w:type="dxa"/>
          <w:right w:w="0" w:type="dxa"/>
        </w:tblCellMar>
        <w:tblLook w:val="0000" w:firstRow="0" w:lastRow="0" w:firstColumn="0" w:lastColumn="0" w:noHBand="1" w:noVBand="1"/>
      </w:tblPr>
      <w:tblGrid>
        <w:gridCol w:w="900"/>
        <w:gridCol w:w="7270"/>
        <w:gridCol w:w="900"/>
      </w:tblGrid>
      <w:tr>
        <w:trPr>
          <w:cantSplit/>
        </w:trPr>
        <w:tc>
          <w:tcPr>
            <w:tcW w:w="900" w:type="dxa"/>
            <w:vAlign w:val="center"/>
          </w:tcPr>
          <w:p>
            <w:pPr>
              <w:spacing w:before="0" w:after="0"/>
            </w:pPr>
          </w:p>
        </w:tc>
        <w:tc>
          <w:tcPr>
            <w:tcW w:w="7270" w:type="dxa"/>
            <w:vAlign w:val="center"/>
          </w:tcPr>
          <w:p>
            <w:pPr>
              <w:spacing w:before="20" w:after="20" w:line="240" w:lineRule="auto"/>
              <w:jc w:val="center"/>
            </w:pPr>
            <m:oMathPara>
              <m:oMathParaPr>
                <m:jc m:val="center"/>
              </m:oMathParaPr>
              <m:oMath>
                <m:sSub>
                  <m:e>
                    <m:r>
                      <m:t>α</m:t>
                    </m:r>
                  </m:e>
                  <m:sub>
                    <m:r>
                      <m:t>l</m:t>
                    </m:r>
                  </m:sub>
                </m:sSub>
                <m:r>
                  <m:rPr>
                    <m:sty m:val="p"/>
                  </m:rPr>
                  <m:t>=</m:t>
                </m:r>
                <m:nary>
                  <m:naryPr>
                    <m:chr m:val="∑"/>
                    <m:limLoc m:val="undOvr"/>
                    <m:subHide m:val="off"/>
                    <m:supHide m:val="off"/>
                  </m:naryPr>
                  <m:sub>
                    <m:r>
                      <m:t>m</m:t>
                    </m:r>
                    <m:r>
                      <m:rPr>
                        <m:sty m:val="p"/>
                      </m:rPr>
                      <m:t>=</m:t>
                    </m:r>
                    <m:r>
                      <m:t>1</m:t>
                    </m:r>
                  </m:sub>
                  <m:sup>
                    <m:r>
                      <m:t>M</m:t>
                    </m:r>
                  </m:sup>
                  <m:e>
                    <m:sSub>
                      <m:e>
                        <m:r>
                          <m:t>η</m:t>
                        </m:r>
                      </m:e>
                      <m:sub>
                        <m:r>
                          <m:t>m</m:t>
                        </m:r>
                      </m:sub>
                    </m:sSub>
                  </m:e>
                </m:nary>
                <m:r>
                  <m:rPr>
                    <m:sty m:val="p"/>
                  </m:rPr>
                  <m:t>exp</m:t>
                </m:r>
                <m:d>
                  <m:dPr>
                    <m:begChr m:val="("/>
                    <m:sepChr m:val=""/>
                    <m:endChr m:val=")"/>
                    <m:grow/>
                  </m:dPr>
                  <m:e>
                    <m:r>
                      <m:rPr>
                        <m:sty m:val="p"/>
                      </m:rPr>
                      <m:t>−</m:t>
                    </m:r>
                    <m:r>
                      <m:rPr>
                        <m:sty m:val="p"/>
                      </m:rPr>
                      <m:t>j</m:t>
                    </m:r>
                    <m:r>
                      <m:t>2</m:t>
                    </m:r>
                    <m:r>
                      <m:t>π</m:t>
                    </m:r>
                    <m:sSubSup>
                      <m:e>
                        <m:r>
                          <m:rPr>
                            <m:sty m:val="b"/>
                          </m:rPr>
                          <m:t>k</m:t>
                        </m:r>
                      </m:e>
                      <m:sub>
                        <m:r>
                          <m:t>l</m:t>
                        </m:r>
                      </m:sub>
                      <m:sup>
                        <m:r>
                          <m:rPr>
                            <m:sty m:val="p"/>
                          </m:rPr>
                          <m:t>T</m:t>
                        </m:r>
                      </m:sup>
                    </m:sSubSup>
                    <m:sSub>
                      <m:e>
                        <m:r>
                          <m:rPr>
                            <m:sty m:val="b"/>
                          </m:rPr>
                          <m:t>q</m:t>
                        </m:r>
                      </m:e>
                      <m:sub>
                        <m:r>
                          <m:t>m</m:t>
                        </m:r>
                      </m:sub>
                    </m:sSub>
                  </m:e>
                </m:d>
              </m:oMath>
            </m:oMathPara>
          </w:p>
        </w:tc>
        <w:tc>
          <w:tcPr>
            <w:tcW w:w="900" w:type="dxa"/>
            <w:vAlign w:val="center"/>
          </w:tcPr>
          <w:p>
            <w:pPr>
              <w:spacing w:before="0" w:after="0"/>
              <w:jc w:val="right"/>
            </w:pPr>
            <w:r>
              <w:t xml:space="preserve">(9)</w:t>
            </w:r>
          </w:p>
        </w:tc>
      </w:tr>
    </w:tbl>
    <w:p>
      <w:pPr>
        <w:pStyle w:val="FirstParagraph"/>
      </w:pPr>
      <w:r>
        <w:t xml:space="preserve">设</w:t>
      </w:r>
      <w:r>
        <w:t xml:space="preserve"> </w:t>
      </w:r>
      <m:oMath>
        <m:sSub>
          <m:e>
            <m:r>
              <m:t>η</m:t>
            </m:r>
          </m:e>
          <m:sub>
            <m:r>
              <m:t>m</m:t>
            </m:r>
          </m:sub>
        </m:sSub>
      </m:oMath>
      <w:r>
        <w:t xml:space="preserve"> </w:t>
      </w:r>
      <w:r>
        <w:t xml:space="preserve">相互独立、散射中心在尺寸为</w:t>
      </w:r>
      <w:r>
        <w:t xml:space="preserve"> </w:t>
      </w:r>
      <m:oMath>
        <m:sSub>
          <m:e>
            <m:r>
              <m:t>L</m:t>
            </m:r>
          </m:e>
          <m:sub>
            <m:r>
              <m:t>x</m:t>
            </m:r>
          </m:sub>
        </m:sSub>
        <m:r>
          <m:rPr>
            <m:sty m:val="p"/>
          </m:rPr>
          <m:t>×</m:t>
        </m:r>
        <m:sSub>
          <m:e>
            <m:r>
              <m:t>L</m:t>
            </m:r>
          </m:e>
          <m:sub>
            <m:r>
              <m:t>y</m:t>
            </m:r>
          </m:sub>
        </m:sSub>
        <m:r>
          <m:rPr>
            <m:sty m:val="p"/>
          </m:rPr>
          <m:t>×</m:t>
        </m:r>
        <m:sSub>
          <m:e>
            <m:r>
              <m:t>L</m:t>
            </m:r>
          </m:e>
          <m:sub>
            <m:r>
              <m:t>z</m:t>
            </m:r>
          </m:sub>
        </m:sSub>
      </m:oMath>
      <w:r>
        <w:t xml:space="preserve"> </w:t>
      </w:r>
      <w:r>
        <w:t xml:space="preserve">的长方体内均匀分布（机体坐标系），则链路间散射系数的相关系数为</w:t>
      </w:r>
    </w:p>
    <w:tbl>
      <w:tblPr>
        <w:tblW w:w="9070" w:type="dxa"/>
        <w:jc w:val="center"/>
        <w:tblBorders>
          <w:top w:val="nil"/>
          <w:left w:val="nil"/>
          <w:bottom w:val="nil"/>
          <w:right w:val="nil"/>
          <w:insideH w:val="nil"/>
          <w:insideV w:val="nil"/>
        </w:tblBorders>
        <w:tblLayout w:type="fixed"/>
        <w:tblCellMar>
          <w:left w:w="0" w:type="dxa"/>
          <w:right w:w="0" w:type="dxa"/>
        </w:tblCellMar>
        <w:tblLook w:val="0000" w:firstRow="0" w:lastRow="0" w:firstColumn="0" w:lastColumn="0" w:noHBand="1" w:noVBand="1"/>
      </w:tblPr>
      <w:tblGrid>
        <w:gridCol w:w="900"/>
        <w:gridCol w:w="7270"/>
        <w:gridCol w:w="900"/>
      </w:tblGrid>
      <w:tr>
        <w:trPr>
          <w:cantSplit/>
        </w:trPr>
        <w:tc>
          <w:tcPr>
            <w:tcW w:w="900" w:type="dxa"/>
            <w:vAlign w:val="center"/>
          </w:tcPr>
          <w:p>
            <w:pPr>
              <w:spacing w:before="0" w:after="0"/>
            </w:pPr>
          </w:p>
        </w:tc>
        <w:tc>
          <w:tcPr>
            <w:tcW w:w="7270" w:type="dxa"/>
            <w:vAlign w:val="center"/>
          </w:tcPr>
          <w:p>
            <w:pPr>
              <w:spacing w:before="20" w:after="20" w:line="240" w:lineRule="auto"/>
              <w:jc w:val="center"/>
            </w:pPr>
            <m:oMathPara>
              <m:oMathParaPr>
                <m:jc m:val="center"/>
              </m:oMathParaPr>
              <m:oMath>
                <m:sSub>
                  <m:e>
                    <m:r>
                      <m:t>ρ</m:t>
                    </m:r>
                  </m:e>
                  <m:sub>
                    <m:r>
                      <m:t>l</m:t>
                    </m:r>
                    <m:r>
                      <m:t>l</m:t>
                    </m:r>
                    <m:r>
                      <m:rPr>
                        <m:sty m:val="p"/>
                      </m:rPr>
                      <m:t>′</m:t>
                    </m:r>
                  </m:sub>
                </m:sSub>
                <m:r>
                  <m:rPr>
                    <m:sty m:val="p"/>
                  </m:rPr>
                  <m:t>=</m:t>
                </m:r>
                <m:f>
                  <m:fPr>
                    <m:type m:val="bar"/>
                  </m:fPr>
                  <m:num>
                    <m:r>
                      <m:rPr>
                        <m:sty m:val="p"/>
                      </m:rPr>
                      <m:t>E</m:t>
                    </m:r>
                    <m:d>
                      <m:dPr>
                        <m:begChr m:val="["/>
                        <m:sepChr m:val=""/>
                        <m:endChr m:val="]"/>
                        <m:grow/>
                      </m:dPr>
                      <m:e>
                        <m:sSub>
                          <m:e>
                            <m:r>
                              <m:t>α</m:t>
                            </m:r>
                          </m:e>
                          <m:sub>
                            <m:r>
                              <m:t>l</m:t>
                            </m:r>
                          </m:sub>
                        </m:sSub>
                        <m:sSubSup>
                          <m:e>
                            <m:r>
                              <m:t>α</m:t>
                            </m:r>
                          </m:e>
                          <m:sub>
                            <m:r>
                              <m:t>l</m:t>
                            </m:r>
                            <m:r>
                              <m:rPr>
                                <m:sty m:val="p"/>
                              </m:rPr>
                              <m:t>′</m:t>
                            </m:r>
                          </m:sub>
                          <m:sup>
                            <m:r>
                              <m:rPr>
                                <m:sty m:val="p"/>
                              </m:rPr>
                              <m:t>*</m:t>
                            </m:r>
                          </m:sup>
                        </m:sSubSup>
                      </m:e>
                    </m:d>
                  </m:num>
                  <m:den>
                    <m:rad>
                      <m:radPr>
                        <m:degHide m:val="on"/>
                      </m:radPr>
                      <m:deg/>
                      <m:e>
                        <m:r>
                          <m:rPr>
                            <m:sty m:val="p"/>
                          </m:rPr>
                          <m:t>E</m:t>
                        </m:r>
                        <m:sSup>
                          <m:e>
                            <m:d>
                              <m:dPr>
                                <m:begChr m:val="|"/>
                                <m:sepChr m:val=""/>
                                <m:endChr m:val="|"/>
                                <m:grow/>
                              </m:dPr>
                              <m:e>
                                <m:sSub>
                                  <m:e>
                                    <m:r>
                                      <m:t>α</m:t>
                                    </m:r>
                                  </m:e>
                                  <m:sub>
                                    <m:r>
                                      <m:t>l</m:t>
                                    </m:r>
                                  </m:sub>
                                </m:sSub>
                              </m:e>
                            </m:d>
                          </m:e>
                          <m:sup>
                            <m:r>
                              <m:t>2</m:t>
                            </m:r>
                          </m:sup>
                        </m:sSup>
                        <m:r>
                          <m:t> </m:t>
                        </m:r>
                        <m:r>
                          <m:rPr>
                            <m:sty m:val="p"/>
                          </m:rPr>
                          <m:t>E</m:t>
                        </m:r>
                        <m:sSup>
                          <m:e>
                            <m:d>
                              <m:dPr>
                                <m:begChr m:val="|"/>
                                <m:sepChr m:val=""/>
                                <m:endChr m:val="|"/>
                                <m:grow/>
                              </m:dPr>
                              <m:e>
                                <m:sSub>
                                  <m:e>
                                    <m:r>
                                      <m:t>α</m:t>
                                    </m:r>
                                  </m:e>
                                  <m:sub>
                                    <m:r>
                                      <m:t>l</m:t>
                                    </m:r>
                                    <m:r>
                                      <m:rPr>
                                        <m:sty m:val="p"/>
                                      </m:rPr>
                                      <m:t>′</m:t>
                                    </m:r>
                                  </m:sub>
                                </m:sSub>
                              </m:e>
                            </m:d>
                          </m:e>
                          <m:sup>
                            <m:r>
                              <m:t>2</m:t>
                            </m:r>
                          </m:sup>
                        </m:sSup>
                      </m:e>
                    </m:rad>
                  </m:den>
                </m:f>
                <m:r>
                  <m:rPr>
                    <m:sty m:val="p"/>
                  </m:rPr>
                  <m:t>=</m:t>
                </m:r>
                <m:nary>
                  <m:naryPr>
                    <m:chr m:val="∏"/>
                    <m:limLoc m:val="undOvr"/>
                    <m:subHide m:val="off"/>
                    <m:supHide m:val="on"/>
                  </m:naryPr>
                  <m:sub>
                    <m:r>
                      <m:t>d</m:t>
                    </m:r>
                    <m:r>
                      <m:rPr>
                        <m:sty m:val="p"/>
                      </m:rPr>
                      <m:t>∈</m:t>
                    </m:r>
                    <m:r>
                      <m:rPr>
                        <m:sty m:val="p"/>
                      </m:rPr>
                      <m:t>{</m:t>
                    </m:r>
                    <m:r>
                      <m:t>x</m:t>
                    </m:r>
                    <m:r>
                      <m:rPr>
                        <m:sty m:val="p"/>
                      </m:rPr>
                      <m:t>,</m:t>
                    </m:r>
                    <m:r>
                      <m:t>y</m:t>
                    </m:r>
                    <m:r>
                      <m:rPr>
                        <m:sty m:val="p"/>
                      </m:rPr>
                      <m:t>,</m:t>
                    </m:r>
                    <m:r>
                      <m:t>z</m:t>
                    </m:r>
                    <m:r>
                      <m:rPr>
                        <m:sty m:val="p"/>
                      </m:rPr>
                      <m:t>}</m:t>
                    </m:r>
                  </m:sub>
                  <m:sup>
                    <m:r>
                      <m:t>​</m:t>
                    </m:r>
                  </m:sup>
                  <m:e>
                    <m:r>
                      <m:rPr>
                        <m:sty m:val="p"/>
                      </m:rPr>
                      <m:t>sinc</m:t>
                    </m:r>
                  </m:e>
                </m:nary>
                <m:d>
                  <m:dPr>
                    <m:begChr m:val="("/>
                    <m:sepChr m:val=""/>
                    <m:endChr m:val=")"/>
                    <m:grow/>
                  </m:dPr>
                  <m:e>
                    <m:r>
                      <m:t>Δ</m:t>
                    </m:r>
                    <m:sSub>
                      <m:e>
                        <m:r>
                          <m:t>k</m:t>
                        </m:r>
                      </m:e>
                      <m:sub>
                        <m:r>
                          <m:t>l</m:t>
                        </m:r>
                        <m:r>
                          <m:t>l</m:t>
                        </m:r>
                        <m:r>
                          <m:rPr>
                            <m:sty m:val="p"/>
                          </m:rPr>
                          <m:t>′</m:t>
                        </m:r>
                        <m:r>
                          <m:rPr>
                            <m:sty m:val="p"/>
                          </m:rPr>
                          <m:t>,</m:t>
                        </m:r>
                        <m:r>
                          <m:t>d</m:t>
                        </m:r>
                      </m:sub>
                    </m:sSub>
                    <m:r>
                      <m:t> </m:t>
                    </m:r>
                    <m:sSub>
                      <m:e>
                        <m:r>
                          <m:t>L</m:t>
                        </m:r>
                      </m:e>
                      <m:sub>
                        <m:r>
                          <m:t>d</m:t>
                        </m:r>
                      </m:sub>
                    </m:sSub>
                  </m:e>
                </m:d>
              </m:oMath>
            </m:oMathPara>
          </w:p>
        </w:tc>
        <w:tc>
          <w:tcPr>
            <w:tcW w:w="900" w:type="dxa"/>
            <w:vAlign w:val="center"/>
          </w:tcPr>
          <w:p>
            <w:pPr>
              <w:spacing w:before="0" w:after="0"/>
              <w:jc w:val="right"/>
            </w:pPr>
            <w:r>
              <w:t xml:space="preserve">(10)</w:t>
            </w:r>
          </w:p>
        </w:tc>
      </w:tr>
    </w:tbl>
    <w:p>
      <w:pPr>
        <w:pStyle w:val="FirstParagraph"/>
        <w:ind w:firstLineChars="0" w:firstLine="0"/>
      </w:pPr>
      <w:r>
        <w:t xml:space="preserve">式中，</w:t>
      </w:r>
      <m:oMath>
        <m:r>
          <m:rPr>
            <m:sty m:val="p"/>
          </m:rPr>
          <m:t>sinc</m:t>
        </m:r>
        <m:d>
          <m:dPr>
            <m:begChr m:val="("/>
            <m:sepChr m:val=""/>
            <m:endChr m:val=")"/>
            <m:grow/>
          </m:dPr>
          <m:e>
            <m:r>
              <m:t>x</m:t>
            </m:r>
          </m:e>
        </m:d>
        <m:r>
          <m:rPr>
            <m:sty m:val="p"/>
          </m:rPr>
          <m:t>=</m:t>
        </m:r>
        <m:r>
          <m:rPr>
            <m:sty m:val="p"/>
          </m:rPr>
          <m:t>sin</m:t>
        </m:r>
        <m:d>
          <m:dPr>
            <m:begChr m:val="("/>
            <m:sepChr m:val=""/>
            <m:endChr m:val=")"/>
            <m:grow/>
          </m:dPr>
          <m:e>
            <m:r>
              <m:t>π</m:t>
            </m:r>
            <m:r>
              <m:t>x</m:t>
            </m:r>
          </m:e>
        </m:d>
        <m:r>
          <m:rPr>
            <m:sty m:val="p"/>
          </m:rPr>
          <m:t>/</m:t>
        </m:r>
        <m:d>
          <m:dPr>
            <m:begChr m:val="("/>
            <m:sepChr m:val=""/>
            <m:endChr m:val=")"/>
            <m:grow/>
          </m:dPr>
          <m:e>
            <m:r>
              <m:t>π</m:t>
            </m:r>
            <m:r>
              <m:t>x</m:t>
            </m:r>
          </m:e>
        </m:d>
      </m:oMath>
      <w:r>
        <w:t xml:space="preserve">。由</w:t>
      </w:r>
      <w:r>
        <w:t xml:space="preserve"> </w:t>
      </w:r>
      <m:oMath>
        <m:r>
          <m:rPr>
            <m:sty m:val="p"/>
          </m:rPr>
          <m:t>sinc</m:t>
        </m:r>
        <m:d>
          <m:dPr>
            <m:begChr m:val="("/>
            <m:sepChr m:val=""/>
            <m:endChr m:val=")"/>
            <m:grow/>
          </m:dPr>
          <m:e>
            <m:r>
              <m:t>0.26</m:t>
            </m:r>
          </m:e>
        </m:d>
        <m:r>
          <m:rPr>
            <m:sty m:val="p"/>
          </m:rPr>
          <m:t>≈</m:t>
        </m:r>
        <m:r>
          <m:t>0.9</m:t>
        </m:r>
      </m:oMath>
      <w:r>
        <w:t xml:space="preserve">，链路间散射“相参”（</w:t>
      </w:r>
      <m:oMath>
        <m:sSub>
          <m:e>
            <m:r>
              <m:t>ρ</m:t>
            </m:r>
          </m:e>
          <m:sub>
            <m:r>
              <m:t>l</m:t>
            </m:r>
            <m:r>
              <m:t>l</m:t>
            </m:r>
            <m:r>
              <m:rPr>
                <m:sty m:val="p"/>
              </m:rPr>
              <m:t>′</m:t>
            </m:r>
          </m:sub>
        </m:sSub>
        <m:r>
          <m:rPr>
            <m:sty m:val="p"/>
          </m:rPr>
          <m:t>≥</m:t>
        </m:r>
        <m:r>
          <m:t>0.9</m:t>
        </m:r>
      </m:oMath>
      <w:r>
        <w:t xml:space="preserve">）的充分条件为</w:t>
      </w:r>
    </w:p>
    <w:tbl>
      <w:tblPr>
        <w:tblW w:w="9070" w:type="dxa"/>
        <w:jc w:val="center"/>
        <w:tblBorders>
          <w:top w:val="nil"/>
          <w:left w:val="nil"/>
          <w:bottom w:val="nil"/>
          <w:right w:val="nil"/>
          <w:insideH w:val="nil"/>
          <w:insideV w:val="nil"/>
        </w:tblBorders>
        <w:tblLayout w:type="fixed"/>
        <w:tblCellMar>
          <w:left w:w="0" w:type="dxa"/>
          <w:right w:w="0" w:type="dxa"/>
        </w:tblCellMar>
        <w:tblLook w:val="0000" w:firstRow="0" w:lastRow="0" w:firstColumn="0" w:lastColumn="0" w:noHBand="1" w:noVBand="1"/>
      </w:tblPr>
      <w:tblGrid>
        <w:gridCol w:w="900"/>
        <w:gridCol w:w="7270"/>
        <w:gridCol w:w="900"/>
      </w:tblGrid>
      <w:tr>
        <w:trPr>
          <w:cantSplit/>
        </w:trPr>
        <w:tc>
          <w:tcPr>
            <w:tcW w:w="900" w:type="dxa"/>
            <w:vAlign w:val="center"/>
          </w:tcPr>
          <w:p>
            <w:pPr>
              <w:spacing w:before="0" w:after="0"/>
            </w:pPr>
          </w:p>
        </w:tc>
        <w:tc>
          <w:tcPr>
            <w:tcW w:w="7270" w:type="dxa"/>
            <w:vAlign w:val="center"/>
          </w:tcPr>
          <w:p>
            <w:pPr>
              <w:spacing w:before="20" w:after="20" w:line="240" w:lineRule="auto"/>
              <w:jc w:val="center"/>
            </w:pPr>
            <m:oMathPara>
              <m:oMathParaPr>
                <m:jc m:val="center"/>
              </m:oMathParaPr>
              <m:oMath>
                <m:d>
                  <m:dPr>
                    <m:begChr m:val="∥"/>
                    <m:sepChr m:val=""/>
                    <m:endChr m:val="∥"/>
                    <m:grow/>
                  </m:dPr>
                  <m:e>
                    <m:r>
                      <m:t>Δ</m:t>
                    </m:r>
                    <m:sSub>
                      <m:e>
                        <m:r>
                          <m:rPr>
                            <m:sty m:val="b"/>
                          </m:rPr>
                          <m:t>k</m:t>
                        </m:r>
                      </m:e>
                      <m:sub>
                        <m:r>
                          <m:t>l</m:t>
                        </m:r>
                        <m:r>
                          <m:t>l</m:t>
                        </m:r>
                        <m:r>
                          <m:rPr>
                            <m:sty m:val="p"/>
                          </m:rPr>
                          <m:t>′</m:t>
                        </m:r>
                      </m:sub>
                    </m:sSub>
                  </m:e>
                </m:d>
                <m:sSub>
                  <m:e>
                    <m:r>
                      <m:t>L</m:t>
                    </m:r>
                  </m:e>
                  <m:sub>
                    <m:r>
                      <m:t>t</m:t>
                    </m:r>
                  </m:sub>
                </m:sSub>
                <m:r>
                  <m:rPr>
                    <m:sty m:val="p"/>
                  </m:rPr>
                  <m:t>≤</m:t>
                </m:r>
                <m:r>
                  <m:t>0.26</m:t>
                </m:r>
              </m:oMath>
            </m:oMathPara>
          </w:p>
        </w:tc>
        <w:tc>
          <w:tcPr>
            <w:tcW w:w="900" w:type="dxa"/>
            <w:vAlign w:val="center"/>
          </w:tcPr>
          <w:p>
            <w:pPr>
              <w:spacing w:before="0" w:after="0"/>
              <w:jc w:val="right"/>
            </w:pPr>
            <w:r>
              <w:t xml:space="preserve">(11)</w:t>
            </w:r>
          </w:p>
        </w:tc>
      </w:tr>
    </w:tbl>
    <w:p>
      <w:pPr>
        <w:pStyle w:val="FirstParagraph"/>
        <w:ind w:firstLineChars="0" w:firstLine="0"/>
      </w:pPr>
      <w:r>
        <w:t xml:space="preserve">式中，</w:t>
      </w:r>
      <m:oMath>
        <m:sSub>
          <m:e>
            <m:r>
              <m:t>L</m:t>
            </m:r>
          </m:e>
          <m:sub>
            <m:r>
              <m:t>t</m:t>
            </m:r>
          </m:sub>
        </m:sSub>
      </m:oMath>
      <w:r>
        <w:t xml:space="preserve"> </w:t>
      </w:r>
      <w:r>
        <w:t xml:space="preserve">为目标尺寸。</w:t>
      </w:r>
      <m:oMath>
        <m:r>
          <m:t>Δ</m:t>
        </m:r>
        <m:sSub>
          <m:e>
            <m:r>
              <m:rPr>
                <m:sty m:val="b"/>
              </m:rPr>
              <m:t>k</m:t>
            </m:r>
          </m:e>
          <m:sub>
            <m:r>
              <m:t>l</m:t>
            </m:r>
            <m:r>
              <m:t>l</m:t>
            </m:r>
            <m:r>
              <m:rPr>
                <m:sty m:val="p"/>
              </m:rPr>
              <m:t>′</m:t>
            </m:r>
          </m:sub>
        </m:sSub>
      </m:oMath>
      <w:r>
        <w:t xml:space="preserve"> </w:t>
      </w:r>
      <w:r>
        <w:t xml:space="preserve">由三部分构成：两链路信号源视角之差、接收站视角之差与载频之差。式(11)说明，相参融合并非只取决于系统同步，还受目标“电尺寸”与链路几何张角的物理约束：目标越大、波长越短、站址越分散，链路间散射相参性越差。该条件与经典目标起伏模型中“频率捷变间隔超过</w:t>
      </w:r>
      <w:r>
        <w:t xml:space="preserve"> </w:t>
      </w:r>
      <m:oMath>
        <m:r>
          <m:t>c</m:t>
        </m:r>
        <m:r>
          <m:rPr>
            <m:sty m:val="p"/>
          </m:rPr>
          <m:t>/</m:t>
        </m:r>
        <m:d>
          <m:dPr>
            <m:begChr m:val="("/>
            <m:sepChr m:val=""/>
            <m:endChr m:val=")"/>
            <m:grow/>
          </m:dPr>
          <m:e>
            <m:r>
              <m:t>2</m:t>
            </m:r>
            <m:sSub>
              <m:e>
                <m:r>
                  <m:t>L</m:t>
                </m:r>
              </m:e>
              <m:sub>
                <m:r>
                  <m:t>t</m:t>
                </m:r>
              </m:sub>
            </m:sSub>
          </m:e>
        </m:d>
      </m:oMath>
      <w:r>
        <w:t xml:space="preserve">、视角变化超过</w:t>
      </w:r>
      <w:r>
        <w:t xml:space="preserve"> </w:t>
      </w:r>
      <m:oMath>
        <m:r>
          <m:t>λ</m:t>
        </m:r>
        <m:r>
          <m:rPr>
            <m:sty m:val="p"/>
          </m:rPr>
          <m:t>/</m:t>
        </m:r>
        <m:d>
          <m:dPr>
            <m:begChr m:val="("/>
            <m:sepChr m:val=""/>
            <m:endChr m:val=")"/>
            <m:grow/>
          </m:dPr>
          <m:e>
            <m:r>
              <m:t>2</m:t>
            </m:r>
            <m:sSub>
              <m:e>
                <m:r>
                  <m:t>L</m:t>
                </m:r>
              </m:e>
              <m:sub>
                <m:r>
                  <m:t>t</m:t>
                </m:r>
              </m:sub>
            </m:sSub>
          </m:e>
        </m:d>
      </m:oMath>
      <w:r>
        <w:t xml:space="preserve"> </w:t>
      </w:r>
      <w:r>
        <w:t xml:space="preserve">时回波去相关”的结论一致</w:t>
      </w:r>
      <w:r>
        <w:rPr>
          <w:vertAlign w:val="superscript"/>
        </w:rPr>
        <w:t xml:space="preserve">[20]</w:t>
      </w:r>
      <w:r>
        <w:t xml:space="preserve">。本系统的最大波数差为 0.43 周/米，满足</w:t>
      </w:r>
      <w:r>
        <w:t xml:space="preserve"> </w:t>
      </w:r>
      <m:oMath>
        <m:r>
          <m:t>ρ</m:t>
        </m:r>
        <m:r>
          <m:rPr>
            <m:sty m:val="p"/>
          </m:rPr>
          <m:t>≥</m:t>
        </m:r>
        <m:r>
          <m:t>0.9</m:t>
        </m:r>
      </m:oMath>
      <w:r>
        <w:t xml:space="preserve"> </w:t>
      </w:r>
      <w:r>
        <w:t xml:space="preserve">的目标尺寸上限约为 0.61 m。</w:t>
      </w:r>
    </w:p>
    <w:bookmarkEnd w:id="33"/>
    <w:bookmarkEnd w:id="34"/>
    <w:bookmarkStart w:id="44" w:name="实现相参融合的条件"/>
    <w:p>
      <w:pPr>
        <w:pStyle w:val="Heading1"/>
      </w:pPr>
      <w:r>
        <w:t xml:space="preserve">4 实现相参融合的条件</w:t>
      </w:r>
    </w:p>
    <w:bookmarkStart w:id="38" w:name="两个信号源之间应满足的条件"/>
    <w:p>
      <w:pPr>
        <w:pStyle w:val="Heading2"/>
      </w:pPr>
      <w:r>
        <w:t xml:space="preserve">4.1 两个信号源之间应满足的条件</w:t>
      </w:r>
    </w:p>
    <w:p>
      <w:pPr>
        <w:pStyle w:val="FirstParagraph"/>
      </w:pPr>
      <w:r>
        <w:t xml:space="preserve">由3.3节可知，各链路以本站接收的该信号源直达波为相位基准，两个信号源的初相、载频偏差与相位噪声在互模糊处理中自动抵消。因此，与有源分布式相参雷达要求各发射机严格时间、相位同步不同</w:t>
      </w:r>
      <w:r>
        <w:rPr>
          <w:vertAlign w:val="superscript"/>
        </w:rPr>
        <w:t xml:space="preserve">[10,11]</w:t>
      </w:r>
      <w:r>
        <w:t xml:space="preserve">，</w:t>
      </w:r>
      <w:r>
        <w:rPr>
          <w:b/>
          <w:bCs/>
        </w:rPr>
        <w:t xml:space="preserve">本系统不要求两个信号源之间以及信号源与接收站之间进行时间同步或相位锁定</w:t>
      </w:r>
      <w:r>
        <w:t xml:space="preserve">，这对非合作信号源至关重要。两个信号源需满足的是如下“可相参”条件。</w:t>
      </w:r>
    </w:p>
    <w:p>
      <w:pPr>
        <w:pStyle w:val="BodyText"/>
      </w:pPr>
      <w:r>
        <w:rPr>
          <w:b/>
          <w:bCs/>
        </w:rPr>
        <w:t xml:space="preserve">（1）时间条件：同时照射、信号连续。</w:t>
      </w:r>
      <w:r>
        <w:t xml:space="preserve">两个信号源须在同一CPI</w:t>
      </w:r>
      <w:r>
        <w:t xml:space="preserve"> </w:t>
      </w:r>
      <m:oMath>
        <m:d>
          <m:dPr>
            <m:begChr m:val="["/>
            <m:sepChr m:val=""/>
            <m:endChr m:val="]"/>
            <m:grow/>
          </m:dPr>
          <m:e>
            <m:sSub>
              <m:e>
                <m:r>
                  <m:t>t</m:t>
                </m:r>
              </m:e>
              <m:sub>
                <m:r>
                  <m:t>c</m:t>
                </m:r>
              </m:sub>
            </m:sSub>
            <m:r>
              <m:rPr>
                <m:sty m:val="p"/>
              </m:rPr>
              <m:t>−</m:t>
            </m:r>
            <m:r>
              <m:t>T</m:t>
            </m:r>
            <m:r>
              <m:rPr>
                <m:sty m:val="p"/>
              </m:rPr>
              <m:t>/</m:t>
            </m:r>
            <m:r>
              <m:t>2</m:t>
            </m:r>
            <m:r>
              <m:rPr>
                <m:sty m:val="p"/>
              </m:rPr>
              <m:t>,</m:t>
            </m:r>
            <m:r>
              <m:t> </m:t>
            </m:r>
            <m:sSub>
              <m:e>
                <m:r>
                  <m:t>t</m:t>
                </m:r>
              </m:e>
              <m:sub>
                <m:r>
                  <m:t>c</m:t>
                </m:r>
              </m:sub>
            </m:sSub>
            <m:r>
              <m:rPr>
                <m:sty m:val="p"/>
              </m:rPr>
              <m:t>+</m:t>
            </m:r>
            <m:r>
              <m:t>T</m:t>
            </m:r>
            <m:r>
              <m:rPr>
                <m:sty m:val="p"/>
              </m:rPr>
              <m:t>/</m:t>
            </m:r>
            <m:r>
              <m:t>2</m:t>
            </m:r>
          </m:e>
        </m:d>
      </m:oMath>
      <w:r>
        <w:t xml:space="preserve"> </w:t>
      </w:r>
      <w:r>
        <w:t xml:space="preserve">内同时照射目标，且CPI内信号连续，不出现节目切换、跳频、波束切换或长时间静默；对时分双工（TDD）通信信号或突发式卫星下行信号，应按有效照射时段划分子CPI。两个信号源的发射时刻无需同步；若两源构成单频网（SFN）并采用统一的解调重构参考信号，则要求两源间的发射时延差稳定，并能由两路直达波估计至远小于</w:t>
      </w:r>
      <w:r>
        <w:t xml:space="preserve"> </w:t>
      </w:r>
      <m:oMath>
        <m:r>
          <m:t>1</m:t>
        </m:r>
        <m:r>
          <m:rPr>
            <m:sty m:val="p"/>
          </m:rPr>
          <m:t>/</m:t>
        </m:r>
        <m:r>
          <m:t>B</m:t>
        </m:r>
      </m:oMath>
      <w:r>
        <w:t xml:space="preserve">（</w:t>
      </w:r>
      <m:oMath>
        <m:r>
          <m:t>B</m:t>
        </m:r>
      </m:oMath>
      <w:r>
        <w:t xml:space="preserve"> </w:t>
      </w:r>
      <w:r>
        <w:t xml:space="preserve">为信号带宽）。</w:t>
      </w:r>
    </w:p>
    <w:p>
      <w:pPr>
        <w:pStyle w:val="BodyText"/>
      </w:pPr>
      <w:r>
        <w:rPr>
          <w:b/>
          <w:bCs/>
        </w:rPr>
        <w:t xml:space="preserve">（2）频率条件：载频已知且两源载频差满足散射频率相干条件。</w:t>
      </w:r>
      <w:r>
        <w:t xml:space="preserve">两个信号源的载频可以不同，但几何相位补偿须按各自的波长</w:t>
      </w:r>
      <w:r>
        <w:t xml:space="preserve"> </w:t>
      </w:r>
      <m:oMath>
        <m:sSub>
          <m:e>
            <m:r>
              <m:t>λ</m:t>
            </m:r>
          </m:e>
          <m:sub>
            <m:r>
              <m:t>l</m:t>
            </m:r>
          </m:sub>
        </m:sSub>
      </m:oMath>
      <w:r>
        <w:t xml:space="preserve"> </w:t>
      </w:r>
      <w:r>
        <w:t xml:space="preserve">进行（若误用同一波长，8 MHz频差在</w:t>
      </w:r>
      <w:r>
        <w:t xml:space="preserve"> </w:t>
      </w:r>
      <m:oMath>
        <m:sSub>
          <m:e>
            <m:r>
              <m:t>τ</m:t>
            </m:r>
          </m:e>
          <m:sub>
            <m:r>
              <m:t>l</m:t>
            </m:r>
          </m:sub>
        </m:sSub>
        <m:r>
          <m:rPr>
            <m:sty m:val="p"/>
          </m:rPr>
          <m:t>≈</m:t>
        </m:r>
        <m:r>
          <m:t>170</m:t>
        </m:r>
      </m:oMath>
      <w:r>
        <w:t xml:space="preserve"> </w:t>
      </w:r>
      <w:r>
        <w:t xml:space="preserve">μs 时引入的相位误差高达数千弧度）。对于同址的两个信号源，两源链路的波数差</w:t>
      </w:r>
      <w:r>
        <w:t xml:space="preserve"> </w:t>
      </w:r>
      <m:oMath>
        <m:d>
          <m:dPr>
            <m:begChr m:val="∥"/>
            <m:sepChr m:val=""/>
            <m:endChr m:val="∥"/>
            <m:grow/>
          </m:dPr>
          <m:e>
            <m:r>
              <m:t>Δ</m:t>
            </m:r>
            <m:r>
              <m:rPr>
                <m:sty m:val="b"/>
              </m:rPr>
              <m:t>k</m:t>
            </m:r>
          </m:e>
        </m:d>
        <m:r>
          <m:rPr>
            <m:sty m:val="p"/>
          </m:rPr>
          <m:t>=</m:t>
        </m:r>
        <m:r>
          <m:t>2</m:t>
        </m:r>
        <m:d>
          <m:dPr>
            <m:begChr m:val="|"/>
            <m:sepChr m:val=""/>
            <m:endChr m:val="|"/>
            <m:grow/>
          </m:dPr>
          <m:e>
            <m:r>
              <m:t>Δ</m:t>
            </m:r>
            <m:r>
              <m:t>f</m:t>
            </m:r>
          </m:e>
        </m:d>
        <m:r>
          <m:rPr>
            <m:sty m:val="p"/>
          </m:rPr>
          <m:t>cos</m:t>
        </m:r>
        <m:d>
          <m:dPr>
            <m:begChr m:val="("/>
            <m:sepChr m:val=""/>
            <m:endChr m:val=")"/>
            <m:grow/>
          </m:dPr>
          <m:e>
            <m:r>
              <m:t>β</m:t>
            </m:r>
            <m:r>
              <m:rPr>
                <m:sty m:val="p"/>
              </m:rPr>
              <m:t>/</m:t>
            </m:r>
            <m:r>
              <m:t>2</m:t>
            </m:r>
          </m:e>
        </m:d>
        <m:r>
          <m:rPr>
            <m:sty m:val="p"/>
          </m:rPr>
          <m:t>/</m:t>
        </m:r>
        <m:r>
          <m:t>c</m:t>
        </m:r>
      </m:oMath>
      <w:r>
        <w:t xml:space="preserve">，由式(11)得两源载频差的上限为</w:t>
      </w:r>
    </w:p>
    <w:tbl>
      <w:tblPr>
        <w:tblW w:w="9070" w:type="dxa"/>
        <w:jc w:val="center"/>
        <w:tblBorders>
          <w:top w:val="nil"/>
          <w:left w:val="nil"/>
          <w:bottom w:val="nil"/>
          <w:right w:val="nil"/>
          <w:insideH w:val="nil"/>
          <w:insideV w:val="nil"/>
        </w:tblBorders>
        <w:tblLayout w:type="fixed"/>
        <w:tblCellMar>
          <w:left w:w="0" w:type="dxa"/>
          <w:right w:w="0" w:type="dxa"/>
        </w:tblCellMar>
        <w:tblLook w:val="0000" w:firstRow="0" w:lastRow="0" w:firstColumn="0" w:lastColumn="0" w:noHBand="1" w:noVBand="1"/>
      </w:tblPr>
      <w:tblGrid>
        <w:gridCol w:w="900"/>
        <w:gridCol w:w="7270"/>
        <w:gridCol w:w="900"/>
      </w:tblGrid>
      <w:tr>
        <w:trPr>
          <w:cantSplit/>
        </w:trPr>
        <w:tc>
          <w:tcPr>
            <w:tcW w:w="900" w:type="dxa"/>
            <w:vAlign w:val="center"/>
          </w:tcPr>
          <w:p>
            <w:pPr>
              <w:spacing w:before="0" w:after="0"/>
            </w:pPr>
          </w:p>
        </w:tc>
        <w:tc>
          <w:tcPr>
            <w:tcW w:w="7270" w:type="dxa"/>
            <w:vAlign w:val="center"/>
          </w:tcPr>
          <w:p>
            <w:pPr>
              <w:spacing w:before="20" w:after="20" w:line="240" w:lineRule="auto"/>
              <w:jc w:val="center"/>
            </w:pPr>
            <m:oMathPara>
              <m:oMathParaPr>
                <m:jc m:val="center"/>
              </m:oMathParaPr>
              <m:oMath>
                <m:d>
                  <m:dPr>
                    <m:begChr m:val="|"/>
                    <m:sepChr m:val=""/>
                    <m:endChr m:val="|"/>
                    <m:grow/>
                  </m:dPr>
                  <m:e>
                    <m:r>
                      <m:t>Δ</m:t>
                    </m:r>
                    <m:r>
                      <m:t>f</m:t>
                    </m:r>
                  </m:e>
                </m:d>
                <m:r>
                  <m:rPr>
                    <m:sty m:val="p"/>
                  </m:rPr>
                  <m:t>≤</m:t>
                </m:r>
                <m:f>
                  <m:fPr>
                    <m:type m:val="bar"/>
                  </m:fPr>
                  <m:num>
                    <m:r>
                      <m:t>0.13</m:t>
                    </m:r>
                    <m:r>
                      <m:t> </m:t>
                    </m:r>
                    <m:r>
                      <m:t>c</m:t>
                    </m:r>
                  </m:num>
                  <m:den>
                    <m:sSub>
                      <m:e>
                        <m:r>
                          <m:t>L</m:t>
                        </m:r>
                      </m:e>
                      <m:sub>
                        <m:r>
                          <m:t>t</m:t>
                        </m:r>
                      </m:sub>
                    </m:sSub>
                    <m:r>
                      <m:rPr>
                        <m:sty m:val="p"/>
                      </m:rPr>
                      <m:t>cos</m:t>
                    </m:r>
                    <m:d>
                      <m:dPr>
                        <m:begChr m:val="("/>
                        <m:sepChr m:val=""/>
                        <m:endChr m:val=")"/>
                        <m:grow/>
                      </m:dPr>
                      <m:e>
                        <m:r>
                          <m:t>β</m:t>
                        </m:r>
                        <m:r>
                          <m:rPr>
                            <m:sty m:val="p"/>
                          </m:rPr>
                          <m:t>/</m:t>
                        </m:r>
                        <m:r>
                          <m:t>2</m:t>
                        </m:r>
                      </m:e>
                    </m:d>
                  </m:den>
                </m:f>
              </m:oMath>
            </m:oMathPara>
          </w:p>
        </w:tc>
        <w:tc>
          <w:tcPr>
            <w:tcW w:w="900" w:type="dxa"/>
            <w:vAlign w:val="center"/>
          </w:tcPr>
          <w:p>
            <w:pPr>
              <w:spacing w:before="0" w:after="0"/>
              <w:jc w:val="right"/>
            </w:pPr>
            <w:r>
              <w:t xml:space="preserve">(12)</w:t>
            </w:r>
          </w:p>
        </w:tc>
      </w:tr>
    </w:tbl>
    <w:p>
      <w:pPr>
        <w:pStyle w:val="FirstParagraph"/>
      </w:pPr>
      <w:r>
        <w:t xml:space="preserve">当</w:t>
      </w:r>
      <w:r>
        <w:t xml:space="preserve"> </w:t>
      </w:r>
      <m:oMath>
        <m:r>
          <m:t>β</m:t>
        </m:r>
        <m:r>
          <m:rPr>
            <m:sty m:val="p"/>
          </m:rPr>
          <m:t>=</m:t>
        </m:r>
        <m:sSup>
          <m:e>
            <m:r>
              <m:t>20</m:t>
            </m:r>
          </m:e>
          <m:sup>
            <m:r>
              <m:rPr>
                <m:sty m:val="p"/>
              </m:rPr>
              <m:t>∘</m:t>
            </m:r>
          </m:sup>
        </m:sSup>
      </m:oMath>
      <w:r>
        <w:t xml:space="preserve"> </w:t>
      </w:r>
      <w:r>
        <w:t xml:space="preserve">时，</w:t>
      </w:r>
      <m:oMath>
        <m:sSub>
          <m:e>
            <m:r>
              <m:t>L</m:t>
            </m:r>
          </m:e>
          <m:sub>
            <m:r>
              <m:t>t</m:t>
            </m:r>
          </m:sub>
        </m:sSub>
        <m:r>
          <m:rPr>
            <m:sty m:val="p"/>
          </m:rPr>
          <m:t>=</m:t>
        </m:r>
        <m:r>
          <m:t>1</m:t>
        </m:r>
      </m:oMath>
      <w:r>
        <w:t xml:space="preserve"> </w:t>
      </w:r>
      <w:r>
        <w:t xml:space="preserve">m、3 m、10 m 对应的载频差上限分别约为 39 MHz、13 MHz 与 3.9 MHz。本例两源为相邻的8 MHz信道（</w:t>
      </w:r>
      <m:oMath>
        <m:r>
          <m:t>Δ</m:t>
        </m:r>
        <m:r>
          <m:t>f</m:t>
        </m:r>
        <m:r>
          <m:rPr>
            <m:sty m:val="p"/>
          </m:rPr>
          <m:t>=</m:t>
        </m:r>
        <m:r>
          <m:t>8</m:t>
        </m:r>
      </m:oMath>
      <w:r>
        <w:t xml:space="preserve"> </w:t>
      </w:r>
      <w:r>
        <w:t xml:space="preserve">MHz），对尺寸数米以内的目标满足要求。此外，各信号源的短期频率稳定度应保证回波与直达波之间的残余相位噪声</w:t>
      </w:r>
      <w:r>
        <w:t xml:space="preserve"> </w:t>
      </w:r>
      <m:oMath>
        <m:sSubSup>
          <m:e>
            <m:r>
              <m:t>σ</m:t>
            </m:r>
          </m:e>
          <m:sub>
            <m:r>
              <m:t>Δ</m:t>
            </m:r>
            <m:r>
              <m:t>ϕ</m:t>
            </m:r>
          </m:sub>
          <m:sup>
            <m:r>
              <m:t>2</m:t>
            </m:r>
          </m:sup>
        </m:sSubSup>
        <m:r>
          <m:rPr>
            <m:sty m:val="p"/>
          </m:rPr>
          <m:t>=</m:t>
        </m:r>
        <m:r>
          <m:t>2</m:t>
        </m:r>
        <m:r>
          <m:rPr>
            <m:sty m:val="p"/>
          </m:rPr>
          <m:t>∫</m:t>
        </m:r>
        <m:sSub>
          <m:e>
            <m:r>
              <m:t>S</m:t>
            </m:r>
          </m:e>
          <m:sub>
            <m:r>
              <m:t>ϕ</m:t>
            </m:r>
          </m:sub>
        </m:sSub>
        <m:d>
          <m:dPr>
            <m:begChr m:val="("/>
            <m:sepChr m:val=""/>
            <m:endChr m:val=")"/>
            <m:grow/>
          </m:dPr>
          <m:e>
            <m:r>
              <m:t>f</m:t>
            </m:r>
          </m:e>
        </m:d>
        <m:d>
          <m:dPr>
            <m:begChr m:val="["/>
            <m:sepChr m:val=""/>
            <m:endChr m:val="]"/>
            <m:grow/>
          </m:dPr>
          <m:e>
            <m:r>
              <m:t>1</m:t>
            </m:r>
            <m:r>
              <m:rPr>
                <m:sty m:val="p"/>
              </m:rPr>
              <m:t>−</m:t>
            </m:r>
            <m:r>
              <m:rPr>
                <m:sty m:val="p"/>
              </m:rPr>
              <m:t>cos</m:t>
            </m:r>
            <m:d>
              <m:dPr>
                <m:begChr m:val="("/>
                <m:sepChr m:val=""/>
                <m:endChr m:val=")"/>
                <m:grow/>
              </m:dPr>
              <m:e>
                <m:r>
                  <m:t>2</m:t>
                </m:r>
                <m:r>
                  <m:t>π</m:t>
                </m:r>
                <m:r>
                  <m:t>f</m:t>
                </m:r>
                <m:sSub>
                  <m:e>
                    <m:r>
                      <m:t>τ</m:t>
                    </m:r>
                  </m:e>
                  <m:sub>
                    <m:r>
                      <m:t>l</m:t>
                    </m:r>
                  </m:sub>
                </m:sSub>
              </m:e>
            </m:d>
          </m:e>
        </m:d>
        <m:r>
          <m:rPr>
            <m:sty m:val="p"/>
          </m:rPr>
          <m:t>d</m:t>
        </m:r>
        <m:r>
          <m:t>f</m:t>
        </m:r>
        <m:r>
          <m:rPr>
            <m:sty m:val="p"/>
          </m:rPr>
          <m:t>≪</m:t>
        </m:r>
        <m:r>
          <m:t>1</m:t>
        </m:r>
      </m:oMath>
      <w:r>
        <w:t xml:space="preserve">，广播电视发射机普遍采用的高稳晶振或GNSS驯服频率源均可满足。</w:t>
      </w:r>
    </w:p>
    <w:p>
      <w:pPr>
        <w:pStyle w:val="BodyText"/>
      </w:pPr>
      <w:r>
        <w:rPr>
          <w:b/>
          <w:bCs/>
        </w:rPr>
        <w:t xml:space="preserve">（3）空间条件：两源对目标的视角差足够小。</w:t>
      </w:r>
      <w:r>
        <w:t xml:space="preserve">对同频的两个信号源，</w:t>
      </w:r>
      <m:oMath>
        <m:d>
          <m:dPr>
            <m:begChr m:val="∥"/>
            <m:sepChr m:val=""/>
            <m:endChr m:val="∥"/>
            <m:grow/>
          </m:dPr>
          <m:e>
            <m:r>
              <m:t>Δ</m:t>
            </m:r>
            <m:r>
              <m:rPr>
                <m:sty m:val="b"/>
              </m:rPr>
              <m:t>k</m:t>
            </m:r>
          </m:e>
        </m:d>
        <m:r>
          <m:rPr>
            <m:sty m:val="p"/>
          </m:rPr>
          <m:t>≈</m:t>
        </m:r>
        <m:r>
          <m:t>Δ</m:t>
        </m:r>
        <m:sSub>
          <m:e>
            <m:r>
              <m:t>θ</m:t>
            </m:r>
          </m:e>
          <m:sub>
            <m:r>
              <m:rPr>
                <m:sty m:val="p"/>
              </m:rPr>
              <m:t>T</m:t>
            </m:r>
          </m:sub>
        </m:sSub>
        <m:r>
          <m:rPr>
            <m:sty m:val="p"/>
          </m:rPr>
          <m:t>/</m:t>
        </m:r>
        <m:r>
          <m:t>λ</m:t>
        </m:r>
      </m:oMath>
      <w:r>
        <w:t xml:space="preserve">，</w:t>
      </w:r>
      <m:oMath>
        <m:r>
          <m:t>Δ</m:t>
        </m:r>
        <m:sSub>
          <m:e>
            <m:r>
              <m:t>θ</m:t>
            </m:r>
          </m:e>
          <m:sub>
            <m:r>
              <m:rPr>
                <m:sty m:val="p"/>
              </m:rPr>
              <m:t>T</m:t>
            </m:r>
          </m:sub>
        </m:sSub>
      </m:oMath>
      <w:r>
        <w:t xml:space="preserve"> </w:t>
      </w:r>
      <w:r>
        <w:t xml:space="preserve">为两源相对目标的视角差（张角），由式(11)得</w:t>
      </w:r>
    </w:p>
    <w:tbl>
      <w:tblPr>
        <w:tblW w:w="9070" w:type="dxa"/>
        <w:jc w:val="center"/>
        <w:tblBorders>
          <w:top w:val="nil"/>
          <w:left w:val="nil"/>
          <w:bottom w:val="nil"/>
          <w:right w:val="nil"/>
          <w:insideH w:val="nil"/>
          <w:insideV w:val="nil"/>
        </w:tblBorders>
        <w:tblLayout w:type="fixed"/>
        <w:tblCellMar>
          <w:left w:w="0" w:type="dxa"/>
          <w:right w:w="0" w:type="dxa"/>
        </w:tblCellMar>
        <w:tblLook w:val="0000" w:firstRow="0" w:lastRow="0" w:firstColumn="0" w:lastColumn="0" w:noHBand="1" w:noVBand="1"/>
      </w:tblPr>
      <w:tblGrid>
        <w:gridCol w:w="900"/>
        <w:gridCol w:w="7270"/>
        <w:gridCol w:w="900"/>
      </w:tblGrid>
      <w:tr>
        <w:trPr>
          <w:cantSplit/>
        </w:trPr>
        <w:tc>
          <w:tcPr>
            <w:tcW w:w="900" w:type="dxa"/>
            <w:vAlign w:val="center"/>
          </w:tcPr>
          <w:p>
            <w:pPr>
              <w:spacing w:before="0" w:after="0"/>
            </w:pPr>
          </w:p>
        </w:tc>
        <w:tc>
          <w:tcPr>
            <w:tcW w:w="7270" w:type="dxa"/>
            <w:vAlign w:val="center"/>
          </w:tcPr>
          <w:p>
            <w:pPr>
              <w:spacing w:before="20" w:after="20" w:line="240" w:lineRule="auto"/>
              <w:jc w:val="center"/>
            </w:pPr>
            <m:oMathPara>
              <m:oMathParaPr>
                <m:jc m:val="center"/>
              </m:oMathParaPr>
              <m:oMath>
                <m:r>
                  <m:t>Δ</m:t>
                </m:r>
                <m:sSub>
                  <m:e>
                    <m:r>
                      <m:t>θ</m:t>
                    </m:r>
                  </m:e>
                  <m:sub>
                    <m:r>
                      <m:rPr>
                        <m:sty m:val="p"/>
                      </m:rPr>
                      <m:t>T</m:t>
                    </m:r>
                  </m:sub>
                </m:sSub>
                <m:r>
                  <m:rPr>
                    <m:sty m:val="p"/>
                  </m:rPr>
                  <m:t>≤</m:t>
                </m:r>
                <m:f>
                  <m:fPr>
                    <m:type m:val="bar"/>
                  </m:fPr>
                  <m:num>
                    <m:r>
                      <m:t>0.26</m:t>
                    </m:r>
                    <m:r>
                      <m:t> </m:t>
                    </m:r>
                    <m:r>
                      <m:t>λ</m:t>
                    </m:r>
                  </m:num>
                  <m:den>
                    <m:sSub>
                      <m:e>
                        <m:r>
                          <m:t>L</m:t>
                        </m:r>
                      </m:e>
                      <m:sub>
                        <m:r>
                          <m:t>t</m:t>
                        </m:r>
                      </m:sub>
                    </m:sSub>
                  </m:den>
                </m:f>
              </m:oMath>
            </m:oMathPara>
          </w:p>
        </w:tc>
        <w:tc>
          <w:tcPr>
            <w:tcW w:w="900" w:type="dxa"/>
            <w:vAlign w:val="center"/>
          </w:tcPr>
          <w:p>
            <w:pPr>
              <w:spacing w:before="0" w:after="0"/>
              <w:jc w:val="right"/>
            </w:pPr>
            <w:r>
              <w:t xml:space="preserve">(13)</w:t>
            </w:r>
          </w:p>
        </w:tc>
      </w:tr>
    </w:tbl>
    <w:p>
      <w:pPr>
        <w:pStyle w:val="FirstParagraph"/>
      </w:pPr>
      <w:r>
        <w:t xml:space="preserve">在650 MHz频段，</w:t>
      </w:r>
      <m:oMath>
        <m:sSub>
          <m:e>
            <m:r>
              <m:t>L</m:t>
            </m:r>
          </m:e>
          <m:sub>
            <m:r>
              <m:t>t</m:t>
            </m:r>
          </m:sub>
        </m:sSub>
        <m:r>
          <m:rPr>
            <m:sty m:val="p"/>
          </m:rPr>
          <m:t>=</m:t>
        </m:r>
        <m:r>
          <m:t>1</m:t>
        </m:r>
      </m:oMath>
      <w:r>
        <w:t xml:space="preserve"> </w:t>
      </w:r>
      <w:r>
        <w:t xml:space="preserve">m、3 m、10 m 对应的视角差上限分别约为 6.9°、2.3° 与 0.69°。本例两源对目标的张角为 4.6°。因此，两信号源宜“同址或近址”，例如同一发射塔的不同频道，或从监视区看去方位相近的两座发射台。图2给出了两源散射相关系数随载频差、视角差的变化及</w:t>
      </w:r>
      <w:r>
        <w:t xml:space="preserve"> </w:t>
      </w:r>
      <m:oMath>
        <m:r>
          <m:t>ρ</m:t>
        </m:r>
        <m:r>
          <m:rPr>
            <m:sty m:val="p"/>
          </m:rPr>
          <m:t>≥</m:t>
        </m:r>
        <m:r>
          <m:t>0.9</m:t>
        </m:r>
      </m:oMath>
      <w:r>
        <w:t xml:space="preserve"> </w:t>
      </w:r>
      <w:r>
        <w:t xml:space="preserve">的可行域。</w:t>
      </w:r>
    </w:p>
    <w:p>
      <w:pPr>
        <w:pStyle w:val="CaptionedFigure"/>
      </w:pPr>
      <w:r>
        <w:drawing>
          <wp:inline>
            <wp:extent cx="5334000" cy="1692233"/>
            <wp:effectExtent b="0" l="0" r="0" t="0"/>
            <wp:docPr descr="图2 两信号源之间的散射相参条件：(a) 同址异频；(b) 同频异址；(c) ρ≥0.9 的可行域" title="" id="36" name="Picture"/>
            <a:graphic>
              <a:graphicData uri="http://schemas.openxmlformats.org/drawingml/2006/picture">
                <pic:pic>
                  <pic:nvPicPr>
                    <pic:cNvPr descr="figures/st_two_source.png" id="37" name="Picture"/>
                    <pic:cNvPicPr>
                      <a:picLocks noChangeArrowheads="1" noChangeAspect="1"/>
                    </pic:cNvPicPr>
                  </pic:nvPicPr>
                  <pic:blipFill>
                    <a:blip r:embed="rId35"/>
                    <a:stretch>
                      <a:fillRect/>
                    </a:stretch>
                  </pic:blipFill>
                  <pic:spPr bwMode="auto">
                    <a:xfrm>
                      <a:off x="0" y="0"/>
                      <a:ext cx="5334000" cy="1692233"/>
                    </a:xfrm>
                    <a:prstGeom prst="rect">
                      <a:avLst/>
                    </a:prstGeom>
                    <a:noFill/>
                    <a:ln w="9525">
                      <a:noFill/>
                      <a:headEnd/>
                      <a:tailEnd/>
                    </a:ln>
                  </pic:spPr>
                </pic:pic>
              </a:graphicData>
            </a:graphic>
          </wp:inline>
        </w:drawing>
      </w:r>
    </w:p>
    <w:p>
      <w:pPr>
        <w:pStyle w:val="ImageCaption"/>
      </w:pPr>
      <w:r>
        <w:t xml:space="preserve">图2 两信号源之间的散射相参条件：(a) 同址异频；(b) 同频异址；(c) ρ≥0.9 的可行域</w:t>
      </w:r>
    </w:p>
    <w:p>
      <w:pPr>
        <w:pStyle w:val="BodyText"/>
      </w:pPr>
      <w:r>
        <w:rPr>
          <w:b/>
          <w:bCs/>
        </w:rPr>
        <w:t xml:space="preserve">（4）波形条件：宽带类噪声、带宽相近、可分离、直达波可获取。</w:t>
      </w:r>
      <w:r>
        <w:t xml:space="preserve">①两源信号应为宽带类噪声信号，模糊函数呈图钉形（OFDM体制的数字广播、移动通信与卫星下行信号均满足），且带宽相近，使两源链路的距离分辨单元一致，便于在目标状态空间对齐；②两源信号在各接收站可分离：多频网（MFN）中两源位于不同信道，经数字信道化分离；同频异内容时需进行源间串扰抑制（参考波束空域分离或解调重构后对消）；同频同内容（SFN）时以解调重构的统一信号作参考，要求各站两路直达波的时延差大于</w:t>
      </w:r>
      <w:r>
        <w:t xml:space="preserve"> </w:t>
      </w:r>
      <m:oMath>
        <m:r>
          <m:t>1</m:t>
        </m:r>
        <m:r>
          <m:rPr>
            <m:sty m:val="p"/>
          </m:rPr>
          <m:t>/</m:t>
        </m:r>
        <m:r>
          <m:t>B</m:t>
        </m:r>
      </m:oMath>
      <w:r>
        <w:t xml:space="preserve">，回波归属由目标状态空间的几何关系自动区分；③各接收站参考通道须能获得两个信号源的直达波，直达波信噪比满足正确解调重构的要求（一般不低于20~30 dB），以便重构纯净参考信号并</w:t>
      </w:r>
      <w:r>
        <w:rPr>
          <w:b/>
          <w:bCs/>
        </w:rPr>
        <w:t xml:space="preserve">保留直达波相位</w:t>
      </w:r>
      <w:r>
        <w:t xml:space="preserve">。</w:t>
      </w:r>
    </w:p>
    <w:p>
      <w:pPr>
        <w:pStyle w:val="BodyText"/>
      </w:pPr>
      <w:r>
        <w:rPr>
          <w:b/>
          <w:bCs/>
        </w:rPr>
        <w:t xml:space="preserve">（5）相位稳定性条件。</w:t>
      </w:r>
      <w:r>
        <w:t xml:space="preserve">在一个CPI内，各信号源的发射相位应连续，不发生相位跳变（如单频网重同步、设备切换）；若存在跳变，应检测跳变时刻并按子CPI分段处理。</w:t>
      </w:r>
    </w:p>
    <w:bookmarkEnd w:id="38"/>
    <w:bookmarkStart w:id="39" w:name="接收站与系统层面的条件"/>
    <w:p>
      <w:pPr>
        <w:pStyle w:val="Heading2"/>
      </w:pPr>
      <w:r>
        <w:t xml:space="preserve">4.2 接收站与系统层面的条件</w:t>
      </w:r>
    </w:p>
    <w:p>
      <w:pPr>
        <w:pStyle w:val="FirstParagraph"/>
      </w:pPr>
      <w:r>
        <w:rPr>
          <w:b/>
          <w:bCs/>
        </w:rPr>
        <w:t xml:space="preserve">（1）频率基准。</w:t>
      </w:r>
      <w:r>
        <w:t xml:space="preserve">若接收站</w:t>
      </w:r>
      <w:r>
        <w:t xml:space="preserve"> </w:t>
      </w:r>
      <m:oMath>
        <m:r>
          <m:t>j</m:t>
        </m:r>
      </m:oMath>
      <w:r>
        <w:t xml:space="preserve"> </w:t>
      </w:r>
      <w:r>
        <w:t xml:space="preserve">的频率基准相对误差为</w:t>
      </w:r>
      <w:r>
        <w:t xml:space="preserve"> </w:t>
      </w:r>
      <m:oMath>
        <m:sSub>
          <m:e>
            <m:r>
              <m:t>ε</m:t>
            </m:r>
          </m:e>
          <m:sub>
            <m:r>
              <m:t>j</m:t>
            </m:r>
          </m:sub>
        </m:sSub>
      </m:oMath>
      <w:r>
        <w:t xml:space="preserve">，则按标称本振频率补偿几何相位时，链路</w:t>
      </w:r>
      <w:r>
        <w:t xml:space="preserve"> </w:t>
      </w:r>
      <m:oMath>
        <m:r>
          <m:t>l</m:t>
        </m:r>
      </m:oMath>
      <w:r>
        <w:t xml:space="preserve"> </w:t>
      </w:r>
      <w:r>
        <w:t xml:space="preserve">引入相位误差</w:t>
      </w:r>
    </w:p>
    <w:tbl>
      <w:tblPr>
        <w:tblW w:w="9070" w:type="dxa"/>
        <w:jc w:val="center"/>
        <w:tblBorders>
          <w:top w:val="nil"/>
          <w:left w:val="nil"/>
          <w:bottom w:val="nil"/>
          <w:right w:val="nil"/>
          <w:insideH w:val="nil"/>
          <w:insideV w:val="nil"/>
        </w:tblBorders>
        <w:tblLayout w:type="fixed"/>
        <w:tblCellMar>
          <w:left w:w="0" w:type="dxa"/>
          <w:right w:w="0" w:type="dxa"/>
        </w:tblCellMar>
        <w:tblLook w:val="0000" w:firstRow="0" w:lastRow="0" w:firstColumn="0" w:lastColumn="0" w:noHBand="1" w:noVBand="1"/>
      </w:tblPr>
      <w:tblGrid>
        <w:gridCol w:w="900"/>
        <w:gridCol w:w="7270"/>
        <w:gridCol w:w="900"/>
      </w:tblGrid>
      <w:tr>
        <w:trPr>
          <w:cantSplit/>
        </w:trPr>
        <w:tc>
          <w:tcPr>
            <w:tcW w:w="900" w:type="dxa"/>
            <w:vAlign w:val="center"/>
          </w:tcPr>
          <w:p>
            <w:pPr>
              <w:spacing w:before="0" w:after="0"/>
            </w:pPr>
          </w:p>
        </w:tc>
        <w:tc>
          <w:tcPr>
            <w:tcW w:w="7270" w:type="dxa"/>
            <w:vAlign w:val="center"/>
          </w:tcPr>
          <w:p>
            <w:pPr>
              <w:spacing w:before="20" w:after="20" w:line="240" w:lineRule="auto"/>
              <w:jc w:val="center"/>
            </w:pPr>
            <m:oMathPara>
              <m:oMathParaPr>
                <m:jc m:val="center"/>
              </m:oMathParaPr>
              <m:oMath>
                <m:r>
                  <m:t>δ</m:t>
                </m:r>
                <m:sSub>
                  <m:e>
                    <m:r>
                      <m:t>φ</m:t>
                    </m:r>
                  </m:e>
                  <m:sub>
                    <m:r>
                      <m:t>l</m:t>
                    </m:r>
                  </m:sub>
                </m:sSub>
                <m:r>
                  <m:rPr>
                    <m:sty m:val="p"/>
                  </m:rPr>
                  <m:t>=</m:t>
                </m:r>
                <m:r>
                  <m:t>2</m:t>
                </m:r>
                <m:r>
                  <m:t>π</m:t>
                </m:r>
                <m:sSub>
                  <m:e>
                    <m:r>
                      <m:t>ε</m:t>
                    </m:r>
                  </m:e>
                  <m:sub>
                    <m:r>
                      <m:t>j</m:t>
                    </m:r>
                  </m:sub>
                </m:sSub>
                <m:sSub>
                  <m:e>
                    <m:r>
                      <m:t>f</m:t>
                    </m:r>
                  </m:e>
                  <m:sub>
                    <m:r>
                      <m:rPr>
                        <m:sty m:val="p"/>
                      </m:rPr>
                      <m:t>L</m:t>
                    </m:r>
                    <m:r>
                      <m:rPr>
                        <m:sty m:val="p"/>
                      </m:rPr>
                      <m:t>,</m:t>
                    </m:r>
                    <m:r>
                      <m:t>i</m:t>
                    </m:r>
                  </m:sub>
                </m:sSub>
                <m:sSub>
                  <m:e>
                    <m:r>
                      <m:t>τ</m:t>
                    </m:r>
                  </m:e>
                  <m:sub>
                    <m:r>
                      <m:t>l</m:t>
                    </m:r>
                  </m:sub>
                </m:sSub>
                <m:r>
                  <m:rPr>
                    <m:sty m:val="p"/>
                  </m:rPr>
                  <m:t>,</m:t>
                </m:r>
                <m:r>
                  <m:t>  </m:t>
                </m:r>
                <m:r>
                  <m:rPr>
                    <m:nor/>
                  </m:rPr>
                  <m:t>要求</m:t>
                </m:r>
                <m:r>
                  <m:t> </m:t>
                </m:r>
                <m:sSub>
                  <m:e>
                    <m:r>
                      <m:t>ε</m:t>
                    </m:r>
                  </m:e>
                  <m:sub>
                    <m:r>
                      <m:t>j</m:t>
                    </m:r>
                  </m:sub>
                </m:sSub>
                <m:r>
                  <m:rPr>
                    <m:sty m:val="p"/>
                  </m:rPr>
                  <m:t>≪</m:t>
                </m:r>
                <m:f>
                  <m:fPr>
                    <m:type m:val="bar"/>
                  </m:fPr>
                  <m:num>
                    <m:r>
                      <m:t>1</m:t>
                    </m:r>
                  </m:num>
                  <m:den>
                    <m:r>
                      <m:t>2</m:t>
                    </m:r>
                    <m:r>
                      <m:t>π</m:t>
                    </m:r>
                    <m:sSub>
                      <m:e>
                        <m:r>
                          <m:t>f</m:t>
                        </m:r>
                      </m:e>
                      <m:sub>
                        <m:r>
                          <m:rPr>
                            <m:sty m:val="p"/>
                          </m:rPr>
                          <m:t>L</m:t>
                        </m:r>
                        <m:r>
                          <m:rPr>
                            <m:sty m:val="p"/>
                          </m:rPr>
                          <m:t>,</m:t>
                        </m:r>
                        <m:r>
                          <m:t>i</m:t>
                        </m:r>
                      </m:sub>
                    </m:sSub>
                    <m:sSub>
                      <m:e>
                        <m:r>
                          <m:t>τ</m:t>
                        </m:r>
                      </m:e>
                      <m:sub>
                        <m:r>
                          <m:rPr>
                            <m:sty m:val="p"/>
                          </m:rPr>
                          <m:t>max</m:t>
                        </m:r>
                      </m:sub>
                    </m:sSub>
                  </m:den>
                </m:f>
              </m:oMath>
            </m:oMathPara>
          </w:p>
        </w:tc>
        <w:tc>
          <w:tcPr>
            <w:tcW w:w="900" w:type="dxa"/>
            <w:vAlign w:val="center"/>
          </w:tcPr>
          <w:p>
            <w:pPr>
              <w:spacing w:before="0" w:after="0"/>
              <w:jc w:val="right"/>
            </w:pPr>
            <w:r>
              <w:t xml:space="preserve">(14)</w:t>
            </w:r>
          </w:p>
        </w:tc>
      </w:tr>
    </w:tbl>
    <w:p>
      <w:pPr>
        <w:pStyle w:val="FirstParagraph"/>
      </w:pPr>
      <w:r>
        <w:t xml:space="preserve">本例</w:t>
      </w:r>
      <w:r>
        <w:t xml:space="preserve"> </w:t>
      </w:r>
      <m:oMath>
        <m:r>
          <m:t>f</m:t>
        </m:r>
        <m:r>
          <m:rPr>
            <m:sty m:val="p"/>
          </m:rPr>
          <m:t>≈</m:t>
        </m:r>
        <m:r>
          <m:t>650</m:t>
        </m:r>
      </m:oMath>
      <w:r>
        <w:t xml:space="preserve"> </w:t>
      </w:r>
      <w:r>
        <w:t xml:space="preserve">MHz、</w:t>
      </w:r>
      <m:oMath>
        <m:sSub>
          <m:e>
            <m:r>
              <m:t>τ</m:t>
            </m:r>
          </m:e>
          <m:sub>
            <m:r>
              <m:rPr>
                <m:sty m:val="p"/>
              </m:rPr>
              <m:t>max</m:t>
            </m:r>
          </m:sub>
        </m:sSub>
        <m:r>
          <m:rPr>
            <m:sty m:val="p"/>
          </m:rPr>
          <m:t>≈</m:t>
        </m:r>
        <m:r>
          <m:t>180</m:t>
        </m:r>
      </m:oMath>
      <w:r>
        <w:t xml:space="preserve"> </w:t>
      </w:r>
      <w:r>
        <w:t xml:space="preserve">μs，要求</w:t>
      </w:r>
      <w:r>
        <w:t xml:space="preserve"> </w:t>
      </w:r>
      <m:oMath>
        <m:sSub>
          <m:e>
            <m:r>
              <m:t>ε</m:t>
            </m:r>
          </m:e>
          <m:sub>
            <m:r>
              <m:t>j</m:t>
            </m:r>
          </m:sub>
        </m:sSub>
        <m:r>
          <m:rPr>
            <m:sty m:val="p"/>
          </m:rPr>
          <m:t>≪</m:t>
        </m:r>
        <m:r>
          <m:t>1.4</m:t>
        </m:r>
        <m:r>
          <m:rPr>
            <m:sty m:val="p"/>
          </m:rPr>
          <m:t>×</m:t>
        </m:r>
        <m:sSup>
          <m:e>
            <m:r>
              <m:t>10</m:t>
            </m:r>
          </m:e>
          <m:sup>
            <m:r>
              <m:rPr>
                <m:sty m:val="p"/>
              </m:rPr>
              <m:t>−</m:t>
            </m:r>
            <m:r>
              <m:t>6</m:t>
            </m:r>
          </m:sup>
        </m:sSup>
      </m:oMath>
      <w:r>
        <w:t xml:space="preserve">。GNSS驯服的恒温晶振或铷钟（</w:t>
      </w:r>
      <m:oMath>
        <m:r>
          <m:t>ε</m:t>
        </m:r>
        <m:r>
          <m:rPr>
            <m:sty m:val="p"/>
          </m:rPr>
          <m:t>≤</m:t>
        </m:r>
        <m:sSup>
          <m:e>
            <m:r>
              <m:t>10</m:t>
            </m:r>
          </m:e>
          <m:sup>
            <m:r>
              <m:rPr>
                <m:sty m:val="p"/>
              </m:rPr>
              <m:t>−</m:t>
            </m:r>
            <m:r>
              <m:t>9</m:t>
            </m:r>
          </m:sup>
        </m:sSup>
      </m:oMath>
      <w:r>
        <w:t xml:space="preserve">）引入的损失可以忽略；自由振荡温补晶振（</w:t>
      </w:r>
      <m:oMath>
        <m:r>
          <m:t>ε</m:t>
        </m:r>
        <m:r>
          <m:rPr>
            <m:sty m:val="p"/>
          </m:rPr>
          <m:t>≈</m:t>
        </m:r>
        <m:sSup>
          <m:e>
            <m:r>
              <m:t>10</m:t>
            </m:r>
          </m:e>
          <m:sup>
            <m:r>
              <m:rPr>
                <m:sty m:val="p"/>
              </m:rPr>
              <m:t>−</m:t>
            </m:r>
            <m:r>
              <m:t>6</m:t>
            </m:r>
          </m:sup>
        </m:sSup>
      </m:oMath>
      <w:r>
        <w:t xml:space="preserve">）将引入约 0.6 dB 的相参损失。</w:t>
      </w:r>
    </w:p>
    <w:p>
      <w:pPr>
        <w:pStyle w:val="BodyText"/>
      </w:pPr>
      <w:r>
        <w:rPr>
          <w:b/>
          <w:bCs/>
        </w:rPr>
        <w:t xml:space="preserve">（2）时间同步。</w:t>
      </w:r>
      <w:r>
        <w:t xml:space="preserve">由于各链路时延均以本站直达波为基准测量，站间时钟偏差不影响回波包络对齐；其影响在于CPI中心时刻不一致带来的多普勒相位差</w:t>
      </w:r>
      <w:r>
        <w:t xml:space="preserve"> </w:t>
      </w:r>
      <m:oMath>
        <m:r>
          <m:t>δ</m:t>
        </m:r>
        <m:sSub>
          <m:e>
            <m:r>
              <m:t>φ</m:t>
            </m:r>
          </m:e>
          <m:sub>
            <m:r>
              <m:t>l</m:t>
            </m:r>
          </m:sub>
        </m:sSub>
        <m:r>
          <m:rPr>
            <m:sty m:val="p"/>
          </m:rPr>
          <m:t>=</m:t>
        </m:r>
        <m:r>
          <m:t>2</m:t>
        </m:r>
        <m:r>
          <m:t>π</m:t>
        </m:r>
        <m:sSub>
          <m:e>
            <m:r>
              <m:t>f</m:t>
            </m:r>
          </m:e>
          <m:sub>
            <m:r>
              <m:t>l</m:t>
            </m:r>
          </m:sub>
        </m:sSub>
        <m:r>
          <m:t>δ</m:t>
        </m:r>
        <m:sSub>
          <m:e>
            <m:r>
              <m:t>t</m:t>
            </m:r>
          </m:e>
          <m:sub>
            <m:r>
              <m:t>j</m:t>
            </m:r>
          </m:sub>
        </m:sSub>
      </m:oMath>
      <w:r>
        <w:t xml:space="preserve">，要求</w:t>
      </w:r>
      <w:r>
        <w:t xml:space="preserve"> </w:t>
      </w:r>
      <m:oMath>
        <m:r>
          <m:t>δ</m:t>
        </m:r>
        <m:sSub>
          <m:e>
            <m:r>
              <m:t>t</m:t>
            </m:r>
          </m:e>
          <m:sub>
            <m:r>
              <m:t>j</m:t>
            </m:r>
          </m:sub>
        </m:sSub>
        <m:r>
          <m:rPr>
            <m:sty m:val="p"/>
          </m:rPr>
          <m:t>≪</m:t>
        </m:r>
        <m:r>
          <m:t>1</m:t>
        </m:r>
        <m:r>
          <m:rPr>
            <m:sty m:val="p"/>
          </m:rPr>
          <m:t>/</m:t>
        </m:r>
        <m:d>
          <m:dPr>
            <m:begChr m:val="("/>
            <m:sepChr m:val=""/>
            <m:endChr m:val=")"/>
            <m:grow/>
          </m:dPr>
          <m:e>
            <m:r>
              <m:t>2</m:t>
            </m:r>
            <m:r>
              <m:t>π</m:t>
            </m:r>
            <m:d>
              <m:dPr>
                <m:begChr m:val="|"/>
                <m:sepChr m:val=""/>
                <m:endChr m:val="|"/>
                <m:grow/>
              </m:dPr>
              <m:e>
                <m:sSub>
                  <m:e>
                    <m:r>
                      <m:t>f</m:t>
                    </m:r>
                  </m:e>
                  <m:sub>
                    <m:r>
                      <m:t>l</m:t>
                    </m:r>
                  </m:sub>
                </m:sSub>
              </m:e>
            </m:d>
          </m:e>
        </m:d>
      </m:oMath>
      <w:r>
        <w:t xml:space="preserve">。本例</w:t>
      </w:r>
      <w:r>
        <w:t xml:space="preserve"> </w:t>
      </w:r>
      <m:oMath>
        <m:sSub>
          <m:e>
            <m:r>
              <m:t>f</m:t>
            </m:r>
          </m:e>
          <m:sub>
            <m:r>
              <m:t>l</m:t>
            </m:r>
          </m:sub>
        </m:sSub>
        <m:r>
          <m:rPr>
            <m:sty m:val="p"/>
          </m:rPr>
          <m:t>≈</m:t>
        </m:r>
        <m:r>
          <m:t>155</m:t>
        </m:r>
      </m:oMath>
      <w:r>
        <w:t xml:space="preserve"> </w:t>
      </w:r>
      <w:r>
        <w:t xml:space="preserve">Hz，相参损失达0.5 dB时的时间误差约为 393 μs；GNSS授时精度（约50 ns）远优于此要求。</w:t>
      </w:r>
    </w:p>
    <w:p>
      <w:pPr>
        <w:pStyle w:val="BodyText"/>
      </w:pPr>
      <w:r>
        <w:rPr>
          <w:b/>
          <w:bCs/>
        </w:rPr>
        <w:t xml:space="preserve">（3）站址精度。</w:t>
      </w:r>
      <w:r>
        <w:t xml:space="preserve">接收站与信号源天线相位中心的位置误差</w:t>
      </w:r>
      <w:r>
        <w:t xml:space="preserve"> </w:t>
      </w:r>
      <m:oMath>
        <m:r>
          <m:t>δ</m:t>
        </m:r>
        <m:sSub>
          <m:e>
            <m:r>
              <m:rPr>
                <m:sty m:val="b"/>
              </m:rPr>
              <m:t>r</m:t>
            </m:r>
          </m:e>
          <m:sub>
            <m:r>
              <m:t>j</m:t>
            </m:r>
          </m:sub>
        </m:sSub>
      </m:oMath>
      <w:r>
        <w:t xml:space="preserve">、</w:t>
      </w:r>
      <m:oMath>
        <m:r>
          <m:t>δ</m:t>
        </m:r>
        <m:sSub>
          <m:e>
            <m:r>
              <m:rPr>
                <m:sty m:val="b"/>
              </m:rPr>
              <m:t>t</m:t>
            </m:r>
          </m:e>
          <m:sub>
            <m:r>
              <m:t>i</m:t>
            </m:r>
          </m:sub>
        </m:sSub>
      </m:oMath>
      <w:r>
        <w:t xml:space="preserve"> </w:t>
      </w:r>
      <w:r>
        <w:t xml:space="preserve">引入的双基地距离误差分别为</w:t>
      </w:r>
    </w:p>
    <w:tbl>
      <w:tblPr>
        <w:tblW w:w="9070" w:type="dxa"/>
        <w:jc w:val="center"/>
        <w:tblBorders>
          <w:top w:val="nil"/>
          <w:left w:val="nil"/>
          <w:bottom w:val="nil"/>
          <w:right w:val="nil"/>
          <w:insideH w:val="nil"/>
          <w:insideV w:val="nil"/>
        </w:tblBorders>
        <w:tblLayout w:type="fixed"/>
        <w:tblCellMar>
          <w:left w:w="0" w:type="dxa"/>
          <w:right w:w="0" w:type="dxa"/>
        </w:tblCellMar>
        <w:tblLook w:val="0000" w:firstRow="0" w:lastRow="0" w:firstColumn="0" w:lastColumn="0" w:noHBand="1" w:noVBand="1"/>
      </w:tblPr>
      <w:tblGrid>
        <w:gridCol w:w="900"/>
        <w:gridCol w:w="7270"/>
        <w:gridCol w:w="900"/>
      </w:tblGrid>
      <w:tr>
        <w:trPr>
          <w:cantSplit/>
        </w:trPr>
        <w:tc>
          <w:tcPr>
            <w:tcW w:w="900" w:type="dxa"/>
            <w:vAlign w:val="center"/>
          </w:tcPr>
          <w:p>
            <w:pPr>
              <w:spacing w:before="0" w:after="0"/>
            </w:pPr>
          </w:p>
        </w:tc>
        <w:tc>
          <w:tcPr>
            <w:tcW w:w="7270" w:type="dxa"/>
            <w:vAlign w:val="center"/>
          </w:tcPr>
          <w:p>
            <w:pPr>
              <w:spacing w:before="20" w:after="20" w:line="240" w:lineRule="auto"/>
              <w:jc w:val="center"/>
            </w:pPr>
            <m:oMathPara>
              <m:oMathParaPr>
                <m:jc m:val="center"/>
              </m:oMathParaPr>
              <m:oMath>
                <m:r>
                  <m:t>δ</m:t>
                </m:r>
                <m:sSub>
                  <m:e>
                    <m:r>
                      <m:t>R</m:t>
                    </m:r>
                  </m:e>
                  <m:sub>
                    <m:r>
                      <m:t>l</m:t>
                    </m:r>
                  </m:sub>
                </m:sSub>
                <m:r>
                  <m:rPr>
                    <m:sty m:val="p"/>
                  </m:rPr>
                  <m:t>=</m:t>
                </m:r>
                <m:sSup>
                  <m:e>
                    <m:d>
                      <m:dPr>
                        <m:begChr m:val="("/>
                        <m:sepChr m:val=""/>
                        <m:endChr m:val=")"/>
                        <m:grow/>
                      </m:dPr>
                      <m:e>
                        <m:sSub>
                          <m:e>
                            <m:r>
                              <m:rPr>
                                <m:sty m:val="b"/>
                              </m:rPr>
                              <m:t>u</m:t>
                            </m:r>
                          </m:e>
                          <m:sub>
                            <m:r>
                              <m:t>j</m:t>
                            </m:r>
                            <m:r>
                              <m:rPr>
                                <m:sty m:val="p"/>
                              </m:rPr>
                              <m:t>→</m:t>
                            </m:r>
                            <m:r>
                              <m:t>i</m:t>
                            </m:r>
                          </m:sub>
                        </m:sSub>
                        <m:r>
                          <m:rPr>
                            <m:sty m:val="p"/>
                          </m:rPr>
                          <m:t>−</m:t>
                        </m:r>
                        <m:sSub>
                          <m:e>
                            <m:r>
                              <m:rPr>
                                <m:sty m:val="b"/>
                              </m:rPr>
                              <m:t>u</m:t>
                            </m:r>
                          </m:e>
                          <m:sub>
                            <m:r>
                              <m:rPr>
                                <m:sty m:val="p"/>
                              </m:rPr>
                              <m:t>R</m:t>
                            </m:r>
                            <m:r>
                              <m:rPr>
                                <m:sty m:val="p"/>
                              </m:rPr>
                              <m:t>,</m:t>
                            </m:r>
                            <m:r>
                              <m:t>j</m:t>
                            </m:r>
                          </m:sub>
                        </m:sSub>
                      </m:e>
                    </m:d>
                  </m:e>
                  <m:sup>
                    <m:r>
                      <m:rPr>
                        <m:sty m:val="p"/>
                      </m:rPr>
                      <m:t>T</m:t>
                    </m:r>
                  </m:sup>
                </m:sSup>
                <m:r>
                  <m:t>δ</m:t>
                </m:r>
                <m:sSub>
                  <m:e>
                    <m:r>
                      <m:rPr>
                        <m:sty m:val="b"/>
                      </m:rPr>
                      <m:t>r</m:t>
                    </m:r>
                  </m:e>
                  <m:sub>
                    <m:r>
                      <m:t>j</m:t>
                    </m:r>
                  </m:sub>
                </m:sSub>
                <m:r>
                  <m:rPr>
                    <m:sty m:val="p"/>
                  </m:rPr>
                  <m:t>,</m:t>
                </m:r>
                <m:r>
                  <m:t>  </m:t>
                </m:r>
                <m:r>
                  <m:t>δ</m:t>
                </m:r>
                <m:sSub>
                  <m:e>
                    <m:r>
                      <m:t>R</m:t>
                    </m:r>
                  </m:e>
                  <m:sub>
                    <m:r>
                      <m:t>l</m:t>
                    </m:r>
                  </m:sub>
                </m:sSub>
                <m:r>
                  <m:rPr>
                    <m:sty m:val="p"/>
                  </m:rPr>
                  <m:t>=</m:t>
                </m:r>
                <m:r>
                  <m:rPr>
                    <m:sty m:val="p"/>
                  </m:rPr>
                  <m:t>−</m:t>
                </m:r>
                <m:sSup>
                  <m:e>
                    <m:d>
                      <m:dPr>
                        <m:begChr m:val="("/>
                        <m:sepChr m:val=""/>
                        <m:endChr m:val=")"/>
                        <m:grow/>
                      </m:dPr>
                      <m:e>
                        <m:sSub>
                          <m:e>
                            <m:r>
                              <m:rPr>
                                <m:sty m:val="b"/>
                              </m:rPr>
                              <m:t>u</m:t>
                            </m:r>
                          </m:e>
                          <m:sub>
                            <m:r>
                              <m:rPr>
                                <m:sty m:val="p"/>
                              </m:rPr>
                              <m:t>T</m:t>
                            </m:r>
                            <m:r>
                              <m:rPr>
                                <m:sty m:val="p"/>
                              </m:rPr>
                              <m:t>,</m:t>
                            </m:r>
                            <m:r>
                              <m:t>i</m:t>
                            </m:r>
                          </m:sub>
                        </m:sSub>
                        <m:r>
                          <m:rPr>
                            <m:sty m:val="p"/>
                          </m:rPr>
                          <m:t>+</m:t>
                        </m:r>
                        <m:sSub>
                          <m:e>
                            <m:r>
                              <m:rPr>
                                <m:sty m:val="b"/>
                              </m:rPr>
                              <m:t>u</m:t>
                            </m:r>
                          </m:e>
                          <m:sub>
                            <m:r>
                              <m:t>j</m:t>
                            </m:r>
                            <m:r>
                              <m:rPr>
                                <m:sty m:val="p"/>
                              </m:rPr>
                              <m:t>→</m:t>
                            </m:r>
                            <m:r>
                              <m:t>i</m:t>
                            </m:r>
                          </m:sub>
                        </m:sSub>
                      </m:e>
                    </m:d>
                  </m:e>
                  <m:sup>
                    <m:r>
                      <m:rPr>
                        <m:sty m:val="p"/>
                      </m:rPr>
                      <m:t>T</m:t>
                    </m:r>
                  </m:sup>
                </m:sSup>
                <m:r>
                  <m:t>δ</m:t>
                </m:r>
                <m:sSub>
                  <m:e>
                    <m:r>
                      <m:rPr>
                        <m:sty m:val="b"/>
                      </m:rPr>
                      <m:t>t</m:t>
                    </m:r>
                  </m:e>
                  <m:sub>
                    <m:r>
                      <m:t>i</m:t>
                    </m:r>
                  </m:sub>
                </m:sSub>
              </m:oMath>
            </m:oMathPara>
          </w:p>
        </w:tc>
        <w:tc>
          <w:tcPr>
            <w:tcW w:w="900" w:type="dxa"/>
            <w:vAlign w:val="center"/>
          </w:tcPr>
          <w:p>
            <w:pPr>
              <w:spacing w:before="0" w:after="0"/>
              <w:jc w:val="right"/>
            </w:pPr>
            <w:r>
              <w:t xml:space="preserve">(15)</w:t>
            </w:r>
          </w:p>
        </w:tc>
      </w:tr>
    </w:tbl>
    <w:p>
      <w:pPr>
        <w:pStyle w:val="FirstParagraph"/>
        <w:ind w:firstLineChars="0" w:firstLine="0"/>
      </w:pPr>
      <w:r>
        <w:t xml:space="preserve">式中，</w:t>
      </w:r>
      <m:oMath>
        <m:sSub>
          <m:e>
            <m:r>
              <m:rPr>
                <m:sty m:val="b"/>
              </m:rPr>
              <m:t>u</m:t>
            </m:r>
          </m:e>
          <m:sub>
            <m:r>
              <m:t>j</m:t>
            </m:r>
            <m:r>
              <m:rPr>
                <m:sty m:val="p"/>
              </m:rPr>
              <m:t>→</m:t>
            </m:r>
            <m:r>
              <m:t>i</m:t>
            </m:r>
          </m:sub>
        </m:sSub>
        <m:r>
          <m:rPr>
            <m:sty m:val="p"/>
          </m:rPr>
          <m:t>=</m:t>
        </m:r>
        <m:d>
          <m:dPr>
            <m:begChr m:val="("/>
            <m:sepChr m:val=""/>
            <m:endChr m:val=")"/>
            <m:grow/>
          </m:dPr>
          <m:e>
            <m:sSub>
              <m:e>
                <m:r>
                  <m:rPr>
                    <m:sty m:val="b"/>
                  </m:rPr>
                  <m:t>t</m:t>
                </m:r>
              </m:e>
              <m:sub>
                <m:r>
                  <m:t>i</m:t>
                </m:r>
              </m:sub>
            </m:sSub>
            <m:r>
              <m:rPr>
                <m:sty m:val="p"/>
              </m:rPr>
              <m:t>−</m:t>
            </m:r>
            <m:sSub>
              <m:e>
                <m:r>
                  <m:rPr>
                    <m:sty m:val="b"/>
                  </m:rPr>
                  <m:t>r</m:t>
                </m:r>
              </m:e>
              <m:sub>
                <m:r>
                  <m:t>j</m:t>
                </m:r>
              </m:sub>
            </m:sSub>
          </m:e>
        </m:d>
        <m:r>
          <m:rPr>
            <m:sty m:val="p"/>
          </m:rPr>
          <m:t>/</m:t>
        </m:r>
        <m:d>
          <m:dPr>
            <m:begChr m:val="∥"/>
            <m:sepChr m:val=""/>
            <m:endChr m:val="∥"/>
            <m:grow/>
          </m:dPr>
          <m:e>
            <m:sSub>
              <m:e>
                <m:r>
                  <m:rPr>
                    <m:sty m:val="b"/>
                  </m:rPr>
                  <m:t>t</m:t>
                </m:r>
              </m:e>
              <m:sub>
                <m:r>
                  <m:t>i</m:t>
                </m:r>
              </m:sub>
            </m:sSub>
            <m:r>
              <m:rPr>
                <m:sty m:val="p"/>
              </m:rPr>
              <m:t>−</m:t>
            </m:r>
            <m:sSub>
              <m:e>
                <m:r>
                  <m:rPr>
                    <m:sty m:val="b"/>
                  </m:rPr>
                  <m:t>r</m:t>
                </m:r>
              </m:e>
              <m:sub>
                <m:r>
                  <m:t>j</m:t>
                </m:r>
              </m:sub>
            </m:sSub>
          </m:e>
        </m:d>
      </m:oMath>
      <w:r>
        <w:t xml:space="preserve">。按</w:t>
      </w:r>
      <w:r>
        <w:t xml:space="preserve"> </w:t>
      </w:r>
      <m:oMath>
        <m:r>
          <m:t>2</m:t>
        </m:r>
        <m:r>
          <m:t>π</m:t>
        </m:r>
        <m:r>
          <m:t>δ</m:t>
        </m:r>
        <m:sSub>
          <m:e>
            <m:r>
              <m:t>R</m:t>
            </m:r>
          </m:e>
          <m:sub>
            <m:r>
              <m:t>l</m:t>
            </m:r>
          </m:sub>
        </m:sSub>
        <m:r>
          <m:rPr>
            <m:sty m:val="p"/>
          </m:rPr>
          <m:t>/</m:t>
        </m:r>
        <m:sSub>
          <m:e>
            <m:r>
              <m:t>λ</m:t>
            </m:r>
          </m:e>
          <m:sub>
            <m:r>
              <m:t>l</m:t>
            </m:r>
          </m:sub>
        </m:sSub>
      </m:oMath>
      <w:r>
        <w:t xml:space="preserve"> </w:t>
      </w:r>
      <w:r>
        <w:t xml:space="preserve">折算为相位误差后，相参损失0.5 dB对应的接收站与信号源位置误差（三维标准差）分别约为 1.6 cm 与 6.2 cm。接收站可采用RTK测量天线相位中心；非合作信号源天线位置通常只能获得米级精度，必须依靠标校消除。由于这类误差随目标位置缓慢变化，可并入通道相位</w:t>
      </w:r>
      <w:r>
        <w:t xml:space="preserve"> </w:t>
      </w:r>
      <m:oMath>
        <m:sSub>
          <m:e>
            <m:r>
              <m:t>κ</m:t>
            </m:r>
          </m:e>
          <m:sub>
            <m:r>
              <m:t>l</m:t>
            </m:r>
          </m:sub>
        </m:sSub>
      </m:oMath>
      <w:r>
        <w:t xml:space="preserve"> </w:t>
      </w:r>
      <w:r>
        <w:t xml:space="preserve">统一标校（6.6节）。</w:t>
      </w:r>
    </w:p>
    <w:p>
      <w:pPr>
        <w:pStyle w:val="BodyText"/>
      </w:pPr>
      <w:r>
        <w:rPr>
          <w:b/>
          <w:bCs/>
        </w:rPr>
        <w:t xml:space="preserve">（4）通道相位标定。</w:t>
      </w:r>
      <w:r>
        <w:t xml:space="preserve">各链路残余相位误差（含通道标定、站址与几何误差）服从标准差为</w:t>
      </w:r>
      <w:r>
        <w:t xml:space="preserve"> </w:t>
      </w:r>
      <m:oMath>
        <m:sSub>
          <m:e>
            <m:r>
              <m:t>σ</m:t>
            </m:r>
          </m:e>
          <m:sub>
            <m:r>
              <m:t>φ</m:t>
            </m:r>
          </m:sub>
        </m:sSub>
      </m:oMath>
      <w:r>
        <w:t xml:space="preserve"> </w:t>
      </w:r>
      <w:r>
        <w:t xml:space="preserve">的独立高斯分布时，相参融合的信噪比增益为</w:t>
      </w:r>
    </w:p>
    <w:tbl>
      <w:tblPr>
        <w:tblW w:w="9070" w:type="dxa"/>
        <w:jc w:val="center"/>
        <w:tblBorders>
          <w:top w:val="nil"/>
          <w:left w:val="nil"/>
          <w:bottom w:val="nil"/>
          <w:right w:val="nil"/>
          <w:insideH w:val="nil"/>
          <w:insideV w:val="nil"/>
        </w:tblBorders>
        <w:tblLayout w:type="fixed"/>
        <w:tblCellMar>
          <w:left w:w="0" w:type="dxa"/>
          <w:right w:w="0" w:type="dxa"/>
        </w:tblCellMar>
        <w:tblLook w:val="0000" w:firstRow="0" w:lastRow="0" w:firstColumn="0" w:lastColumn="0" w:noHBand="1" w:noVBand="1"/>
      </w:tblPr>
      <w:tblGrid>
        <w:gridCol w:w="900"/>
        <w:gridCol w:w="7270"/>
        <w:gridCol w:w="900"/>
      </w:tblGrid>
      <w:tr>
        <w:trPr>
          <w:cantSplit/>
        </w:trPr>
        <w:tc>
          <w:tcPr>
            <w:tcW w:w="900" w:type="dxa"/>
            <w:vAlign w:val="center"/>
          </w:tcPr>
          <w:p>
            <w:pPr>
              <w:spacing w:before="0" w:after="0"/>
            </w:pPr>
          </w:p>
        </w:tc>
        <w:tc>
          <w:tcPr>
            <w:tcW w:w="7270" w:type="dxa"/>
            <w:vAlign w:val="center"/>
          </w:tcPr>
          <w:p>
            <w:pPr>
              <w:spacing w:before="20" w:after="20" w:line="240" w:lineRule="auto"/>
              <w:jc w:val="center"/>
            </w:pPr>
            <m:oMathPara>
              <m:oMathParaPr>
                <m:jc m:val="center"/>
              </m:oMathParaPr>
              <m:oMath>
                <m:r>
                  <m:t>G</m:t>
                </m:r>
                <m:d>
                  <m:dPr>
                    <m:begChr m:val="("/>
                    <m:sepChr m:val=""/>
                    <m:endChr m:val=")"/>
                    <m:grow/>
                  </m:dPr>
                  <m:e>
                    <m:sSub>
                      <m:e>
                        <m:r>
                          <m:t>σ</m:t>
                        </m:r>
                      </m:e>
                      <m:sub>
                        <m:r>
                          <m:t>φ</m:t>
                        </m:r>
                      </m:sub>
                    </m:sSub>
                  </m:e>
                </m:d>
                <m:r>
                  <m:rPr>
                    <m:sty m:val="p"/>
                  </m:rPr>
                  <m:t>=</m:t>
                </m:r>
                <m:f>
                  <m:fPr>
                    <m:type m:val="bar"/>
                  </m:fPr>
                  <m:num>
                    <m:nary>
                      <m:naryPr>
                        <m:chr m:val="∑"/>
                        <m:limLoc m:val="undOvr"/>
                        <m:subHide m:val="off"/>
                        <m:supHide m:val="on"/>
                      </m:naryPr>
                      <m:sub>
                        <m:r>
                          <m:t>l</m:t>
                        </m:r>
                      </m:sub>
                      <m:sup>
                        <m:r>
                          <m:t>​</m:t>
                        </m:r>
                      </m:sup>
                      <m:e>
                        <m:sSubSup>
                          <m:e>
                            <m:r>
                              <m:t>s</m:t>
                            </m:r>
                          </m:e>
                          <m:sub>
                            <m:r>
                              <m:t>l</m:t>
                            </m:r>
                          </m:sub>
                          <m:sup>
                            <m:r>
                              <m:t>4</m:t>
                            </m:r>
                          </m:sup>
                        </m:sSubSup>
                      </m:e>
                    </m:nary>
                    <m:r>
                      <m:rPr>
                        <m:sty m:val="p"/>
                      </m:rPr>
                      <m:t>+</m:t>
                    </m:r>
                    <m:sSup>
                      <m:e>
                        <m:r>
                          <m:t>e</m:t>
                        </m:r>
                      </m:e>
                      <m:sup>
                        <m:r>
                          <m:rPr>
                            <m:sty m:val="p"/>
                          </m:rPr>
                          <m:t>−</m:t>
                        </m:r>
                        <m:sSubSup>
                          <m:e>
                            <m:r>
                              <m:t>σ</m:t>
                            </m:r>
                          </m:e>
                          <m:sub>
                            <m:r>
                              <m:t>φ</m:t>
                            </m:r>
                          </m:sub>
                          <m:sup>
                            <m:r>
                              <m:t>2</m:t>
                            </m:r>
                          </m:sup>
                        </m:sSubSup>
                      </m:sup>
                    </m:sSup>
                    <m:d>
                      <m:dPr>
                        <m:begChr m:val="["/>
                        <m:sepChr m:val=""/>
                        <m:endChr m:val="]"/>
                        <m:grow/>
                      </m:dPr>
                      <m:e>
                        <m:sSup>
                          <m:e>
                            <m:d>
                              <m:dPr>
                                <m:begChr m:val="("/>
                                <m:sepChr m:val=""/>
                                <m:endChr m:val=")"/>
                                <m:grow/>
                              </m:dPr>
                              <m:e>
                                <m:nary>
                                  <m:naryPr>
                                    <m:chr m:val="∑"/>
                                    <m:limLoc m:val="undOvr"/>
                                    <m:subHide m:val="off"/>
                                    <m:supHide m:val="on"/>
                                  </m:naryPr>
                                  <m:sub>
                                    <m:r>
                                      <m:t>l</m:t>
                                    </m:r>
                                  </m:sub>
                                  <m:sup>
                                    <m:r>
                                      <m:t>​</m:t>
                                    </m:r>
                                  </m:sup>
                                  <m:e>
                                    <m:sSubSup>
                                      <m:e>
                                        <m:r>
                                          <m:t>s</m:t>
                                        </m:r>
                                      </m:e>
                                      <m:sub>
                                        <m:r>
                                          <m:t>l</m:t>
                                        </m:r>
                                      </m:sub>
                                      <m:sup>
                                        <m:r>
                                          <m:t>2</m:t>
                                        </m:r>
                                      </m:sup>
                                    </m:sSubSup>
                                  </m:e>
                                </m:nary>
                              </m:e>
                            </m:d>
                          </m:e>
                          <m:sup>
                            <m:r>
                              <m:t>2</m:t>
                            </m:r>
                          </m:sup>
                        </m:sSup>
                        <m:r>
                          <m:rPr>
                            <m:sty m:val="p"/>
                          </m:rPr>
                          <m:t>−</m:t>
                        </m:r>
                        <m:nary>
                          <m:naryPr>
                            <m:chr m:val="∑"/>
                            <m:limLoc m:val="undOvr"/>
                            <m:subHide m:val="off"/>
                            <m:supHide m:val="on"/>
                          </m:naryPr>
                          <m:sub>
                            <m:r>
                              <m:t>l</m:t>
                            </m:r>
                          </m:sub>
                          <m:sup>
                            <m:r>
                              <m:t>​</m:t>
                            </m:r>
                          </m:sup>
                          <m:e>
                            <m:sSubSup>
                              <m:e>
                                <m:r>
                                  <m:t>s</m:t>
                                </m:r>
                              </m:e>
                              <m:sub>
                                <m:r>
                                  <m:t>l</m:t>
                                </m:r>
                              </m:sub>
                              <m:sup>
                                <m:r>
                                  <m:t>4</m:t>
                                </m:r>
                              </m:sup>
                            </m:sSubSup>
                          </m:e>
                        </m:nary>
                      </m:e>
                    </m:d>
                  </m:num>
                  <m:den>
                    <m:sSup>
                      <m:e>
                        <m:acc>
                          <m:accPr>
                            <m:chr m:val="‾"/>
                          </m:accPr>
                          <m:e>
                            <m:r>
                              <m:t>s</m:t>
                            </m:r>
                          </m:e>
                        </m:acc>
                      </m:e>
                      <m:sup>
                        <m:r>
                          <m:t>2</m:t>
                        </m:r>
                      </m:sup>
                    </m:sSup>
                    <m:nary>
                      <m:naryPr>
                        <m:chr m:val="∑"/>
                        <m:limLoc m:val="undOvr"/>
                        <m:subHide m:val="off"/>
                        <m:supHide m:val="on"/>
                      </m:naryPr>
                      <m:sub>
                        <m:r>
                          <m:t>l</m:t>
                        </m:r>
                      </m:sub>
                      <m:sup>
                        <m:r>
                          <m:t>​</m:t>
                        </m:r>
                      </m:sup>
                      <m:e>
                        <m:sSubSup>
                          <m:e>
                            <m:r>
                              <m:t>s</m:t>
                            </m:r>
                          </m:e>
                          <m:sub>
                            <m:r>
                              <m:t>l</m:t>
                            </m:r>
                          </m:sub>
                          <m:sup>
                            <m:r>
                              <m:t>2</m:t>
                            </m:r>
                          </m:sup>
                        </m:sSubSup>
                      </m:e>
                    </m:nary>
                  </m:den>
                </m:f>
                <m:r>
                  <m:t> </m:t>
                </m:r>
                <m:limUpp>
                  <m:e>
                    <m:r>
                      <m:rPr>
                        <m:sty m:val="p"/>
                      </m:rPr>
                      <m:t>→</m:t>
                    </m:r>
                  </m:e>
                  <m:lim>
                    <m:r>
                      <m:t> </m:t>
                    </m:r>
                    <m:sSub>
                      <m:e>
                        <m:r>
                          <m:t>s</m:t>
                        </m:r>
                      </m:e>
                      <m:sub>
                        <m:r>
                          <m:t>l</m:t>
                        </m:r>
                      </m:sub>
                    </m:sSub>
                    <m:r>
                      <m:rPr>
                        <m:sty m:val="p"/>
                      </m:rPr>
                      <m:t>=</m:t>
                    </m:r>
                    <m:acc>
                      <m:accPr>
                        <m:chr m:val="‾"/>
                      </m:accPr>
                      <m:e>
                        <m:r>
                          <m:t>s</m:t>
                        </m:r>
                      </m:e>
                    </m:acc>
                    <m:r>
                      <m:t> </m:t>
                    </m:r>
                  </m:lim>
                </m:limUpp>
                <m:r>
                  <m:t> </m:t>
                </m:r>
                <m:r>
                  <m:t>1</m:t>
                </m:r>
                <m:r>
                  <m:rPr>
                    <m:sty m:val="p"/>
                  </m:rPr>
                  <m:t>+</m:t>
                </m:r>
                <m:d>
                  <m:dPr>
                    <m:begChr m:val="("/>
                    <m:sepChr m:val=""/>
                    <m:endChr m:val=")"/>
                    <m:grow/>
                  </m:dPr>
                  <m:e>
                    <m:r>
                      <m:t>L</m:t>
                    </m:r>
                    <m:r>
                      <m:rPr>
                        <m:sty m:val="p"/>
                      </m:rPr>
                      <m:t>−</m:t>
                    </m:r>
                    <m:r>
                      <m:t>1</m:t>
                    </m:r>
                  </m:e>
                </m:d>
                <m:sSup>
                  <m:e>
                    <m:r>
                      <m:t>e</m:t>
                    </m:r>
                  </m:e>
                  <m:sup>
                    <m:r>
                      <m:rPr>
                        <m:sty m:val="p"/>
                      </m:rPr>
                      <m:t>−</m:t>
                    </m:r>
                    <m:sSubSup>
                      <m:e>
                        <m:r>
                          <m:t>σ</m:t>
                        </m:r>
                      </m:e>
                      <m:sub>
                        <m:r>
                          <m:t>φ</m:t>
                        </m:r>
                      </m:sub>
                      <m:sup>
                        <m:r>
                          <m:t>2</m:t>
                        </m:r>
                      </m:sup>
                    </m:sSubSup>
                  </m:sup>
                </m:sSup>
              </m:oMath>
            </m:oMathPara>
          </w:p>
        </w:tc>
        <w:tc>
          <w:tcPr>
            <w:tcW w:w="900" w:type="dxa"/>
            <w:vAlign w:val="center"/>
          </w:tcPr>
          <w:p>
            <w:pPr>
              <w:spacing w:before="0" w:after="0"/>
              <w:jc w:val="right"/>
            </w:pPr>
            <w:r>
              <w:t xml:space="preserve">(16)</w:t>
            </w:r>
          </w:p>
        </w:tc>
      </w:tr>
    </w:tbl>
    <w:p>
      <w:pPr>
        <w:pStyle w:val="FirstParagraph"/>
        <w:ind w:firstLineChars="0" w:firstLine="0"/>
      </w:pPr>
      <w:r>
        <w:t xml:space="preserve">式中，</w:t>
      </w:r>
      <m:oMath>
        <m:sSubSup>
          <m:e>
            <m:r>
              <m:t>s</m:t>
            </m:r>
          </m:e>
          <m:sub>
            <m:r>
              <m:t>l</m:t>
            </m:r>
          </m:sub>
          <m:sup>
            <m:r>
              <m:t>2</m:t>
            </m:r>
          </m:sup>
        </m:sSubSup>
      </m:oMath>
      <w:r>
        <w:t xml:space="preserve"> </w:t>
      </w:r>
      <w:r>
        <w:t xml:space="preserve">为链路</w:t>
      </w:r>
      <w:r>
        <w:t xml:space="preserve"> </w:t>
      </w:r>
      <m:oMath>
        <m:r>
          <m:t>l</m:t>
        </m:r>
      </m:oMath>
      <w:r>
        <w:t xml:space="preserve"> </w:t>
      </w:r>
      <w:r>
        <w:t xml:space="preserve">的输出信噪比，</w:t>
      </w:r>
      <m:oMath>
        <m:sSup>
          <m:e>
            <m:acc>
              <m:accPr>
                <m:chr m:val="‾"/>
              </m:accPr>
              <m:e>
                <m:r>
                  <m:t>s</m:t>
                </m:r>
              </m:e>
            </m:acc>
          </m:e>
          <m:sup>
            <m:r>
              <m:t>2</m:t>
            </m:r>
          </m:sup>
        </m:sSup>
      </m:oMath>
      <w:r>
        <w:t xml:space="preserve"> </w:t>
      </w:r>
      <w:r>
        <w:t xml:space="preserve">为其平均值。</w:t>
      </w:r>
      <m:oMath>
        <m:r>
          <m:t>L</m:t>
        </m:r>
        <m:r>
          <m:rPr>
            <m:sty m:val="p"/>
          </m:rPr>
          <m:t>=</m:t>
        </m:r>
        <m:r>
          <m:t>10</m:t>
        </m:r>
      </m:oMath>
      <w:r>
        <w:t xml:space="preserve"> </w:t>
      </w:r>
      <w:r>
        <w:t xml:space="preserve">时，相参损失不超过0.5 dB与1 dB分别要求</w:t>
      </w:r>
      <w:r>
        <w:t xml:space="preserve"> </w:t>
      </w:r>
      <m:oMath>
        <m:sSub>
          <m:e>
            <m:r>
              <m:t>σ</m:t>
            </m:r>
          </m:e>
          <m:sub>
            <m:r>
              <m:t>φ</m:t>
            </m:r>
          </m:sub>
        </m:sSub>
        <m:r>
          <m:rPr>
            <m:sty m:val="p"/>
          </m:rPr>
          <m:t>≤</m:t>
        </m:r>
      </m:oMath>
      <w:r>
        <w:t xml:space="preserve"> </w:t>
      </w:r>
      <w:r>
        <w:t xml:space="preserve">21° 与</w:t>
      </w:r>
      <w:r>
        <w:t xml:space="preserve"> </w:t>
      </w:r>
      <m:oMath>
        <m:sSub>
          <m:e>
            <m:r>
              <m:t>σ</m:t>
            </m:r>
          </m:e>
          <m:sub>
            <m:r>
              <m:t>φ</m:t>
            </m:r>
          </m:sub>
        </m:sSub>
        <m:r>
          <m:rPr>
            <m:sty m:val="p"/>
          </m:rPr>
          <m:t>≤</m:t>
        </m:r>
      </m:oMath>
      <w:r>
        <w:t xml:space="preserve"> </w:t>
      </w:r>
      <w:r>
        <w:t xml:space="preserve">29°。</w:t>
      </w:r>
    </w:p>
    <w:p>
      <w:pPr>
        <w:pStyle w:val="BodyText"/>
      </w:pPr>
      <w:r>
        <w:rPr>
          <w:b/>
          <w:bCs/>
        </w:rPr>
        <w:t xml:space="preserve">（5）统一相位参考时刻与数据格式。</w:t>
      </w:r>
      <w:r>
        <w:t xml:space="preserve">各站须以绝对时间定义CPI并统一相位参考时刻</w:t>
      </w:r>
      <w:r>
        <w:t xml:space="preserve"> </w:t>
      </w:r>
      <m:oMath>
        <m:sSub>
          <m:e>
            <m:r>
              <m:t>t</m:t>
            </m:r>
          </m:e>
          <m:sub>
            <m:r>
              <m:t>c</m:t>
            </m:r>
          </m:sub>
        </m:sSub>
      </m:oMath>
      <w:r>
        <w:t xml:space="preserve">，上报复数（而非幅度）距离—多普勒数据。</w:t>
      </w:r>
    </w:p>
    <w:bookmarkEnd w:id="39"/>
    <w:bookmarkStart w:id="43" w:name="条件汇总与本系统评估"/>
    <w:p>
      <w:pPr>
        <w:pStyle w:val="Heading2"/>
      </w:pPr>
      <w:r>
        <w:t xml:space="preserve">4.3 条件汇总与本系统评估</w:t>
      </w:r>
    </w:p>
    <w:p>
      <w:pPr>
        <w:pStyle w:val="FirstParagraph"/>
      </w:pPr>
      <w:r>
        <w:t xml:space="preserve">实现10链路相参融合的条件汇总于表2。其中，信号源侧的时间与相位同步要求被参考通道的自同步特性“化解”，真正需要保证的是：信号同时、连续且可分离；接收站频率基准、时间基准与站址准确；通道相位可标定；目标散射在链路之间相参。</w:t>
      </w:r>
    </w:p>
    <w:p>
      <w:pPr>
        <w:pStyle w:val="TableCaption"/>
      </w:pPr>
      <w:r>
        <w:t xml:space="preserve">表2 实现10链路相参融合的条件</w:t>
      </w:r>
    </w:p>
    <w:tbl>
      <w:tblPr>
        <w:tblStyle w:val="Table"/>
        <w:tblW w:w="9070" w:type="dxa"/>
        <w:jc w:val="center"/>
        <w:tblBorders>
          <w:top w:val="single" w:sz="12" w:space="0" w:color="000000"/>
          <w:left w:val="nil"/>
          <w:bottom w:val="single" w:sz="12" w:space="0" w:color="000000"/>
          <w:right w:val="nil"/>
          <w:insideH w:val="nil"/>
          <w:insideV w:val="nil"/>
        </w:tblBorders>
        <w:tblLook w:firstRow="1" w:lastRow="0" w:firstColumn="0" w:lastColumn="0" w:noHBand="0" w:noVBand="0" w:val="0020"/>
        <w:tblCaption w:val="表2 实现10链路相参融合的条件"/>
      </w:tblPr>
      <w:tblGrid>
        <w:gridCol w:w="1980"/>
        <w:gridCol w:w="1980"/>
        <w:gridCol w:w="1980"/>
        <w:gridCol w:w="1980"/>
      </w:tblGrid>
      <w:tr>
        <w:trPr>
          <w:tblHeader w:val="true"/>
          <w:cantSplit/>
        </w:trPr>
        <w:tc>
          <w:tcPr>
            <w:tcBorders>
              <w:bottom w:val="single" w:sz="6" w:space="0" w:color="000000"/>
            </w:tcBorders>
            <w:vAlign w:val="center"/>
          </w:tcPr>
          <w:p>
            <w:pPr>
              <w:pStyle w:val="Compact"/>
              <w:keepNext/>
              <w:jc w:val="left"/>
            </w:pPr>
            <w:r>
              <w:rPr>
                <w:b/>
              </w:rPr>
              <w:t xml:space="preserve">类别</w:t>
            </w:r>
          </w:p>
        </w:tc>
        <w:tc>
          <w:tcPr>
            <w:tcBorders>
              <w:bottom w:val="single" w:sz="6" w:space="0" w:color="000000"/>
            </w:tcBorders>
            <w:vAlign w:val="center"/>
          </w:tcPr>
          <w:p>
            <w:pPr>
              <w:pStyle w:val="Compact"/>
              <w:keepNext/>
              <w:jc w:val="left"/>
            </w:pPr>
            <w:r>
              <w:rPr>
                <w:b/>
              </w:rPr>
              <w:t xml:space="preserve">条件</w:t>
            </w:r>
          </w:p>
        </w:tc>
        <w:tc>
          <w:tcPr>
            <w:tcBorders>
              <w:bottom w:val="single" w:sz="6" w:space="0" w:color="000000"/>
            </w:tcBorders>
            <w:vAlign w:val="center"/>
          </w:tcPr>
          <w:p>
            <w:pPr>
              <w:pStyle w:val="Compact"/>
              <w:keepNext/>
              <w:jc w:val="left"/>
            </w:pPr>
            <w:r>
              <w:rPr>
                <w:b/>
              </w:rPr>
              <w:t xml:space="preserve">定量要求（本例）</w:t>
            </w:r>
          </w:p>
        </w:tc>
        <w:tc>
          <w:tcPr>
            <w:tcBorders>
              <w:bottom w:val="single" w:sz="6" w:space="0" w:color="000000"/>
            </w:tcBorders>
            <w:vAlign w:val="center"/>
          </w:tcPr>
          <w:p>
            <w:pPr>
              <w:pStyle w:val="Compact"/>
              <w:keepNext/>
              <w:jc w:val="left"/>
            </w:pPr>
            <w:r>
              <w:rPr>
                <w:b/>
              </w:rPr>
              <w:t xml:space="preserve">实现途径</w:t>
            </w:r>
          </w:p>
        </w:tc>
      </w:tr>
      <w:tr>
        <w:trPr>
          <w:cantSplit/>
        </w:trPr>
        <w:tc>
          <w:tcPr>
            <w:vAlign w:val="center"/>
          </w:tcPr>
          <w:p>
            <w:pPr>
              <w:pStyle w:val="Compact"/>
              <w:keepNext/>
              <w:jc w:val="left"/>
            </w:pPr>
            <w:r>
              <w:t xml:space="preserve">两源时间</w:t>
            </w:r>
          </w:p>
        </w:tc>
        <w:tc>
          <w:tcPr>
            <w:vAlign w:val="center"/>
          </w:tcPr>
          <w:p>
            <w:pPr>
              <w:pStyle w:val="Compact"/>
              <w:keepNext/>
              <w:jc w:val="left"/>
            </w:pPr>
            <w:r>
              <w:t xml:space="preserve">同时照射、CPI内连续</w:t>
            </w:r>
          </w:p>
        </w:tc>
        <w:tc>
          <w:tcPr>
            <w:vAlign w:val="center"/>
          </w:tcPr>
          <w:p>
            <w:pPr>
              <w:pStyle w:val="Compact"/>
              <w:keepNext/>
              <w:jc w:val="left"/>
            </w:pPr>
            <w:r>
              <w:t xml:space="preserve">无需两源时间同步</w:t>
            </w:r>
          </w:p>
        </w:tc>
        <w:tc>
          <w:tcPr>
            <w:vAlign w:val="center"/>
          </w:tcPr>
          <w:p>
            <w:pPr>
              <w:pStyle w:val="Compact"/>
              <w:keepNext/>
              <w:jc w:val="left"/>
            </w:pPr>
            <w:r>
              <w:t xml:space="preserve">选择连续发射的信号源，按照射时段划分子CPI</w:t>
            </w:r>
          </w:p>
        </w:tc>
      </w:tr>
      <w:tr>
        <w:trPr>
          <w:cantSplit/>
        </w:trPr>
        <w:tc>
          <w:tcPr>
            <w:vAlign w:val="center"/>
          </w:tcPr>
          <w:p>
            <w:pPr>
              <w:pStyle w:val="Compact"/>
              <w:keepNext/>
              <w:jc w:val="left"/>
            </w:pPr>
            <w:r>
              <w:t xml:space="preserve">两源频率</w:t>
            </w:r>
          </w:p>
        </w:tc>
        <w:tc>
          <w:tcPr>
            <w:vAlign w:val="center"/>
          </w:tcPr>
          <w:p>
            <w:pPr>
              <w:pStyle w:val="Compact"/>
              <w:keepNext/>
              <w:jc w:val="left"/>
            </w:pPr>
            <w:r>
              <w:t xml:space="preserve">载频差满足频率相干</w:t>
            </w:r>
          </w:p>
        </w:tc>
        <w:tc>
          <w:tcPr>
            <w:vAlign w:val="center"/>
          </w:tcPr>
          <w:p>
            <w:pPr>
              <w:pStyle w:val="Compact"/>
              <w:keepNext/>
              <w:jc w:val="left"/>
            </w:pPr>
            <w:r>
              <w:t xml:space="preserve">式(12)，</w:t>
            </w:r>
            <m:oMath>
              <m:sSub>
                <m:e>
                  <m:r>
                    <m:t>L</m:t>
                  </m:r>
                </m:e>
                <m:sub>
                  <m:r>
                    <m:t>t</m:t>
                  </m:r>
                </m:sub>
              </m:sSub>
            </m:oMath>
            <w:r>
              <w:t xml:space="preserve">=3 m 时 ≤13 MHz</w:t>
            </w:r>
          </w:p>
        </w:tc>
        <w:tc>
          <w:tcPr>
            <w:vAlign w:val="center"/>
          </w:tcPr>
          <w:p>
            <w:pPr>
              <w:pStyle w:val="Compact"/>
              <w:keepNext/>
              <w:jc w:val="left"/>
            </w:pPr>
            <w:r>
              <w:t xml:space="preserve">优选相邻信道；按各源波长分别补偿</w:t>
            </w:r>
          </w:p>
        </w:tc>
      </w:tr>
      <w:tr>
        <w:trPr>
          <w:cantSplit/>
        </w:trPr>
        <w:tc>
          <w:tcPr>
            <w:vAlign w:val="center"/>
          </w:tcPr>
          <w:p>
            <w:pPr>
              <w:pStyle w:val="Compact"/>
              <w:keepNext/>
              <w:jc w:val="left"/>
            </w:pPr>
            <w:r>
              <w:t xml:space="preserve">两源空间</w:t>
            </w:r>
          </w:p>
        </w:tc>
        <w:tc>
          <w:tcPr>
            <w:vAlign w:val="center"/>
          </w:tcPr>
          <w:p>
            <w:pPr>
              <w:pStyle w:val="Compact"/>
              <w:keepNext/>
              <w:jc w:val="left"/>
            </w:pPr>
            <w:r>
              <w:t xml:space="preserve">两源对目标视角差小</w:t>
            </w:r>
          </w:p>
        </w:tc>
        <w:tc>
          <w:tcPr>
            <w:vAlign w:val="center"/>
          </w:tcPr>
          <w:p>
            <w:pPr>
              <w:pStyle w:val="Compact"/>
              <w:keepNext/>
              <w:jc w:val="left"/>
            </w:pPr>
            <w:r>
              <w:t xml:space="preserve">式(13)，</w:t>
            </w:r>
            <m:oMath>
              <m:sSub>
                <m:e>
                  <m:r>
                    <m:t>L</m:t>
                  </m:r>
                </m:e>
                <m:sub>
                  <m:r>
                    <m:t>t</m:t>
                  </m:r>
                </m:sub>
              </m:sSub>
            </m:oMath>
            <w:r>
              <w:t xml:space="preserve">=1 m 时 ≤6.9°</w:t>
            </w:r>
          </w:p>
        </w:tc>
        <w:tc>
          <w:tcPr>
            <w:vAlign w:val="center"/>
          </w:tcPr>
          <w:p>
            <w:pPr>
              <w:pStyle w:val="Compact"/>
              <w:keepNext/>
              <w:jc w:val="left"/>
            </w:pPr>
            <w:r>
              <w:t xml:space="preserve">同址或近址信号源</w:t>
            </w:r>
          </w:p>
        </w:tc>
      </w:tr>
      <w:tr>
        <w:trPr>
          <w:cantSplit/>
        </w:trPr>
        <w:tc>
          <w:tcPr>
            <w:vAlign w:val="center"/>
          </w:tcPr>
          <w:p>
            <w:pPr>
              <w:pStyle w:val="Compact"/>
              <w:keepNext/>
              <w:jc w:val="left"/>
            </w:pPr>
            <w:r>
              <w:t xml:space="preserve">两源波形</w:t>
            </w:r>
          </w:p>
        </w:tc>
        <w:tc>
          <w:tcPr>
            <w:vAlign w:val="center"/>
          </w:tcPr>
          <w:p>
            <w:pPr>
              <w:pStyle w:val="Compact"/>
              <w:keepNext/>
              <w:jc w:val="left"/>
            </w:pPr>
            <w:r>
              <w:t xml:space="preserve">宽带类噪声、可分离、直达波可获取</w:t>
            </w:r>
          </w:p>
        </w:tc>
        <w:tc>
          <w:tcPr>
            <w:vAlign w:val="center"/>
          </w:tcPr>
          <w:p>
            <w:pPr>
              <w:pStyle w:val="Compact"/>
              <w:keepNext/>
              <w:jc w:val="left"/>
            </w:pPr>
            <w:r>
              <w:t xml:space="preserve">参考通道DNR≥20~30 dB</w:t>
            </w:r>
          </w:p>
        </w:tc>
        <w:tc>
          <w:tcPr>
            <w:vAlign w:val="center"/>
          </w:tcPr>
          <w:p>
            <w:pPr>
              <w:pStyle w:val="Compact"/>
              <w:keepNext/>
              <w:jc w:val="left"/>
            </w:pPr>
            <w:r>
              <w:t xml:space="preserve">数字信道化、源间串扰抑制、解调重构</w:t>
            </w:r>
          </w:p>
        </w:tc>
      </w:tr>
      <w:tr>
        <w:trPr>
          <w:cantSplit/>
        </w:trPr>
        <w:tc>
          <w:tcPr>
            <w:vAlign w:val="center"/>
          </w:tcPr>
          <w:p>
            <w:pPr>
              <w:pStyle w:val="Compact"/>
              <w:keepNext/>
              <w:jc w:val="left"/>
            </w:pPr>
            <w:r>
              <w:t xml:space="preserve">两源相位</w:t>
            </w:r>
          </w:p>
        </w:tc>
        <w:tc>
          <w:tcPr>
            <w:vAlign w:val="center"/>
          </w:tcPr>
          <w:p>
            <w:pPr>
              <w:pStyle w:val="Compact"/>
              <w:keepNext/>
              <w:jc w:val="left"/>
            </w:pPr>
            <w:r>
              <w:t xml:space="preserve">CPI内相位连续</w:t>
            </w:r>
          </w:p>
        </w:tc>
        <w:tc>
          <w:tcPr>
            <w:vAlign w:val="center"/>
          </w:tcPr>
          <w:p>
            <w:pPr>
              <w:pStyle w:val="Compact"/>
              <w:keepNext/>
              <w:jc w:val="left"/>
            </w:pPr>
            <w:r>
              <w:t xml:space="preserve">无相位跳变</w:t>
            </w:r>
          </w:p>
        </w:tc>
        <w:tc>
          <w:tcPr>
            <w:vAlign w:val="center"/>
          </w:tcPr>
          <w:p>
            <w:pPr>
              <w:pStyle w:val="Compact"/>
              <w:keepNext/>
              <w:jc w:val="left"/>
            </w:pPr>
            <w:r>
              <w:t xml:space="preserve">跳变检测与分段处理</w:t>
            </w:r>
          </w:p>
        </w:tc>
      </w:tr>
      <w:tr>
        <w:trPr>
          <w:cantSplit/>
        </w:trPr>
        <w:tc>
          <w:tcPr>
            <w:vAlign w:val="center"/>
          </w:tcPr>
          <w:p>
            <w:pPr>
              <w:pStyle w:val="Compact"/>
              <w:keepNext/>
              <w:jc w:val="left"/>
            </w:pPr>
            <w:r>
              <w:t xml:space="preserve">频率基准</w:t>
            </w:r>
          </w:p>
        </w:tc>
        <w:tc>
          <w:tcPr>
            <w:vAlign w:val="center"/>
          </w:tcPr>
          <w:p>
            <w:pPr>
              <w:pStyle w:val="Compact"/>
              <w:keepNext/>
              <w:jc w:val="left"/>
            </w:pPr>
            <w:r>
              <w:t xml:space="preserve">接收站频率准确度</w:t>
            </w:r>
          </w:p>
        </w:tc>
        <w:tc>
          <w:tcPr>
            <w:vAlign w:val="center"/>
          </w:tcPr>
          <w:p>
            <w:pPr>
              <w:pStyle w:val="Compact"/>
              <w:keepNext/>
              <w:jc w:val="left"/>
            </w:pPr>
            <m:oMath>
              <m:r>
                <m:t>ε</m:t>
              </m:r>
              <m:r>
                <m:rPr>
                  <m:sty m:val="p"/>
                </m:rPr>
                <m:t>≪</m:t>
              </m:r>
              <m:r>
                <m:t>1.4</m:t>
              </m:r>
              <m:r>
                <m:rPr>
                  <m:sty m:val="p"/>
                </m:rPr>
                <m:t>×</m:t>
              </m:r>
              <m:sSup>
                <m:e>
                  <m:r>
                    <m:t>10</m:t>
                  </m:r>
                </m:e>
                <m:sup>
                  <m:r>
                    <m:rPr>
                      <m:sty m:val="p"/>
                    </m:rPr>
                    <m:t>−</m:t>
                  </m:r>
                  <m:r>
                    <m:t>6</m:t>
                  </m:r>
                </m:sup>
              </m:sSup>
            </m:oMath>
          </w:p>
        </w:tc>
        <w:tc>
          <w:tcPr>
            <w:vAlign w:val="center"/>
          </w:tcPr>
          <w:p>
            <w:pPr>
              <w:pStyle w:val="Compact"/>
              <w:keepNext/>
              <w:jc w:val="left"/>
            </w:pPr>
            <w:r>
              <w:t xml:space="preserve">GNSS驯服恒温晶振/铷钟</w:t>
            </w:r>
          </w:p>
        </w:tc>
      </w:tr>
      <w:tr>
        <w:trPr>
          <w:cantSplit/>
        </w:trPr>
        <w:tc>
          <w:tcPr>
            <w:vAlign w:val="center"/>
          </w:tcPr>
          <w:p>
            <w:pPr>
              <w:pStyle w:val="Compact"/>
              <w:keepNext/>
              <w:jc w:val="left"/>
            </w:pPr>
            <w:r>
              <w:t xml:space="preserve">时间同步</w:t>
            </w:r>
          </w:p>
        </w:tc>
        <w:tc>
          <w:tcPr>
            <w:vAlign w:val="center"/>
          </w:tcPr>
          <w:p>
            <w:pPr>
              <w:pStyle w:val="Compact"/>
              <w:keepNext/>
              <w:jc w:val="left"/>
            </w:pPr>
            <w:r>
              <w:t xml:space="preserve">CPI中心时刻一致</w:t>
            </w:r>
          </w:p>
        </w:tc>
        <w:tc>
          <w:tcPr>
            <w:vAlign w:val="center"/>
          </w:tcPr>
          <w:p>
            <w:pPr>
              <w:pStyle w:val="Compact"/>
              <w:keepNext/>
              <w:jc w:val="left"/>
            </w:pPr>
            <m:oMath>
              <m:r>
                <m:t>δ</m:t>
              </m:r>
              <m:r>
                <m:t>t</m:t>
              </m:r>
              <m:r>
                <m:rPr>
                  <m:sty m:val="p"/>
                </m:rPr>
                <m:t>≪</m:t>
              </m:r>
              <m:r>
                <m:t>1</m:t>
              </m:r>
              <m:r>
                <m:rPr>
                  <m:sty m:val="p"/>
                </m:rPr>
                <m:t>/</m:t>
              </m:r>
              <m:d>
                <m:dPr>
                  <m:begChr m:val="("/>
                  <m:sepChr m:val=""/>
                  <m:endChr m:val=")"/>
                  <m:grow/>
                </m:dPr>
                <m:e>
                  <m:r>
                    <m:t>2</m:t>
                  </m:r>
                  <m:r>
                    <m:t>π</m:t>
                  </m:r>
                  <m:sSub>
                    <m:e>
                      <m:r>
                        <m:t>f</m:t>
                      </m:r>
                    </m:e>
                    <m:sub>
                      <m:r>
                        <m:t>l</m:t>
                      </m:r>
                    </m:sub>
                  </m:sSub>
                </m:e>
              </m:d>
            </m:oMath>
          </w:p>
        </w:tc>
        <w:tc>
          <w:tcPr>
            <w:vAlign w:val="center"/>
          </w:tcPr>
          <w:p>
            <w:pPr>
              <w:pStyle w:val="Compact"/>
              <w:keepNext/>
              <w:jc w:val="left"/>
            </w:pPr>
            <w:r>
              <w:t xml:space="preserve">GNSS授时（约50 ns）</w:t>
            </w:r>
          </w:p>
        </w:tc>
      </w:tr>
      <w:tr>
        <w:trPr>
          <w:cantSplit/>
        </w:trPr>
        <w:tc>
          <w:tcPr>
            <w:vAlign w:val="center"/>
          </w:tcPr>
          <w:p>
            <w:pPr>
              <w:pStyle w:val="Compact"/>
              <w:keepNext/>
              <w:jc w:val="left"/>
            </w:pPr>
            <w:r>
              <w:t xml:space="preserve">站址精度</w:t>
            </w:r>
          </w:p>
        </w:tc>
        <w:tc>
          <w:tcPr>
            <w:vAlign w:val="center"/>
          </w:tcPr>
          <w:p>
            <w:pPr>
              <w:pStyle w:val="Compact"/>
              <w:keepNext/>
              <w:jc w:val="left"/>
            </w:pPr>
            <w:r>
              <w:t xml:space="preserve">天线相位中心位置</w:t>
            </w:r>
          </w:p>
        </w:tc>
        <w:tc>
          <w:tcPr>
            <w:vAlign w:val="center"/>
          </w:tcPr>
          <w:p>
            <w:pPr>
              <w:pStyle w:val="Compact"/>
              <w:keepNext/>
              <w:jc w:val="left"/>
            </w:pPr>
            <w:r>
              <w:t xml:space="preserve">接收站约1.6 cm，信号源约6 cm（0.5 dB）</w:t>
            </w:r>
          </w:p>
        </w:tc>
        <w:tc>
          <w:tcPr>
            <w:vAlign w:val="center"/>
          </w:tcPr>
          <w:p>
            <w:pPr>
              <w:pStyle w:val="Compact"/>
              <w:keepNext/>
              <w:jc w:val="left"/>
            </w:pPr>
            <w:r>
              <w:t xml:space="preserve">RTK测量 + 合作目标标校</w:t>
            </w:r>
          </w:p>
        </w:tc>
      </w:tr>
      <w:tr>
        <w:trPr>
          <w:cantSplit/>
        </w:trPr>
        <w:tc>
          <w:tcPr>
            <w:vAlign w:val="center"/>
          </w:tcPr>
          <w:p>
            <w:pPr>
              <w:pStyle w:val="Compact"/>
              <w:keepNext/>
              <w:jc w:val="left"/>
            </w:pPr>
            <w:r>
              <w:t xml:space="preserve">通道相位</w:t>
            </w:r>
          </w:p>
        </w:tc>
        <w:tc>
          <w:tcPr>
            <w:vAlign w:val="center"/>
          </w:tcPr>
          <w:p>
            <w:pPr>
              <w:pStyle w:val="Compact"/>
              <w:keepNext/>
              <w:jc w:val="left"/>
            </w:pPr>
            <w:r>
              <w:t xml:space="preserve">残余相位误差</w:t>
            </w:r>
          </w:p>
        </w:tc>
        <w:tc>
          <w:tcPr>
            <w:vAlign w:val="center"/>
          </w:tcPr>
          <w:p>
            <w:pPr>
              <w:pStyle w:val="Compact"/>
              <w:keepNext/>
              <w:jc w:val="left"/>
            </w:pPr>
            <m:oMath>
              <m:sSub>
                <m:e>
                  <m:r>
                    <m:t>σ</m:t>
                  </m:r>
                </m:e>
                <m:sub>
                  <m:r>
                    <m:t>φ</m:t>
                  </m:r>
                </m:sub>
              </m:sSub>
              <m:r>
                <m:rPr>
                  <m:sty m:val="p"/>
                </m:rPr>
                <m:t>≤</m:t>
              </m:r>
            </m:oMath>
            <w:r>
              <w:t xml:space="preserve"> </w:t>
            </w:r>
            <w:r>
              <w:t xml:space="preserve">21°（0.5 dB）</w:t>
            </w:r>
          </w:p>
        </w:tc>
        <w:tc>
          <w:tcPr>
            <w:vAlign w:val="center"/>
          </w:tcPr>
          <w:p>
            <w:pPr>
              <w:pStyle w:val="Compact"/>
              <w:keepNext/>
              <w:jc w:val="left"/>
            </w:pPr>
            <w:r>
              <w:t xml:space="preserve">注入校准、直达波泄漏监测、自校准</w:t>
            </w:r>
          </w:p>
        </w:tc>
      </w:tr>
      <w:tr>
        <w:trPr>
          <w:cantSplit/>
        </w:trPr>
        <w:tc>
          <w:tcPr>
            <w:vAlign w:val="center"/>
          </w:tcPr>
          <w:p>
            <w:pPr>
              <w:pStyle w:val="Compact"/>
              <w:jc w:val="left"/>
            </w:pPr>
            <w:r>
              <w:t xml:space="preserve">目标散射</w:t>
            </w:r>
          </w:p>
        </w:tc>
        <w:tc>
          <w:tcPr>
            <w:vAlign w:val="center"/>
          </w:tcPr>
          <w:p>
            <w:pPr>
              <w:pStyle w:val="Compact"/>
              <w:jc w:val="left"/>
            </w:pPr>
            <w:r>
              <w:t xml:space="preserve">链路间散射相参</w:t>
            </w:r>
          </w:p>
        </w:tc>
        <w:tc>
          <w:tcPr>
            <w:vAlign w:val="center"/>
          </w:tcPr>
          <w:p>
            <w:pPr>
              <w:pStyle w:val="Compact"/>
              <w:jc w:val="left"/>
            </w:pPr>
            <w:r>
              <w:t xml:space="preserve">式(11)，本例</w:t>
            </w:r>
            <w:r>
              <w:t xml:space="preserve"> </w:t>
            </w:r>
            <m:oMath>
              <m:sSub>
                <m:e>
                  <m:r>
                    <m:t>L</m:t>
                  </m:r>
                </m:e>
                <m:sub>
                  <m:r>
                    <m:t>t</m:t>
                  </m:r>
                </m:sub>
              </m:sSub>
              <m:r>
                <m:rPr>
                  <m:sty m:val="p"/>
                </m:rPr>
                <m:t>≲</m:t>
              </m:r>
            </m:oMath>
            <w:r>
              <w:t xml:space="preserve"> </w:t>
            </w:r>
            <w:r>
              <w:t xml:space="preserve">0.6 m</w:t>
            </w:r>
          </w:p>
        </w:tc>
        <w:tc>
          <w:tcPr>
            <w:vAlign w:val="center"/>
          </w:tcPr>
          <w:p>
            <w:pPr>
              <w:pStyle w:val="Compact"/>
              <w:jc w:val="left"/>
            </w:pPr>
            <w:r>
              <w:t xml:space="preserve">紧凑布站；否则分组相参或非相参</w:t>
            </w:r>
          </w:p>
        </w:tc>
      </w:tr>
    </w:tbl>
    <w:p>
      <w:pPr>
        <w:pStyle w:val="BodyText"/>
      </w:pPr>
      <w:r>
        <w:t xml:space="preserve">按图1的布站计算10条链路之间的散射相关矩阵（图3）。对于尺寸约0.35 m的小型旋翼无人机，链路间平均相关系数为 0.99，满足全相参条件；尺寸1 m时为 0.96；尺寸3 m时降至 0.70，且同源链路之间（对角块）的相关性明显高于异源链路之间；尺寸10 m时仅为 0.17，链路间基本去相关。可见，在本系统布站条件下，10链路全相参融合适用于小型无人机等电尺寸较小的目标，对大尺寸目标应采用分组相参或非相参融合。</w:t>
      </w:r>
    </w:p>
    <w:p>
      <w:pPr>
        <w:pStyle w:val="CaptionedFigure"/>
      </w:pPr>
      <w:r>
        <w:drawing>
          <wp:inline>
            <wp:extent cx="4679999" cy="2189251"/>
            <wp:effectExtent b="0" l="0" r="0" t="0"/>
            <wp:docPr descr="图3 10条链路间目标散射系数的相关矩阵（左：L_t=0.35 m；右：L_t=3 m）" title="" id="41" name="Picture"/>
            <a:graphic>
              <a:graphicData uri="http://schemas.openxmlformats.org/drawingml/2006/picture">
                <pic:pic>
                  <pic:nvPicPr>
                    <pic:cNvPr descr="figures/st_coherence.png" id="42" name="Picture"/>
                    <pic:cNvPicPr>
                      <a:picLocks noChangeArrowheads="1" noChangeAspect="1"/>
                    </pic:cNvPicPr>
                  </pic:nvPicPr>
                  <pic:blipFill>
                    <a:blip r:embed="rId40"/>
                    <a:stretch>
                      <a:fillRect/>
                    </a:stretch>
                  </pic:blipFill>
                  <pic:spPr bwMode="auto">
                    <a:xfrm>
                      <a:off x="0" y="0"/>
                      <a:ext cx="4679999" cy="2189251"/>
                    </a:xfrm>
                    <a:prstGeom prst="rect">
                      <a:avLst/>
                    </a:prstGeom>
                    <a:noFill/>
                    <a:ln w="9525">
                      <a:noFill/>
                      <a:headEnd/>
                      <a:tailEnd/>
                    </a:ln>
                  </pic:spPr>
                </pic:pic>
              </a:graphicData>
            </a:graphic>
          </wp:inline>
        </w:drawing>
      </w:r>
    </w:p>
    <w:p>
      <w:pPr>
        <w:pStyle w:val="ImageCaption"/>
      </w:pPr>
      <w:r>
        <w:t xml:space="preserve">图3 10条链路间目标散射系数的相关矩阵（左：</w:t>
      </w:r>
      <m:oMath>
        <m:sSub>
          <m:e>
            <m:r>
              <m:t>L</m:t>
            </m:r>
          </m:e>
          <m:sub>
            <m:r>
              <m:t>t</m:t>
            </m:r>
          </m:sub>
        </m:sSub>
      </m:oMath>
      <w:r>
        <w:t xml:space="preserve">=0.35 m；右：</w:t>
      </w:r>
      <m:oMath>
        <m:sSub>
          <m:e>
            <m:r>
              <m:t>L</m:t>
            </m:r>
          </m:e>
          <m:sub>
            <m:r>
              <m:t>t</m:t>
            </m:r>
          </m:sub>
        </m:sSub>
      </m:oMath>
      <w:r>
        <w:t xml:space="preserve">=3 m）</w:t>
      </w:r>
    </w:p>
    <w:bookmarkEnd w:id="43"/>
    <w:bookmarkEnd w:id="44"/>
    <w:bookmarkStart w:id="55" w:name="各接收站回波处理流程"/>
    <w:p>
      <w:pPr>
        <w:pStyle w:val="Heading1"/>
      </w:pPr>
      <w:r>
        <w:t xml:space="preserve">5 各接收站回波处理流程</w:t>
      </w:r>
    </w:p>
    <w:p>
      <w:pPr>
        <w:pStyle w:val="FirstParagraph"/>
      </w:pPr>
      <w:r>
        <w:t xml:space="preserve">各接收站的处理流程与融合中心流程如图4所示。每个接收站对两个信号源并行处理，输出2条链路的复数距离—多普勒图及标定参数。</w:t>
      </w:r>
    </w:p>
    <w:p>
      <w:pPr>
        <w:pStyle w:val="CaptionedFigure"/>
      </w:pPr>
      <w:r>
        <w:drawing>
          <wp:inline>
            <wp:extent cx="5334000" cy="4215580"/>
            <wp:effectExtent b="0" l="0" r="0" t="0"/>
            <wp:docPr descr="图4 相参融合检测总体处理流程" title="" id="46" name="Picture"/>
            <a:graphic>
              <a:graphicData uri="http://schemas.openxmlformats.org/drawingml/2006/picture">
                <pic:pic>
                  <pic:nvPicPr>
                    <pic:cNvPr descr="figures/fig_flow.png" id="47" name="Picture"/>
                    <pic:cNvPicPr>
                      <a:picLocks noChangeArrowheads="1" noChangeAspect="1"/>
                    </pic:cNvPicPr>
                  </pic:nvPicPr>
                  <pic:blipFill>
                    <a:blip r:embed="rId45"/>
                    <a:stretch>
                      <a:fillRect/>
                    </a:stretch>
                  </pic:blipFill>
                  <pic:spPr bwMode="auto">
                    <a:xfrm>
                      <a:off x="0" y="0"/>
                      <a:ext cx="5334000" cy="4215580"/>
                    </a:xfrm>
                    <a:prstGeom prst="rect">
                      <a:avLst/>
                    </a:prstGeom>
                    <a:noFill/>
                    <a:ln w="9525">
                      <a:noFill/>
                      <a:headEnd/>
                      <a:tailEnd/>
                    </a:ln>
                  </pic:spPr>
                </pic:pic>
              </a:graphicData>
            </a:graphic>
          </wp:inline>
        </w:drawing>
      </w:r>
    </w:p>
    <w:p>
      <w:pPr>
        <w:pStyle w:val="ImageCaption"/>
      </w:pPr>
      <w:r>
        <w:t xml:space="preserve">图4 相参融合检测总体处理流程</w:t>
      </w:r>
    </w:p>
    <w:bookmarkStart w:id="48" w:name="时频基准与同步采样"/>
    <w:p>
      <w:pPr>
        <w:pStyle w:val="Heading2"/>
      </w:pPr>
      <w:r>
        <w:t xml:space="preserve">5.1 时频基准与同步采样</w:t>
      </w:r>
    </w:p>
    <w:p>
      <w:pPr>
        <w:pStyle w:val="FirstParagraph"/>
      </w:pPr>
      <w:r>
        <w:t xml:space="preserve">各接收站采用GNSS驯服的恒温晶振或铷钟产生10 MHz频率基准与1PPS秒脉冲</w:t>
      </w:r>
      <w:r>
        <w:rPr>
          <w:vertAlign w:val="superscript"/>
        </w:rPr>
        <w:t xml:space="preserve">[12]</w:t>
      </w:r>
      <w:r>
        <w:t xml:space="preserve">，参考通道与监视通道的本振和模数转换器必须同源，这是直达波相位基准在互模糊处理中抵消发射与本振相位的前提。数据按绝对时间分块，以GNSS时间定义各CPI的起止时刻，使5个接收站的CPI中心时刻</w:t>
      </w:r>
      <w:r>
        <w:t xml:space="preserve"> </w:t>
      </w:r>
      <m:oMath>
        <m:sSub>
          <m:e>
            <m:r>
              <m:t>t</m:t>
            </m:r>
          </m:e>
          <m:sub>
            <m:r>
              <m:t>c</m:t>
            </m:r>
          </m:sub>
        </m:sSub>
      </m:oMath>
      <w:r>
        <w:t xml:space="preserve"> </w:t>
      </w:r>
      <w:r>
        <w:t xml:space="preserve">一致。</w:t>
      </w:r>
    </w:p>
    <w:bookmarkEnd w:id="48"/>
    <w:bookmarkStart w:id="49" w:name="多源信号分离与辐射源参数估计"/>
    <w:p>
      <w:pPr>
        <w:pStyle w:val="Heading2"/>
      </w:pPr>
      <w:r>
        <w:t xml:space="preserve">5.2 多源信号分离与辐射源参数估计</w:t>
      </w:r>
    </w:p>
    <w:p>
      <w:pPr>
        <w:pStyle w:val="FirstParagraph"/>
      </w:pPr>
      <w:r>
        <w:t xml:space="preserve">对宽带采样数据进行数字下变频与信道化滤波，分别得到两个信号源所在信道的参考通道与监视通道基带信号。两源同频而内容不同时，应在参考通道采用指向不同信号源的波束进行空域分离，并在后续对消中同时引入两源参考信号。随后对每个信号源完成载频偏差、符号定时与帧结构等参数估计，方法见本项目《信号源参数精确估计技术》</w:t>
      </w:r>
      <w:r>
        <w:rPr>
          <w:vertAlign w:val="superscript"/>
        </w:rPr>
        <w:t xml:space="preserve">[22]</w:t>
      </w:r>
      <w:r>
        <w:t xml:space="preserve">。</w:t>
      </w:r>
    </w:p>
    <w:bookmarkEnd w:id="49"/>
    <w:bookmarkStart w:id="50" w:name="参考信号提纯"/>
    <w:p>
      <w:pPr>
        <w:pStyle w:val="Heading2"/>
      </w:pPr>
      <w:r>
        <w:t xml:space="preserve">5.3 参考信号提纯</w:t>
      </w:r>
    </w:p>
    <w:p>
      <w:pPr>
        <w:pStyle w:val="FirstParagraph"/>
      </w:pPr>
      <w:r>
        <w:t xml:space="preserve">参考通道中的噪声与多径会在互模糊处理中抬高底噪并降低对消深度，需采用解调—再调制方法提纯</w:t>
      </w:r>
      <w:r>
        <w:rPr>
          <w:vertAlign w:val="superscript"/>
        </w:rPr>
        <w:t xml:space="preserve">[15]</w:t>
      </w:r>
      <w:r>
        <w:t xml:space="preserve">：利用循环前缀估计并补偿频偏，逐符号FFT后判决得到各子载波符号，重构纯净的OFDM波形，再恢复直达波的分数时延、复增益与频偏：</w:t>
      </w:r>
    </w:p>
    <w:tbl>
      <w:tblPr>
        <w:tblW w:w="9070" w:type="dxa"/>
        <w:jc w:val="center"/>
        <w:tblBorders>
          <w:top w:val="nil"/>
          <w:left w:val="nil"/>
          <w:bottom w:val="nil"/>
          <w:right w:val="nil"/>
          <w:insideH w:val="nil"/>
          <w:insideV w:val="nil"/>
        </w:tblBorders>
        <w:tblLayout w:type="fixed"/>
        <w:tblCellMar>
          <w:left w:w="0" w:type="dxa"/>
          <w:right w:w="0" w:type="dxa"/>
        </w:tblCellMar>
        <w:tblLook w:val="0000" w:firstRow="0" w:lastRow="0" w:firstColumn="0" w:lastColumn="0" w:noHBand="1" w:noVBand="1"/>
      </w:tblPr>
      <w:tblGrid>
        <w:gridCol w:w="900"/>
        <w:gridCol w:w="7270"/>
        <w:gridCol w:w="900"/>
      </w:tblGrid>
      <w:tr>
        <w:trPr>
          <w:cantSplit/>
        </w:trPr>
        <w:tc>
          <w:tcPr>
            <w:tcW w:w="900" w:type="dxa"/>
            <w:vAlign w:val="center"/>
          </w:tcPr>
          <w:p>
            <w:pPr>
              <w:spacing w:before="0" w:after="0"/>
            </w:pPr>
          </w:p>
        </w:tc>
        <w:tc>
          <w:tcPr>
            <w:tcW w:w="7270" w:type="dxa"/>
            <w:vAlign w:val="center"/>
          </w:tcPr>
          <w:p>
            <w:pPr>
              <w:spacing w:before="20" w:after="20" w:line="240" w:lineRule="auto"/>
              <w:jc w:val="center"/>
            </w:pPr>
            <m:oMathPara>
              <m:oMathParaPr>
                <m:jc m:val="center"/>
              </m:oMathParaPr>
              <m:oMath>
                <m:sSub>
                  <m:e>
                    <m:acc>
                      <m:accPr>
                        <m:chr m:val="̂"/>
                      </m:accPr>
                      <m:e>
                        <m:r>
                          <m:t>d</m:t>
                        </m:r>
                      </m:e>
                    </m:acc>
                  </m:e>
                  <m:sub>
                    <m:r>
                      <m:t>i</m:t>
                    </m:r>
                    <m:r>
                      <m:t>j</m:t>
                    </m:r>
                  </m:sub>
                </m:sSub>
                <m:d>
                  <m:dPr>
                    <m:begChr m:val="("/>
                    <m:sepChr m:val=""/>
                    <m:endChr m:val=")"/>
                    <m:grow/>
                  </m:dPr>
                  <m:e>
                    <m:r>
                      <m:t>t</m:t>
                    </m:r>
                  </m:e>
                </m:d>
                <m:r>
                  <m:rPr>
                    <m:sty m:val="p"/>
                  </m:rPr>
                  <m:t>=</m:t>
                </m:r>
                <m:sSub>
                  <m:e>
                    <m:acc>
                      <m:accPr>
                        <m:chr m:val="̂"/>
                      </m:accPr>
                      <m:e>
                        <m:r>
                          <m:t>g</m:t>
                        </m:r>
                      </m:e>
                    </m:acc>
                  </m:e>
                  <m:sub>
                    <m:r>
                      <m:t>i</m:t>
                    </m:r>
                    <m:r>
                      <m:t>j</m:t>
                    </m:r>
                  </m:sub>
                </m:sSub>
                <m:d>
                  <m:dPr>
                    <m:begChr m:val="("/>
                    <m:sepChr m:val=""/>
                    <m:endChr m:val=")"/>
                    <m:grow/>
                  </m:dPr>
                  <m:e>
                    <m:r>
                      <m:t>t</m:t>
                    </m:r>
                  </m:e>
                </m:d>
                <m:r>
                  <m:t> </m:t>
                </m:r>
                <m:sSub>
                  <m:e>
                    <m:acc>
                      <m:accPr>
                        <m:chr m:val="̂"/>
                      </m:accPr>
                      <m:e>
                        <m:r>
                          <m:t>x</m:t>
                        </m:r>
                      </m:e>
                    </m:acc>
                  </m:e>
                  <m:sub>
                    <m:r>
                      <m:t>i</m:t>
                    </m:r>
                  </m:sub>
                </m:sSub>
                <m:d>
                  <m:dPr>
                    <m:begChr m:val="("/>
                    <m:sepChr m:val=""/>
                    <m:endChr m:val=")"/>
                    <m:grow/>
                  </m:dPr>
                  <m:e>
                    <m:r>
                      <m:t>t</m:t>
                    </m:r>
                    <m:r>
                      <m:rPr>
                        <m:sty m:val="p"/>
                      </m:rPr>
                      <m:t>−</m:t>
                    </m:r>
                    <m:sSubSup>
                      <m:e>
                        <m:acc>
                          <m:accPr>
                            <m:chr m:val="̂"/>
                          </m:accPr>
                          <m:e>
                            <m:r>
                              <m:t>τ</m:t>
                            </m:r>
                          </m:e>
                        </m:acc>
                      </m:e>
                      <m:sub>
                        <m:r>
                          <m:t>i</m:t>
                        </m:r>
                        <m:r>
                          <m:t>j</m:t>
                        </m:r>
                      </m:sub>
                      <m:sup>
                        <m:r>
                          <m:rPr>
                            <m:sty m:val="p"/>
                          </m:rPr>
                          <m:t>d</m:t>
                        </m:r>
                      </m:sup>
                    </m:sSubSup>
                  </m:e>
                </m:d>
                <m:r>
                  <m:rPr>
                    <m:sty m:val="p"/>
                  </m:rPr>
                  <m:t>exp</m:t>
                </m:r>
                <m:d>
                  <m:dPr>
                    <m:begChr m:val="("/>
                    <m:sepChr m:val=""/>
                    <m:endChr m:val=")"/>
                    <m:grow/>
                  </m:dPr>
                  <m:e>
                    <m:r>
                      <m:rPr>
                        <m:sty m:val="p"/>
                      </m:rPr>
                      <m:t>j</m:t>
                    </m:r>
                    <m:r>
                      <m:t>2</m:t>
                    </m:r>
                    <m:r>
                      <m:t>π</m:t>
                    </m:r>
                    <m:sSub>
                      <m:e>
                        <m:acc>
                          <m:accPr>
                            <m:chr m:val="̂"/>
                          </m:accPr>
                          <m:e>
                            <m:r>
                              <m:t>ε</m:t>
                            </m:r>
                          </m:e>
                        </m:acc>
                      </m:e>
                      <m:sub>
                        <m:r>
                          <m:t>i</m:t>
                        </m:r>
                        <m:r>
                          <m:t>j</m:t>
                        </m:r>
                      </m:sub>
                    </m:sSub>
                    <m:r>
                      <m:t>t</m:t>
                    </m:r>
                  </m:e>
                </m:d>
              </m:oMath>
            </m:oMathPara>
          </w:p>
        </w:tc>
        <w:tc>
          <w:tcPr>
            <w:tcW w:w="900" w:type="dxa"/>
            <w:vAlign w:val="center"/>
          </w:tcPr>
          <w:p>
            <w:pPr>
              <w:spacing w:before="0" w:after="0"/>
              <w:jc w:val="right"/>
            </w:pPr>
            <w:r>
              <w:t xml:space="preserve">(17)</w:t>
            </w:r>
          </w:p>
        </w:tc>
      </w:tr>
    </w:tbl>
    <w:p>
      <w:pPr>
        <w:pStyle w:val="FirstParagraph"/>
        <w:ind w:firstLineChars="0" w:firstLine="0"/>
      </w:pPr>
      <w:r>
        <w:t xml:space="preserve">式中，</w:t>
      </w:r>
      <m:oMath>
        <m:sSub>
          <m:e>
            <m:acc>
              <m:accPr>
                <m:chr m:val="̂"/>
              </m:accPr>
              <m:e>
                <m:r>
                  <m:t>x</m:t>
                </m:r>
              </m:e>
            </m:acc>
          </m:e>
          <m:sub>
            <m:r>
              <m:t>i</m:t>
            </m:r>
          </m:sub>
        </m:sSub>
      </m:oMath>
      <w:r>
        <w:t xml:space="preserve"> </w:t>
      </w:r>
      <w:r>
        <w:t xml:space="preserve">为重构波形，</w:t>
      </w:r>
      <m:oMath>
        <m:sSub>
          <m:e>
            <m:acc>
              <m:accPr>
                <m:chr m:val="̂"/>
              </m:accPr>
              <m:e>
                <m:r>
                  <m:t>g</m:t>
                </m:r>
              </m:e>
            </m:acc>
          </m:e>
          <m:sub>
            <m:r>
              <m:t>i</m:t>
            </m:r>
            <m:r>
              <m:t>j</m:t>
            </m:r>
          </m:sub>
        </m:sSub>
        <m:d>
          <m:dPr>
            <m:begChr m:val="("/>
            <m:sepChr m:val=""/>
            <m:endChr m:val=")"/>
            <m:grow/>
          </m:dPr>
          <m:e>
            <m:r>
              <m:t>t</m:t>
            </m:r>
          </m:e>
        </m:d>
      </m:oMath>
      <w:r>
        <w:t xml:space="preserve"> </w:t>
      </w:r>
      <w:r>
        <w:t xml:space="preserve">为由逐符号信道估计平滑得到的复增益，</w:t>
      </w:r>
      <m:oMath>
        <m:sSub>
          <m:e>
            <m:acc>
              <m:accPr>
                <m:chr m:val="̂"/>
              </m:accPr>
              <m:e>
                <m:r>
                  <m:t>ε</m:t>
                </m:r>
              </m:e>
            </m:acc>
          </m:e>
          <m:sub>
            <m:r>
              <m:t>i</m:t>
            </m:r>
            <m:r>
              <m:t>j</m:t>
            </m:r>
          </m:sub>
        </m:sSub>
      </m:oMath>
      <w:r>
        <w:t xml:space="preserve"> </w:t>
      </w:r>
      <w:r>
        <w:t xml:space="preserve">为频偏估计。</w:t>
      </w:r>
      <w:r>
        <w:rPr>
          <w:b/>
          <w:bCs/>
        </w:rPr>
        <w:t xml:space="preserve">必须在提纯参考中保留直达波的复增益（相位）</w:t>
      </w:r>
      <m:oMath>
        <m:sSub>
          <m:e>
            <m:acc>
              <m:accPr>
                <m:chr m:val="̂"/>
              </m:accPr>
              <m:e>
                <m:r>
                  <m:t>g</m:t>
                </m:r>
              </m:e>
            </m:acc>
          </m:e>
          <m:sub>
            <m:r>
              <m:t>i</m:t>
            </m:r>
            <m:r>
              <m:t>j</m:t>
            </m:r>
          </m:sub>
        </m:sSub>
        <m:d>
          <m:dPr>
            <m:begChr m:val="("/>
            <m:sepChr m:val=""/>
            <m:endChr m:val=")"/>
            <m:grow/>
          </m:dPr>
          <m:e>
            <m:r>
              <m:t>t</m:t>
            </m:r>
          </m:e>
        </m:d>
      </m:oMath>
      <w:r>
        <w:t xml:space="preserve">，否则式(8)中的发射相位与本振相位不再抵消，相参融合将失效（7.4节）。</w:t>
      </w:r>
    </w:p>
    <w:bookmarkEnd w:id="50"/>
    <w:bookmarkStart w:id="51" w:name="直达波与多径杂波对消"/>
    <w:p>
      <w:pPr>
        <w:pStyle w:val="Heading2"/>
      </w:pPr>
      <w:r>
        <w:t xml:space="preserve">5.4 直达波与多径杂波对消</w:t>
      </w:r>
    </w:p>
    <w:p>
      <w:pPr>
        <w:pStyle w:val="FirstParagraph"/>
      </w:pPr>
      <w:r>
        <w:t xml:space="preserve">采用扩展对消算法（ECA）</w:t>
      </w:r>
      <w:r>
        <w:rPr>
          <w:vertAlign w:val="superscript"/>
        </w:rPr>
        <w:t xml:space="preserve">[14]</w:t>
      </w:r>
      <w:r>
        <w:t xml:space="preserve">将监视信号投影到参考信号各时延副本所张成子空间的正交补空间：</w:t>
      </w:r>
    </w:p>
    <w:tbl>
      <w:tblPr>
        <w:tblW w:w="9070" w:type="dxa"/>
        <w:jc w:val="center"/>
        <w:tblBorders>
          <w:top w:val="nil"/>
          <w:left w:val="nil"/>
          <w:bottom w:val="nil"/>
          <w:right w:val="nil"/>
          <w:insideH w:val="nil"/>
          <w:insideV w:val="nil"/>
        </w:tblBorders>
        <w:tblLayout w:type="fixed"/>
        <w:tblCellMar>
          <w:left w:w="0" w:type="dxa"/>
          <w:right w:w="0" w:type="dxa"/>
        </w:tblCellMar>
        <w:tblLook w:val="0000" w:firstRow="0" w:lastRow="0" w:firstColumn="0" w:lastColumn="0" w:noHBand="1" w:noVBand="1"/>
      </w:tblPr>
      <w:tblGrid>
        <w:gridCol w:w="900"/>
        <w:gridCol w:w="7270"/>
        <w:gridCol w:w="900"/>
      </w:tblGrid>
      <w:tr>
        <w:trPr>
          <w:cantSplit/>
        </w:trPr>
        <w:tc>
          <w:tcPr>
            <w:tcW w:w="900" w:type="dxa"/>
            <w:vAlign w:val="center"/>
          </w:tcPr>
          <w:p>
            <w:pPr>
              <w:spacing w:before="0" w:after="0"/>
            </w:pPr>
          </w:p>
        </w:tc>
        <w:tc>
          <w:tcPr>
            <w:tcW w:w="7270" w:type="dxa"/>
            <w:vAlign w:val="center"/>
          </w:tcPr>
          <w:p>
            <w:pPr>
              <w:spacing w:before="20" w:after="20" w:line="240" w:lineRule="auto"/>
              <w:jc w:val="center"/>
            </w:pPr>
            <m:oMathPara>
              <m:oMathParaPr>
                <m:jc m:val="center"/>
              </m:oMathParaPr>
              <m:oMath>
                <m:sSubSup>
                  <m:e>
                    <m:r>
                      <m:rPr>
                        <m:sty m:val="b"/>
                      </m:rPr>
                      <m:t>y</m:t>
                    </m:r>
                  </m:e>
                  <m:sub>
                    <m:r>
                      <m:rPr>
                        <m:sty m:val="p"/>
                      </m:rPr>
                      <m:t>⊥</m:t>
                    </m:r>
                  </m:sub>
                  <m:sup>
                    <m:r>
                      <m:rPr>
                        <m:sty m:val="p"/>
                      </m:rPr>
                      <m:t>s</m:t>
                    </m:r>
                  </m:sup>
                </m:sSubSup>
                <m:r>
                  <m:rPr>
                    <m:sty m:val="p"/>
                  </m:rPr>
                  <m:t>=</m:t>
                </m:r>
                <m:d>
                  <m:dPr>
                    <m:begChr m:val="["/>
                    <m:sepChr m:val=""/>
                    <m:endChr m:val="]"/>
                    <m:grow/>
                  </m:dPr>
                  <m:e>
                    <m:r>
                      <m:rPr>
                        <m:sty m:val="b"/>
                      </m:rPr>
                      <m:t>I</m:t>
                    </m:r>
                    <m:r>
                      <m:rPr>
                        <m:sty m:val="p"/>
                      </m:rPr>
                      <m:t>−</m:t>
                    </m:r>
                    <m:r>
                      <m:rPr>
                        <m:sty m:val="b"/>
                      </m:rPr>
                      <m:t>X</m:t>
                    </m:r>
                    <m:sSup>
                      <m:e>
                        <m:d>
                          <m:dPr>
                            <m:begChr m:val="("/>
                            <m:sepChr m:val=""/>
                            <m:endChr m:val=")"/>
                            <m:grow/>
                          </m:dPr>
                          <m:e>
                            <m:sSup>
                              <m:e>
                                <m:r>
                                  <m:rPr>
                                    <m:sty m:val="b"/>
                                  </m:rPr>
                                  <m:t>X</m:t>
                                </m:r>
                              </m:e>
                              <m:sup>
                                <m:r>
                                  <m:rPr>
                                    <m:sty m:val="p"/>
                                  </m:rPr>
                                  <m:t>H</m:t>
                                </m:r>
                              </m:sup>
                            </m:sSup>
                            <m:r>
                              <m:rPr>
                                <m:sty m:val="b"/>
                              </m:rPr>
                              <m:t>X</m:t>
                            </m:r>
                          </m:e>
                        </m:d>
                      </m:e>
                      <m:sup>
                        <m:r>
                          <m:rPr>
                            <m:sty m:val="p"/>
                          </m:rPr>
                          <m:t>−</m:t>
                        </m:r>
                        <m:r>
                          <m:t>1</m:t>
                        </m:r>
                      </m:sup>
                    </m:sSup>
                    <m:sSup>
                      <m:e>
                        <m:r>
                          <m:rPr>
                            <m:sty m:val="b"/>
                          </m:rPr>
                          <m:t>X</m:t>
                        </m:r>
                      </m:e>
                      <m:sup>
                        <m:r>
                          <m:rPr>
                            <m:sty m:val="p"/>
                          </m:rPr>
                          <m:t>H</m:t>
                        </m:r>
                      </m:sup>
                    </m:sSup>
                  </m:e>
                </m:d>
                <m:sSup>
                  <m:e>
                    <m:r>
                      <m:rPr>
                        <m:sty m:val="b"/>
                      </m:rPr>
                      <m:t>y</m:t>
                    </m:r>
                  </m:e>
                  <m:sup>
                    <m:r>
                      <m:rPr>
                        <m:sty m:val="p"/>
                      </m:rPr>
                      <m:t>s</m:t>
                    </m:r>
                  </m:sup>
                </m:sSup>
                <m:r>
                  <m:rPr>
                    <m:sty m:val="p"/>
                  </m:rPr>
                  <m:t>,</m:t>
                </m:r>
                <m:r>
                  <m:t>  </m:t>
                </m:r>
                <m:r>
                  <m:rPr>
                    <m:sty m:val="b"/>
                  </m:rPr>
                  <m:t>X</m:t>
                </m:r>
                <m:r>
                  <m:rPr>
                    <m:sty m:val="p"/>
                  </m:rPr>
                  <m:t>=</m:t>
                </m:r>
                <m:d>
                  <m:dPr>
                    <m:begChr m:val="["/>
                    <m:sepChr m:val=""/>
                    <m:endChr m:val="]"/>
                    <m:grow/>
                  </m:dPr>
                  <m:e>
                    <m:sSub>
                      <m:e>
                        <m:acc>
                          <m:accPr>
                            <m:chr m:val="̂"/>
                          </m:accPr>
                          <m:e>
                            <m:r>
                              <m:rPr>
                                <m:sty m:val="b"/>
                              </m:rPr>
                              <m:t>d</m:t>
                            </m:r>
                          </m:e>
                        </m:acc>
                      </m:e>
                      <m:sub>
                        <m:r>
                          <m:rPr>
                            <m:sty m:val="p"/>
                          </m:rPr>
                          <m:t>−</m:t>
                        </m:r>
                        <m:sSub>
                          <m:e>
                            <m:r>
                              <m:t>K</m:t>
                            </m:r>
                          </m:e>
                          <m:sub>
                            <m:r>
                              <m:t>1</m:t>
                            </m:r>
                          </m:sub>
                        </m:sSub>
                      </m:sub>
                    </m:sSub>
                    <m:r>
                      <m:rPr>
                        <m:sty m:val="p"/>
                      </m:rPr>
                      <m:t>,</m:t>
                    </m:r>
                    <m:r>
                      <m:rPr>
                        <m:sty m:val="p"/>
                      </m:rPr>
                      <m:t>⋯</m:t>
                    </m:r>
                    <m:r>
                      <m:rPr>
                        <m:sty m:val="p"/>
                      </m:rPr>
                      <m:t>,</m:t>
                    </m:r>
                    <m:sSub>
                      <m:e>
                        <m:acc>
                          <m:accPr>
                            <m:chr m:val="̂"/>
                          </m:accPr>
                          <m:e>
                            <m:r>
                              <m:rPr>
                                <m:sty m:val="b"/>
                              </m:rPr>
                              <m:t>d</m:t>
                            </m:r>
                          </m:e>
                        </m:acc>
                      </m:e>
                      <m:sub>
                        <m:r>
                          <m:t>0</m:t>
                        </m:r>
                      </m:sub>
                    </m:sSub>
                    <m:r>
                      <m:rPr>
                        <m:sty m:val="p"/>
                      </m:rPr>
                      <m:t>,</m:t>
                    </m:r>
                    <m:r>
                      <m:rPr>
                        <m:sty m:val="p"/>
                      </m:rPr>
                      <m:t>⋯</m:t>
                    </m:r>
                    <m:r>
                      <m:rPr>
                        <m:sty m:val="p"/>
                      </m:rPr>
                      <m:t>,</m:t>
                    </m:r>
                    <m:sSub>
                      <m:e>
                        <m:acc>
                          <m:accPr>
                            <m:chr m:val="̂"/>
                          </m:accPr>
                          <m:e>
                            <m:r>
                              <m:rPr>
                                <m:sty m:val="b"/>
                              </m:rPr>
                              <m:t>d</m:t>
                            </m:r>
                          </m:e>
                        </m:acc>
                      </m:e>
                      <m:sub>
                        <m:sSub>
                          <m:e>
                            <m:r>
                              <m:t>K</m:t>
                            </m:r>
                          </m:e>
                          <m:sub>
                            <m:r>
                              <m:t>2</m:t>
                            </m:r>
                          </m:sub>
                        </m:sSub>
                      </m:sub>
                    </m:sSub>
                  </m:e>
                </m:d>
              </m:oMath>
            </m:oMathPara>
          </w:p>
        </w:tc>
        <w:tc>
          <w:tcPr>
            <w:tcW w:w="900" w:type="dxa"/>
            <w:vAlign w:val="center"/>
          </w:tcPr>
          <w:p>
            <w:pPr>
              <w:spacing w:before="0" w:after="0"/>
              <w:jc w:val="right"/>
            </w:pPr>
            <w:r>
              <w:t xml:space="preserve">(18)</w:t>
            </w:r>
          </w:p>
        </w:tc>
      </w:tr>
    </w:tbl>
    <w:p>
      <w:pPr>
        <w:pStyle w:val="FirstParagraph"/>
        <w:ind w:firstLineChars="0" w:firstLine="0"/>
      </w:pPr>
      <w:r>
        <w:t xml:space="preserve">式中，</w:t>
      </w:r>
      <m:oMath>
        <m:sSub>
          <m:e>
            <m:acc>
              <m:accPr>
                <m:chr m:val="̂"/>
              </m:accPr>
              <m:e>
                <m:r>
                  <m:rPr>
                    <m:sty m:val="b"/>
                  </m:rPr>
                  <m:t>d</m:t>
                </m:r>
              </m:e>
            </m:acc>
          </m:e>
          <m:sub>
            <m:r>
              <m:t>k</m:t>
            </m:r>
          </m:sub>
        </m:sSub>
      </m:oMath>
      <w:r>
        <w:t xml:space="preserve"> </w:t>
      </w:r>
      <w:r>
        <w:t xml:space="preserve">为提纯参考信号延迟</w:t>
      </w:r>
      <w:r>
        <w:t xml:space="preserve"> </w:t>
      </w:r>
      <m:oMath>
        <m:r>
          <m:t>k</m:t>
        </m:r>
      </m:oMath>
      <w:r>
        <w:t xml:space="preserve"> </w:t>
      </w:r>
      <w:r>
        <w:t xml:space="preserve">个样点的向量。由于多径时延一般不是整数个样点，宜同时采用正、负时延抽头（本例</w:t>
      </w:r>
      <w:r>
        <w:t xml:space="preserve"> </w:t>
      </w:r>
      <m:oMath>
        <m:sSub>
          <m:e>
            <m:r>
              <m:t>K</m:t>
            </m:r>
          </m:e>
          <m:sub>
            <m:r>
              <m:t>1</m:t>
            </m:r>
          </m:sub>
        </m:sSub>
        <m:r>
          <m:rPr>
            <m:sty m:val="p"/>
          </m:rPr>
          <m:t>=</m:t>
        </m:r>
        <m:r>
          <m:t>16</m:t>
        </m:r>
      </m:oMath>
      <w:r>
        <w:t xml:space="preserve">、</w:t>
      </w:r>
      <m:oMath>
        <m:sSub>
          <m:e>
            <m:r>
              <m:t>K</m:t>
            </m:r>
          </m:e>
          <m:sub>
            <m:r>
              <m:t>2</m:t>
            </m:r>
          </m:sub>
        </m:sSub>
        <m:r>
          <m:rPr>
            <m:sty m:val="p"/>
          </m:rPr>
          <m:t>=</m:t>
        </m:r>
        <m:r>
          <m:t>79</m:t>
        </m:r>
      </m:oMath>
      <w:r>
        <w:t xml:space="preserve">）；杂波随时间缓变时采用分批ECA；两源同频时</w:t>
      </w:r>
      <w:r>
        <w:t xml:space="preserve"> </w:t>
      </w:r>
      <m:oMath>
        <m:r>
          <m:rPr>
            <m:sty m:val="b"/>
          </m:rPr>
          <m:t>X</m:t>
        </m:r>
      </m:oMath>
      <w:r>
        <w:t xml:space="preserve"> </w:t>
      </w:r>
      <w:r>
        <w:t xml:space="preserve">应同时包含两源的参考信号副本。</w:t>
      </w:r>
    </w:p>
    <w:bookmarkEnd w:id="51"/>
    <w:bookmarkStart w:id="52" w:name="距离多普勒相参积累"/>
    <w:p>
      <w:pPr>
        <w:pStyle w:val="Heading2"/>
      </w:pPr>
      <w:r>
        <w:t xml:space="preserve">5.5 距离—多普勒相参积累</w:t>
      </w:r>
    </w:p>
    <w:p>
      <w:pPr>
        <w:pStyle w:val="FirstParagraph"/>
      </w:pPr>
      <w:r>
        <w:t xml:space="preserve">采用批处理算法计算互模糊函数：将CPI划分为</w:t>
      </w:r>
      <w:r>
        <w:t xml:space="preserve"> </w:t>
      </w:r>
      <m:oMath>
        <m:sSub>
          <m:e>
            <m:r>
              <m:t>N</m:t>
            </m:r>
          </m:e>
          <m:sub>
            <m:r>
              <m:t>b</m:t>
            </m:r>
          </m:sub>
        </m:sSub>
      </m:oMath>
      <w:r>
        <w:t xml:space="preserve"> </w:t>
      </w:r>
      <w:r>
        <w:t xml:space="preserve">批、每批</w:t>
      </w:r>
      <w:r>
        <w:t xml:space="preserve"> </w:t>
      </w:r>
      <m:oMath>
        <m:sSub>
          <m:e>
            <m:r>
              <m:t>L</m:t>
            </m:r>
          </m:e>
          <m:sub>
            <m:r>
              <m:t>B</m:t>
            </m:r>
          </m:sub>
        </m:sSub>
      </m:oMath>
      <w:r>
        <w:t xml:space="preserve"> </w:t>
      </w:r>
      <w:r>
        <w:t xml:space="preserve">个样点，</w:t>
      </w:r>
    </w:p>
    <w:tbl>
      <w:tblPr>
        <w:tblW w:w="9070" w:type="dxa"/>
        <w:jc w:val="center"/>
        <w:tblBorders>
          <w:top w:val="nil"/>
          <w:left w:val="nil"/>
          <w:bottom w:val="nil"/>
          <w:right w:val="nil"/>
          <w:insideH w:val="nil"/>
          <w:insideV w:val="nil"/>
        </w:tblBorders>
        <w:tblLayout w:type="fixed"/>
        <w:tblCellMar>
          <w:left w:w="0" w:type="dxa"/>
          <w:right w:w="0" w:type="dxa"/>
        </w:tblCellMar>
        <w:tblLook w:val="0000" w:firstRow="0" w:lastRow="0" w:firstColumn="0" w:lastColumn="0" w:noHBand="1" w:noVBand="1"/>
      </w:tblPr>
      <w:tblGrid>
        <w:gridCol w:w="900"/>
        <w:gridCol w:w="7270"/>
        <w:gridCol w:w="900"/>
      </w:tblGrid>
      <w:tr>
        <w:trPr>
          <w:cantSplit/>
        </w:trPr>
        <w:tc>
          <w:tcPr>
            <w:tcW w:w="900" w:type="dxa"/>
            <w:vAlign w:val="center"/>
          </w:tcPr>
          <w:p>
            <w:pPr>
              <w:spacing w:before="0" w:after="0"/>
            </w:pPr>
          </w:p>
        </w:tc>
        <w:tc>
          <w:tcPr>
            <w:tcW w:w="7270" w:type="dxa"/>
            <w:vAlign w:val="center"/>
          </w:tcPr>
          <w:p>
            <w:pPr>
              <w:spacing w:before="20" w:after="20" w:line="240" w:lineRule="auto"/>
              <w:jc w:val="center"/>
            </w:pPr>
            <m:oMathPara>
              <m:oMathParaPr>
                <m:jc m:val="center"/>
              </m:oMathParaPr>
              <m:oMath>
                <m:sSub>
                  <m:e>
                    <m:r>
                      <m:t>χ</m:t>
                    </m:r>
                  </m:e>
                  <m:sub>
                    <m:r>
                      <m:t>l</m:t>
                    </m:r>
                  </m:sub>
                </m:sSub>
                <m:d>
                  <m:dPr>
                    <m:begChr m:val="("/>
                    <m:sepChr m:val=""/>
                    <m:endChr m:val=")"/>
                    <m:grow/>
                  </m:dPr>
                  <m:e>
                    <m:r>
                      <m:t>m</m:t>
                    </m:r>
                    <m:r>
                      <m:rPr>
                        <m:sty m:val="p"/>
                      </m:rPr>
                      <m:t>,</m:t>
                    </m:r>
                    <m:r>
                      <m:t>f</m:t>
                    </m:r>
                  </m:e>
                </m:d>
                <m:r>
                  <m:rPr>
                    <m:sty m:val="p"/>
                  </m:rPr>
                  <m:t>=</m:t>
                </m:r>
                <m:nary>
                  <m:naryPr>
                    <m:chr m:val="∑"/>
                    <m:limLoc m:val="undOvr"/>
                    <m:subHide m:val="off"/>
                    <m:supHide m:val="off"/>
                  </m:naryPr>
                  <m:sub>
                    <m:r>
                      <m:t>b</m:t>
                    </m:r>
                    <m:r>
                      <m:rPr>
                        <m:sty m:val="p"/>
                      </m:rPr>
                      <m:t>=</m:t>
                    </m:r>
                    <m:r>
                      <m:t>0</m:t>
                    </m:r>
                  </m:sub>
                  <m:sup>
                    <m:sSub>
                      <m:e>
                        <m:r>
                          <m:t>N</m:t>
                        </m:r>
                      </m:e>
                      <m:sub>
                        <m:r>
                          <m:t>b</m:t>
                        </m:r>
                      </m:sub>
                    </m:sSub>
                    <m:r>
                      <m:rPr>
                        <m:sty m:val="p"/>
                      </m:rPr>
                      <m:t>−</m:t>
                    </m:r>
                    <m:r>
                      <m:t>1</m:t>
                    </m:r>
                  </m:sup>
                  <m:e>
                    <m:sSup>
                      <m:e>
                        <m:r>
                          <m:t>e</m:t>
                        </m:r>
                      </m:e>
                      <m:sup>
                        <m:r>
                          <m:rPr>
                            <m:sty m:val="p"/>
                          </m:rPr>
                          <m:t>−</m:t>
                        </m:r>
                        <m:r>
                          <m:rPr>
                            <m:sty m:val="p"/>
                          </m:rPr>
                          <m:t>j</m:t>
                        </m:r>
                        <m:r>
                          <m:t>2</m:t>
                        </m:r>
                        <m:r>
                          <m:t>π</m:t>
                        </m:r>
                        <m:r>
                          <m:t>f</m:t>
                        </m:r>
                        <m:sSub>
                          <m:e>
                            <m:r>
                              <m:t>t</m:t>
                            </m:r>
                          </m:e>
                          <m:sub>
                            <m:r>
                              <m:t>b</m:t>
                            </m:r>
                          </m:sub>
                        </m:sSub>
                      </m:sup>
                    </m:sSup>
                  </m:e>
                </m:nary>
                <m:nary>
                  <m:naryPr>
                    <m:chr m:val="∑"/>
                    <m:limLoc m:val="undOvr"/>
                    <m:subHide m:val="off"/>
                    <m:supHide m:val="off"/>
                  </m:naryPr>
                  <m:sub>
                    <m:r>
                      <m:t>n</m:t>
                    </m:r>
                    <m:r>
                      <m:rPr>
                        <m:sty m:val="p"/>
                      </m:rPr>
                      <m:t>=</m:t>
                    </m:r>
                    <m:r>
                      <m:t>0</m:t>
                    </m:r>
                  </m:sub>
                  <m:sup>
                    <m:sSub>
                      <m:e>
                        <m:r>
                          <m:t>L</m:t>
                        </m:r>
                      </m:e>
                      <m:sub>
                        <m:r>
                          <m:t>B</m:t>
                        </m:r>
                      </m:sub>
                    </m:sSub>
                    <m:r>
                      <m:rPr>
                        <m:sty m:val="p"/>
                      </m:rPr>
                      <m:t>−</m:t>
                    </m:r>
                    <m:r>
                      <m:t>1</m:t>
                    </m:r>
                  </m:sup>
                  <m:e>
                    <m:sSubSup>
                      <m:e>
                        <m:r>
                          <m:t>y</m:t>
                        </m:r>
                      </m:e>
                      <m:sub>
                        <m:r>
                          <m:rPr>
                            <m:sty m:val="p"/>
                          </m:rPr>
                          <m:t>⊥</m:t>
                        </m:r>
                      </m:sub>
                      <m:sup>
                        <m:r>
                          <m:rPr>
                            <m:sty m:val="p"/>
                          </m:rPr>
                          <m:t>s</m:t>
                        </m:r>
                      </m:sup>
                    </m:sSubSup>
                  </m:e>
                </m:nary>
                <m:d>
                  <m:dPr>
                    <m:begChr m:val="("/>
                    <m:sepChr m:val=""/>
                    <m:endChr m:val=")"/>
                    <m:grow/>
                  </m:dPr>
                  <m:e>
                    <m:r>
                      <m:t>b</m:t>
                    </m:r>
                    <m:sSub>
                      <m:e>
                        <m:r>
                          <m:t>L</m:t>
                        </m:r>
                      </m:e>
                      <m:sub>
                        <m:r>
                          <m:t>B</m:t>
                        </m:r>
                      </m:sub>
                    </m:sSub>
                    <m:r>
                      <m:rPr>
                        <m:sty m:val="p"/>
                      </m:rPr>
                      <m:t>+</m:t>
                    </m:r>
                    <m:r>
                      <m:t>n</m:t>
                    </m:r>
                  </m:e>
                </m:d>
                <m:sSup>
                  <m:e>
                    <m:acc>
                      <m:accPr>
                        <m:chr m:val="̂"/>
                      </m:accPr>
                      <m:e>
                        <m:r>
                          <m:t>d</m:t>
                        </m:r>
                      </m:e>
                    </m:acc>
                  </m:e>
                  <m:sup>
                    <m:r>
                      <m:rPr>
                        <m:sty m:val="p"/>
                      </m:rPr>
                      <m:t>*</m:t>
                    </m:r>
                  </m:sup>
                </m:sSup>
                <m:d>
                  <m:dPr>
                    <m:begChr m:val="("/>
                    <m:sepChr m:val=""/>
                    <m:endChr m:val=")"/>
                    <m:grow/>
                  </m:dPr>
                  <m:e>
                    <m:r>
                      <m:t>b</m:t>
                    </m:r>
                    <m:sSub>
                      <m:e>
                        <m:r>
                          <m:t>L</m:t>
                        </m:r>
                      </m:e>
                      <m:sub>
                        <m:r>
                          <m:t>B</m:t>
                        </m:r>
                      </m:sub>
                    </m:sSub>
                    <m:r>
                      <m:rPr>
                        <m:sty m:val="p"/>
                      </m:rPr>
                      <m:t>+</m:t>
                    </m:r>
                    <m:r>
                      <m:t>n</m:t>
                    </m:r>
                    <m:r>
                      <m:rPr>
                        <m:sty m:val="p"/>
                      </m:rPr>
                      <m:t>−</m:t>
                    </m:r>
                    <m:r>
                      <m:t>m</m:t>
                    </m:r>
                  </m:e>
                </m:d>
              </m:oMath>
            </m:oMathPara>
          </w:p>
        </w:tc>
        <w:tc>
          <w:tcPr>
            <w:tcW w:w="900" w:type="dxa"/>
            <w:vAlign w:val="center"/>
          </w:tcPr>
          <w:p>
            <w:pPr>
              <w:spacing w:before="0" w:after="0"/>
              <w:jc w:val="right"/>
            </w:pPr>
            <w:r>
              <w:t xml:space="preserve">(19)</w:t>
            </w:r>
          </w:p>
        </w:tc>
      </w:tr>
    </w:tbl>
    <w:p>
      <w:pPr>
        <w:pStyle w:val="FirstParagraph"/>
        <w:ind w:firstLineChars="0" w:firstLine="0"/>
      </w:pPr>
      <w:r>
        <w:t xml:space="preserve">式中，</w:t>
      </w:r>
      <m:oMath>
        <m:r>
          <m:t>m</m:t>
        </m:r>
      </m:oMath>
      <w:r>
        <w:t xml:space="preserve"> </w:t>
      </w:r>
      <w:r>
        <w:t xml:space="preserve">为时延样点，</w:t>
      </w:r>
      <m:oMath>
        <m:sSub>
          <m:e>
            <m:r>
              <m:t>t</m:t>
            </m:r>
          </m:e>
          <m:sub>
            <m:r>
              <m:t>b</m:t>
            </m:r>
          </m:sub>
        </m:sSub>
      </m:oMath>
      <w:r>
        <w:t xml:space="preserve"> </w:t>
      </w:r>
      <w:r>
        <w:t xml:space="preserve">为第</w:t>
      </w:r>
      <w:r>
        <w:t xml:space="preserve"> </w:t>
      </w:r>
      <m:oMath>
        <m:r>
          <m:t>b</m:t>
        </m:r>
      </m:oMath>
      <w:r>
        <w:t xml:space="preserve"> </w:t>
      </w:r>
      <w:r>
        <w:t xml:space="preserve">批中心相对</w:t>
      </w:r>
      <w:r>
        <w:t xml:space="preserve"> </w:t>
      </w:r>
      <m:oMath>
        <m:sSub>
          <m:e>
            <m:r>
              <m:t>t</m:t>
            </m:r>
          </m:e>
          <m:sub>
            <m:r>
              <m:t>c</m:t>
            </m:r>
          </m:sub>
        </m:sSub>
      </m:oMath>
      <w:r>
        <w:t xml:space="preserve"> </w:t>
      </w:r>
      <w:r>
        <w:t xml:space="preserve">的时间。以CPI中心为相位参考，可使多普勒失配只引起幅度损失而不引起相位偏差。距离维按带限内插细化（本例8倍），以便融合中心在任意分数时延处读取复数值。对于高速目标，CPI内距离走动超过一个距离单元时，可将CPI划分为子CPI，由融合中心沿目标轨迹完成长时间相参积累（6.5节）。</w:t>
      </w:r>
    </w:p>
    <w:bookmarkEnd w:id="52"/>
    <w:bookmarkStart w:id="53" w:name="通道相位标定与噪声归一化"/>
    <w:p>
      <w:pPr>
        <w:pStyle w:val="Heading2"/>
      </w:pPr>
      <w:r>
        <w:t xml:space="preserve">5.6 通道相位标定与噪声归一化</w:t>
      </w:r>
    </w:p>
    <w:p>
      <w:pPr>
        <w:pStyle w:val="FirstParagraph"/>
      </w:pPr>
      <w:r>
        <w:t xml:space="preserve">通道相位</w:t>
      </w:r>
      <w:r>
        <w:t xml:space="preserve"> </w:t>
      </w:r>
      <m:oMath>
        <m:sSub>
          <m:e>
            <m:r>
              <m:t>κ</m:t>
            </m:r>
          </m:e>
          <m:sub>
            <m:r>
              <m:t>l</m:t>
            </m:r>
          </m:sub>
        </m:sSub>
      </m:oMath>
      <w:r>
        <w:t xml:space="preserve"> </w:t>
      </w:r>
      <w:r>
        <w:t xml:space="preserve">为监视通道（含监视天线在目标方向的相位）与参考通道（含参考天线在信号源方向的相位）的相位差。其标定分三部分：①周期性注入校准信号，测量两路射频通道的相位差；②利用ECA之前监视通道中直达波泄漏的零时延相关峰，连续监测两路通道相位差的漂移；③由暗室测量的天线方向图相位修正目标方向与信号源方向的差异，剩余偏差由6.6节的自校准消除。同时，由距离—多普勒图的噪声底估计</w:t>
      </w:r>
      <w:r>
        <w:t xml:space="preserve"> </w:t>
      </w:r>
      <m:oMath>
        <m:sSubSup>
          <m:e>
            <m:r>
              <m:t>σ</m:t>
            </m:r>
          </m:e>
          <m:sub>
            <m:r>
              <m:t>l</m:t>
            </m:r>
          </m:sub>
          <m:sup>
            <m:r>
              <m:t>2</m:t>
            </m:r>
          </m:sup>
        </m:sSubSup>
      </m:oMath>
      <w:r>
        <w:t xml:space="preserve">（采用中值估计以抑制目标与残余杂波的影响），得到归一化输出</w:t>
      </w:r>
      <w:r>
        <w:t xml:space="preserve"> </w:t>
      </w:r>
      <m:oMath>
        <m:sSub>
          <m:e>
            <m:acc>
              <m:accPr>
                <m:chr m:val="̃"/>
              </m:accPr>
              <m:e>
                <m:r>
                  <m:t>z</m:t>
                </m:r>
              </m:e>
            </m:acc>
          </m:e>
          <m:sub>
            <m:r>
              <m:t>l</m:t>
            </m:r>
          </m:sub>
        </m:sSub>
        <m:r>
          <m:rPr>
            <m:sty m:val="p"/>
          </m:rPr>
          <m:t>=</m:t>
        </m:r>
        <m:sSub>
          <m:e>
            <m:r>
              <m:t>z</m:t>
            </m:r>
          </m:e>
          <m:sub>
            <m:r>
              <m:t>l</m:t>
            </m:r>
          </m:sub>
        </m:sSub>
        <m:r>
          <m:rPr>
            <m:sty m:val="p"/>
          </m:rPr>
          <m:t>/</m:t>
        </m:r>
        <m:sSub>
          <m:e>
            <m:r>
              <m:t>σ</m:t>
            </m:r>
          </m:e>
          <m:sub>
            <m:r>
              <m:t>l</m:t>
            </m:r>
          </m:sub>
        </m:sSub>
      </m:oMath>
      <w:r>
        <w:t xml:space="preserve">。</w:t>
      </w:r>
    </w:p>
    <w:bookmarkEnd w:id="53"/>
    <w:bookmarkStart w:id="54" w:name="上报融合中心的数据"/>
    <w:p>
      <w:pPr>
        <w:pStyle w:val="Heading2"/>
      </w:pPr>
      <w:r>
        <w:t xml:space="preserve">5.7 上报融合中心的数据</w:t>
      </w:r>
    </w:p>
    <w:p>
      <w:pPr>
        <w:pStyle w:val="FirstParagraph"/>
      </w:pPr>
      <w:r>
        <w:t xml:space="preserve">每个接收站每个CPI向融合中心上报2条链路的数据：监视区对应时延—多普勒窗口内的复数距离—多普勒图、噪声功率</w:t>
      </w:r>
      <w:r>
        <w:t xml:space="preserve"> </w:t>
      </w:r>
      <m:oMath>
        <m:sSubSup>
          <m:e>
            <m:r>
              <m:t>σ</m:t>
            </m:r>
          </m:e>
          <m:sub>
            <m:r>
              <m:t>l</m:t>
            </m:r>
          </m:sub>
          <m:sup>
            <m:r>
              <m:t>2</m:t>
            </m:r>
          </m:sup>
        </m:sSubSup>
      </m:oMath>
      <w:r>
        <w:t xml:space="preserve">、通道相位</w:t>
      </w:r>
      <w:r>
        <w:t xml:space="preserve"> </w:t>
      </w:r>
      <m:oMath>
        <m:sSub>
          <m:e>
            <m:acc>
              <m:accPr>
                <m:chr m:val="̂"/>
              </m:accPr>
              <m:e>
                <m:r>
                  <m:t>κ</m:t>
                </m:r>
              </m:e>
            </m:acc>
          </m:e>
          <m:sub>
            <m:r>
              <m:t>l</m:t>
            </m:r>
          </m:sub>
        </m:sSub>
      </m:oMath>
      <w:r>
        <w:t xml:space="preserve">、CPI中心时刻</w:t>
      </w:r>
      <w:r>
        <w:t xml:space="preserve"> </w:t>
      </w:r>
      <m:oMath>
        <m:sSub>
          <m:e>
            <m:r>
              <m:t>t</m:t>
            </m:r>
          </m:e>
          <m:sub>
            <m:r>
              <m:t>c</m:t>
            </m:r>
          </m:sub>
        </m:sSub>
      </m:oMath>
      <w:r>
        <w:t xml:space="preserve">、信道本振频率</w:t>
      </w:r>
      <w:r>
        <w:t xml:space="preserve"> </w:t>
      </w:r>
      <m:oMath>
        <m:sSub>
          <m:e>
            <m:r>
              <m:t>f</m:t>
            </m:r>
          </m:e>
          <m:sub>
            <m:r>
              <m:rPr>
                <m:sty m:val="p"/>
              </m:rPr>
              <m:t>L</m:t>
            </m:r>
            <m:r>
              <m:rPr>
                <m:sty m:val="p"/>
              </m:rPr>
              <m:t>,</m:t>
            </m:r>
            <m:r>
              <m:t>i</m:t>
            </m:r>
          </m:sub>
        </m:sSub>
      </m:oMath>
      <w:r>
        <w:t xml:space="preserve">、站址坐标及直达波信噪比、对消剩余等质量指标。以400个距离单元、200个多普勒单元、每CPI 0.25 s、单精度复数计，单链路数据率约为20 Mbit/s；采用16位量化或只上报预检测门限以上的单元可进一步压缩，可通过光纤或4G/5G专网传输。</w:t>
      </w:r>
    </w:p>
    <w:bookmarkEnd w:id="54"/>
    <w:bookmarkEnd w:id="55"/>
    <w:bookmarkStart w:id="66" w:name="链路相参融合检测算法"/>
    <w:p>
      <w:pPr>
        <w:pStyle w:val="Heading1"/>
      </w:pPr>
      <w:r>
        <w:t xml:space="preserve">6 10链路相参融合检测算法</w:t>
      </w:r>
    </w:p>
    <w:bookmarkStart w:id="56" w:name="检测模型"/>
    <w:p>
      <w:pPr>
        <w:pStyle w:val="Heading2"/>
      </w:pPr>
      <w:r>
        <w:t xml:space="preserve">6.1 检测模型</w:t>
      </w:r>
    </w:p>
    <w:p>
      <w:pPr>
        <w:pStyle w:val="FirstParagraph"/>
      </w:pPr>
      <w:r>
        <w:t xml:space="preserve">在目标状态假设</w:t>
      </w:r>
      <w:r>
        <w:t xml:space="preserve"> </w:t>
      </w:r>
      <m:oMath>
        <m:r>
          <m:rPr>
            <m:sty m:val="b"/>
          </m:rPr>
          <m:t>θ</m:t>
        </m:r>
      </m:oMath>
      <w:r>
        <w:t xml:space="preserve"> </w:t>
      </w:r>
      <w:r>
        <w:t xml:space="preserve">下，由各链路距离—多普勒图读取</w:t>
      </w:r>
      <w:r>
        <w:t xml:space="preserve"> </w:t>
      </w:r>
      <m:oMath>
        <m:sSub>
          <m:e>
            <m:acc>
              <m:accPr>
                <m:chr m:val="̃"/>
              </m:accPr>
              <m:e>
                <m:r>
                  <m:t>z</m:t>
                </m:r>
              </m:e>
            </m:acc>
          </m:e>
          <m:sub>
            <m:r>
              <m:t>l</m:t>
            </m:r>
          </m:sub>
        </m:sSub>
        <m:d>
          <m:dPr>
            <m:begChr m:val="("/>
            <m:sepChr m:val=""/>
            <m:endChr m:val=")"/>
            <m:grow/>
          </m:dPr>
          <m:e>
            <m:r>
              <m:rPr>
                <m:sty m:val="b"/>
              </m:rPr>
              <m:t>θ</m:t>
            </m:r>
          </m:e>
        </m:d>
        <m:r>
          <m:rPr>
            <m:sty m:val="p"/>
          </m:rPr>
          <m:t>=</m:t>
        </m:r>
        <m:sSub>
          <m:e>
            <m:r>
              <m:t>χ</m:t>
            </m:r>
          </m:e>
          <m:sub>
            <m:r>
              <m:t>l</m:t>
            </m:r>
          </m:sub>
        </m:sSub>
        <m:d>
          <m:dPr>
            <m:begChr m:val="("/>
            <m:sepChr m:val=""/>
            <m:endChr m:val=")"/>
            <m:grow/>
          </m:dPr>
          <m:e>
            <m:sSub>
              <m:e>
                <m:r>
                  <m:t>τ</m:t>
                </m:r>
              </m:e>
              <m:sub>
                <m:r>
                  <m:t>l</m:t>
                </m:r>
              </m:sub>
            </m:sSub>
            <m:d>
              <m:dPr>
                <m:begChr m:val="("/>
                <m:sepChr m:val=""/>
                <m:endChr m:val=")"/>
                <m:grow/>
              </m:dPr>
              <m:e>
                <m:r>
                  <m:rPr>
                    <m:sty m:val="b"/>
                  </m:rPr>
                  <m:t>θ</m:t>
                </m:r>
              </m:e>
            </m:d>
            <m:r>
              <m:rPr>
                <m:sty m:val="p"/>
              </m:rPr>
              <m:t>,</m:t>
            </m:r>
            <m:sSub>
              <m:e>
                <m:r>
                  <m:t>f</m:t>
                </m:r>
              </m:e>
              <m:sub>
                <m:r>
                  <m:t>l</m:t>
                </m:r>
              </m:sub>
            </m:sSub>
            <m:d>
              <m:dPr>
                <m:begChr m:val="("/>
                <m:sepChr m:val=""/>
                <m:endChr m:val=")"/>
                <m:grow/>
              </m:dPr>
              <m:e>
                <m:r>
                  <m:rPr>
                    <m:sty m:val="b"/>
                  </m:rPr>
                  <m:t>θ</m:t>
                </m:r>
              </m:e>
            </m:d>
          </m:e>
        </m:d>
        <m:r>
          <m:rPr>
            <m:sty m:val="p"/>
          </m:rPr>
          <m:t>/</m:t>
        </m:r>
        <m:sSub>
          <m:e>
            <m:r>
              <m:t>σ</m:t>
            </m:r>
          </m:e>
          <m:sub>
            <m:r>
              <m:t>l</m:t>
            </m:r>
          </m:sub>
        </m:sSub>
      </m:oMath>
      <w:r>
        <w:t xml:space="preserve">，并计算几何与通道相位补偿量</w:t>
      </w:r>
    </w:p>
    <w:tbl>
      <w:tblPr>
        <w:tblW w:w="9070" w:type="dxa"/>
        <w:jc w:val="center"/>
        <w:tblBorders>
          <w:top w:val="nil"/>
          <w:left w:val="nil"/>
          <w:bottom w:val="nil"/>
          <w:right w:val="nil"/>
          <w:insideH w:val="nil"/>
          <w:insideV w:val="nil"/>
        </w:tblBorders>
        <w:tblLayout w:type="fixed"/>
        <w:tblCellMar>
          <w:left w:w="0" w:type="dxa"/>
          <w:right w:w="0" w:type="dxa"/>
        </w:tblCellMar>
        <w:tblLook w:val="0000" w:firstRow="0" w:lastRow="0" w:firstColumn="0" w:lastColumn="0" w:noHBand="1" w:noVBand="1"/>
      </w:tblPr>
      <w:tblGrid>
        <w:gridCol w:w="900"/>
        <w:gridCol w:w="7270"/>
        <w:gridCol w:w="900"/>
      </w:tblGrid>
      <w:tr>
        <w:trPr>
          <w:cantSplit/>
        </w:trPr>
        <w:tc>
          <w:tcPr>
            <w:tcW w:w="900" w:type="dxa"/>
            <w:vAlign w:val="center"/>
          </w:tcPr>
          <w:p>
            <w:pPr>
              <w:spacing w:before="0" w:after="0"/>
            </w:pPr>
          </w:p>
        </w:tc>
        <w:tc>
          <w:tcPr>
            <w:tcW w:w="7270" w:type="dxa"/>
            <w:vAlign w:val="center"/>
          </w:tcPr>
          <w:p>
            <w:pPr>
              <w:spacing w:before="20" w:after="20" w:line="240" w:lineRule="auto"/>
              <w:jc w:val="center"/>
            </w:pPr>
            <m:oMathPara>
              <m:oMathParaPr>
                <m:jc m:val="center"/>
              </m:oMathParaPr>
              <m:oMath>
                <m:sSub>
                  <m:e>
                    <m:acc>
                      <m:accPr>
                        <m:chr m:val="̂"/>
                      </m:accPr>
                      <m:e>
                        <m:r>
                          <m:t>Φ</m:t>
                        </m:r>
                      </m:e>
                    </m:acc>
                  </m:e>
                  <m:sub>
                    <m:r>
                      <m:t>l</m:t>
                    </m:r>
                  </m:sub>
                </m:sSub>
                <m:d>
                  <m:dPr>
                    <m:begChr m:val="("/>
                    <m:sepChr m:val=""/>
                    <m:endChr m:val=")"/>
                    <m:grow/>
                  </m:dPr>
                  <m:e>
                    <m:r>
                      <m:rPr>
                        <m:sty m:val="b"/>
                      </m:rPr>
                      <m:t>θ</m:t>
                    </m:r>
                  </m:e>
                </m:d>
                <m:r>
                  <m:rPr>
                    <m:sty m:val="p"/>
                  </m:rPr>
                  <m:t>=</m:t>
                </m:r>
                <m:f>
                  <m:fPr>
                    <m:type m:val="bar"/>
                  </m:fPr>
                  <m:num>
                    <m:r>
                      <m:t>2</m:t>
                    </m:r>
                    <m:r>
                      <m:t>π</m:t>
                    </m:r>
                    <m:sSub>
                      <m:e>
                        <m:r>
                          <m:t>R</m:t>
                        </m:r>
                      </m:e>
                      <m:sub>
                        <m:r>
                          <m:t>l</m:t>
                        </m:r>
                      </m:sub>
                    </m:sSub>
                    <m:d>
                      <m:dPr>
                        <m:begChr m:val="("/>
                        <m:sepChr m:val=""/>
                        <m:endChr m:val=")"/>
                        <m:grow/>
                      </m:dPr>
                      <m:e>
                        <m:r>
                          <m:rPr>
                            <m:sty m:val="b"/>
                          </m:rPr>
                          <m:t>p</m:t>
                        </m:r>
                      </m:e>
                    </m:d>
                  </m:num>
                  <m:den>
                    <m:sSub>
                      <m:e>
                        <m:r>
                          <m:t>λ</m:t>
                        </m:r>
                      </m:e>
                      <m:sub>
                        <m:r>
                          <m:t>l</m:t>
                        </m:r>
                      </m:sub>
                    </m:sSub>
                  </m:den>
                </m:f>
                <m:r>
                  <m:rPr>
                    <m:sty m:val="p"/>
                  </m:rPr>
                  <m:t>−</m:t>
                </m:r>
                <m:sSub>
                  <m:e>
                    <m:acc>
                      <m:accPr>
                        <m:chr m:val="̂"/>
                      </m:accPr>
                      <m:e>
                        <m:r>
                          <m:t>κ</m:t>
                        </m:r>
                      </m:e>
                    </m:acc>
                  </m:e>
                  <m:sub>
                    <m:r>
                      <m:t>l</m:t>
                    </m:r>
                  </m:sub>
                </m:sSub>
              </m:oMath>
            </m:oMathPara>
          </w:p>
        </w:tc>
        <w:tc>
          <w:tcPr>
            <w:tcW w:w="900" w:type="dxa"/>
            <w:vAlign w:val="center"/>
          </w:tcPr>
          <w:p>
            <w:pPr>
              <w:spacing w:before="0" w:after="0"/>
              <w:jc w:val="right"/>
            </w:pPr>
            <w:r>
              <w:t xml:space="preserve">(20)</w:t>
            </w:r>
          </w:p>
        </w:tc>
      </w:tr>
    </w:tbl>
    <w:p>
      <w:pPr>
        <w:pStyle w:val="FirstParagraph"/>
      </w:pPr>
      <w:r>
        <w:t xml:space="preserve">则二元假设检验问题为</w:t>
      </w:r>
    </w:p>
    <w:tbl>
      <w:tblPr>
        <w:tblW w:w="9070" w:type="dxa"/>
        <w:jc w:val="center"/>
        <w:tblBorders>
          <w:top w:val="nil"/>
          <w:left w:val="nil"/>
          <w:bottom w:val="nil"/>
          <w:right w:val="nil"/>
          <w:insideH w:val="nil"/>
          <w:insideV w:val="nil"/>
        </w:tblBorders>
        <w:tblLayout w:type="fixed"/>
        <w:tblCellMar>
          <w:left w:w="0" w:type="dxa"/>
          <w:right w:w="0" w:type="dxa"/>
        </w:tblCellMar>
        <w:tblLook w:val="0000" w:firstRow="0" w:lastRow="0" w:firstColumn="0" w:lastColumn="0" w:noHBand="1" w:noVBand="1"/>
      </w:tblPr>
      <w:tblGrid>
        <w:gridCol w:w="900"/>
        <w:gridCol w:w="7270"/>
        <w:gridCol w:w="900"/>
      </w:tblGrid>
      <w:tr>
        <w:trPr>
          <w:cantSplit/>
        </w:trPr>
        <w:tc>
          <w:tcPr>
            <w:tcW w:w="900" w:type="dxa"/>
            <w:vAlign w:val="center"/>
          </w:tcPr>
          <w:p>
            <w:pPr>
              <w:spacing w:before="0" w:after="0"/>
            </w:pPr>
          </w:p>
        </w:tc>
        <w:tc>
          <w:tcPr>
            <w:tcW w:w="7270" w:type="dxa"/>
            <w:vAlign w:val="center"/>
          </w:tcPr>
          <w:p>
            <w:pPr>
              <w:spacing w:before="20" w:after="20" w:line="240" w:lineRule="auto"/>
              <w:jc w:val="center"/>
            </w:pPr>
            <m:oMathPara>
              <m:oMathParaPr>
                <m:jc m:val="center"/>
              </m:oMathParaPr>
              <m:oMath>
                <m:sSub>
                  <m:e>
                    <m:r>
                      <m:rPr>
                        <m:scr m:val="script"/>
                        <m:sty m:val="p"/>
                      </m:rPr>
                      <m:t>H</m:t>
                    </m:r>
                  </m:e>
                  <m:sub>
                    <m:r>
                      <m:t>0</m:t>
                    </m:r>
                  </m:sub>
                </m:sSub>
                <m:r>
                  <m:rPr>
                    <m:sty m:val="p"/>
                  </m:rPr>
                  <m:t>:</m:t>
                </m:r>
                <m:r>
                  <m:t> </m:t>
                </m:r>
                <m:sSub>
                  <m:e>
                    <m:acc>
                      <m:accPr>
                        <m:chr m:val="̃"/>
                      </m:accPr>
                      <m:e>
                        <m:r>
                          <m:t>z</m:t>
                        </m:r>
                      </m:e>
                    </m:acc>
                  </m:e>
                  <m:sub>
                    <m:r>
                      <m:t>l</m:t>
                    </m:r>
                  </m:sub>
                </m:sSub>
                <m:r>
                  <m:rPr>
                    <m:sty m:val="p"/>
                  </m:rPr>
                  <m:t>=</m:t>
                </m:r>
                <m:sSub>
                  <m:e>
                    <m:acc>
                      <m:accPr>
                        <m:chr m:val="̃"/>
                      </m:accPr>
                      <m:e>
                        <m:r>
                          <m:t>w</m:t>
                        </m:r>
                      </m:e>
                    </m:acc>
                  </m:e>
                  <m:sub>
                    <m:r>
                      <m:t>l</m:t>
                    </m:r>
                  </m:sub>
                </m:sSub>
                <m:r>
                  <m:rPr>
                    <m:sty m:val="p"/>
                  </m:rPr>
                  <m:t>;</m:t>
                </m:r>
                <m:r>
                  <m:t>  </m:t>
                </m:r>
                <m:sSub>
                  <m:e>
                    <m:r>
                      <m:rPr>
                        <m:scr m:val="script"/>
                        <m:sty m:val="p"/>
                      </m:rPr>
                      <m:t>H</m:t>
                    </m:r>
                  </m:e>
                  <m:sub>
                    <m:r>
                      <m:t>1</m:t>
                    </m:r>
                  </m:sub>
                </m:sSub>
                <m:r>
                  <m:rPr>
                    <m:sty m:val="p"/>
                  </m:rPr>
                  <m:t>:</m:t>
                </m:r>
                <m:r>
                  <m:t> </m:t>
                </m:r>
                <m:sSub>
                  <m:e>
                    <m:acc>
                      <m:accPr>
                        <m:chr m:val="̃"/>
                      </m:accPr>
                      <m:e>
                        <m:r>
                          <m:t>z</m:t>
                        </m:r>
                      </m:e>
                    </m:acc>
                  </m:e>
                  <m:sub>
                    <m:r>
                      <m:t>l</m:t>
                    </m:r>
                  </m:sub>
                </m:sSub>
                <m:r>
                  <m:rPr>
                    <m:sty m:val="p"/>
                  </m:rPr>
                  <m:t>=</m:t>
                </m:r>
                <m:sSub>
                  <m:e>
                    <m:r>
                      <m:t>s</m:t>
                    </m:r>
                  </m:e>
                  <m:sub>
                    <m:r>
                      <m:t>l</m:t>
                    </m:r>
                  </m:sub>
                </m:sSub>
                <m:r>
                  <m:t> </m:t>
                </m:r>
                <m:sSub>
                  <m:e>
                    <m:r>
                      <m:t>α</m:t>
                    </m:r>
                  </m:e>
                  <m:sub>
                    <m:r>
                      <m:t>l</m:t>
                    </m:r>
                  </m:sub>
                </m:sSub>
                <m:r>
                  <m:t> </m:t>
                </m:r>
                <m:sSup>
                  <m:e>
                    <m:r>
                      <m:t>e</m:t>
                    </m:r>
                  </m:e>
                  <m:sup>
                    <m:r>
                      <m:rPr>
                        <m:sty m:val="p"/>
                      </m:rPr>
                      <m:t>−</m:t>
                    </m:r>
                    <m:r>
                      <m:rPr>
                        <m:sty m:val="p"/>
                      </m:rPr>
                      <m:t>j</m:t>
                    </m:r>
                    <m:sSub>
                      <m:e>
                        <m:r>
                          <m:t>Φ</m:t>
                        </m:r>
                      </m:e>
                      <m:sub>
                        <m:r>
                          <m:t>l</m:t>
                        </m:r>
                      </m:sub>
                    </m:sSub>
                    <m:d>
                      <m:dPr>
                        <m:begChr m:val="("/>
                        <m:sepChr m:val=""/>
                        <m:endChr m:val=")"/>
                        <m:grow/>
                      </m:dPr>
                      <m:e>
                        <m:r>
                          <m:rPr>
                            <m:sty m:val="b"/>
                          </m:rPr>
                          <m:t>θ</m:t>
                        </m:r>
                      </m:e>
                    </m:d>
                  </m:sup>
                </m:sSup>
                <m:r>
                  <m:rPr>
                    <m:sty m:val="p"/>
                  </m:rPr>
                  <m:t>+</m:t>
                </m:r>
                <m:sSub>
                  <m:e>
                    <m:acc>
                      <m:accPr>
                        <m:chr m:val="̃"/>
                      </m:accPr>
                      <m:e>
                        <m:r>
                          <m:t>w</m:t>
                        </m:r>
                      </m:e>
                    </m:acc>
                  </m:e>
                  <m:sub>
                    <m:r>
                      <m:t>l</m:t>
                    </m:r>
                  </m:sub>
                </m:sSub>
                <m:r>
                  <m:rPr>
                    <m:sty m:val="p"/>
                  </m:rPr>
                  <m:t>,</m:t>
                </m:r>
                <m:r>
                  <m:t>  </m:t>
                </m:r>
                <m:r>
                  <m:t>l</m:t>
                </m:r>
                <m:r>
                  <m:rPr>
                    <m:sty m:val="p"/>
                  </m:rPr>
                  <m:t>=</m:t>
                </m:r>
                <m:r>
                  <m:t>1</m:t>
                </m:r>
                <m:r>
                  <m:rPr>
                    <m:sty m:val="p"/>
                  </m:rPr>
                  <m:t>,</m:t>
                </m:r>
                <m:r>
                  <m:rPr>
                    <m:sty m:val="p"/>
                  </m:rPr>
                  <m:t>⋯</m:t>
                </m:r>
                <m:r>
                  <m:rPr>
                    <m:sty m:val="p"/>
                  </m:rPr>
                  <m:t>,</m:t>
                </m:r>
                <m:r>
                  <m:t>L</m:t>
                </m:r>
              </m:oMath>
            </m:oMathPara>
          </w:p>
        </w:tc>
        <w:tc>
          <w:tcPr>
            <w:tcW w:w="900" w:type="dxa"/>
            <w:vAlign w:val="center"/>
          </w:tcPr>
          <w:p>
            <w:pPr>
              <w:spacing w:before="0" w:after="0"/>
              <w:jc w:val="right"/>
            </w:pPr>
            <w:r>
              <w:t xml:space="preserve">(21)</w:t>
            </w:r>
          </w:p>
        </w:tc>
      </w:tr>
    </w:tbl>
    <w:p>
      <w:pPr>
        <w:pStyle w:val="FirstParagraph"/>
        <w:ind w:firstLineChars="0" w:firstLine="0"/>
      </w:pPr>
      <w:r>
        <w:t xml:space="preserve">式中，</w:t>
      </w:r>
      <m:oMath>
        <m:sSub>
          <m:e>
            <m:acc>
              <m:accPr>
                <m:chr m:val="̃"/>
              </m:accPr>
              <m:e>
                <m:r>
                  <m:t>w</m:t>
                </m:r>
              </m:e>
            </m:acc>
          </m:e>
          <m:sub>
            <m:r>
              <m:t>l</m:t>
            </m:r>
          </m:sub>
        </m:sSub>
        <m:r>
          <m:rPr>
            <m:sty m:val="p"/>
          </m:rPr>
          <m:t>∼</m:t>
        </m:r>
        <m:r>
          <m:rPr>
            <m:scr m:val="script"/>
            <m:sty m:val="p"/>
          </m:rPr>
          <m:t>C</m:t>
        </m:r>
        <m:r>
          <m:rPr>
            <m:scr m:val="script"/>
            <m:sty m:val="p"/>
          </m:rPr>
          <m:t>N</m:t>
        </m:r>
        <m:d>
          <m:dPr>
            <m:begChr m:val="("/>
            <m:sepChr m:val=""/>
            <m:endChr m:val=")"/>
            <m:grow/>
          </m:dPr>
          <m:e>
            <m:r>
              <m:t>0</m:t>
            </m:r>
            <m:r>
              <m:rPr>
                <m:sty m:val="p"/>
              </m:rPr>
              <m:t>,</m:t>
            </m:r>
            <m:r>
              <m:t>1</m:t>
            </m:r>
          </m:e>
        </m:d>
      </m:oMath>
      <w:r>
        <w:t xml:space="preserve"> </w:t>
      </w:r>
      <w:r>
        <w:t xml:space="preserve">相互独立，</w:t>
      </w:r>
      <m:oMath>
        <m:sSubSup>
          <m:e>
            <m:r>
              <m:t>s</m:t>
            </m:r>
          </m:e>
          <m:sub>
            <m:r>
              <m:t>l</m:t>
            </m:r>
          </m:sub>
          <m:sup>
            <m:r>
              <m:t>2</m:t>
            </m:r>
          </m:sup>
        </m:sSubSup>
      </m:oMath>
      <w:r>
        <w:t xml:space="preserve"> </w:t>
      </w:r>
      <w:r>
        <w:t xml:space="preserve">为链路</w:t>
      </w:r>
      <w:r>
        <w:t xml:space="preserve"> </w:t>
      </w:r>
      <m:oMath>
        <m:r>
          <m:t>l</m:t>
        </m:r>
      </m:oMath>
      <w:r>
        <w:t xml:space="preserve"> </w:t>
      </w:r>
      <w:r>
        <w:t xml:space="preserve">的输出信噪比（</w:t>
      </w:r>
      <m:oMath>
        <m:r>
          <m:rPr>
            <m:sty m:val="p"/>
          </m:rPr>
          <m:t>E</m:t>
        </m:r>
        <m:sSup>
          <m:e>
            <m:d>
              <m:dPr>
                <m:begChr m:val="|"/>
                <m:sepChr m:val=""/>
                <m:endChr m:val="|"/>
                <m:grow/>
              </m:dPr>
              <m:e>
                <m:sSub>
                  <m:e>
                    <m:r>
                      <m:t>α</m:t>
                    </m:r>
                  </m:e>
                  <m:sub>
                    <m:r>
                      <m:t>l</m:t>
                    </m:r>
                  </m:sub>
                </m:sSub>
              </m:e>
            </m:d>
          </m:e>
          <m:sup>
            <m:r>
              <m:t>2</m:t>
            </m:r>
          </m:sup>
        </m:sSup>
        <m:r>
          <m:rPr>
            <m:sty m:val="p"/>
          </m:rPr>
          <m:t>=</m:t>
        </m:r>
        <m:r>
          <m:t>1</m:t>
        </m:r>
      </m:oMath>
      <w:r>
        <w:t xml:space="preserve">），</w:t>
      </w:r>
      <m:oMath>
        <m:r>
          <m:t>L</m:t>
        </m:r>
        <m:r>
          <m:rPr>
            <m:sty m:val="p"/>
          </m:rPr>
          <m:t>=</m:t>
        </m:r>
        <m:r>
          <m:t>10</m:t>
        </m:r>
      </m:oMath>
      <w:r>
        <w:t xml:space="preserve">。不同链路的</w:t>
      </w:r>
      <w:r>
        <w:t xml:space="preserve"> </w:t>
      </w:r>
      <m:oMath>
        <m:sSub>
          <m:e>
            <m:r>
              <m:t>α</m:t>
            </m:r>
          </m:e>
          <m:sub>
            <m:r>
              <m:t>l</m:t>
            </m:r>
          </m:sub>
        </m:sSub>
      </m:oMath>
      <w:r>
        <w:t xml:space="preserve"> </w:t>
      </w:r>
      <w:r>
        <w:t xml:space="preserve">之间的相关结构由式(10)描述。</w:t>
      </w:r>
    </w:p>
    <w:bookmarkEnd w:id="56"/>
    <w:bookmarkStart w:id="60" w:name="广义似然比检测统计量"/>
    <w:p>
      <w:pPr>
        <w:pStyle w:val="Heading2"/>
      </w:pPr>
      <w:r>
        <w:t xml:space="preserve">6.2 广义似然比检测统计量</w:t>
      </w:r>
    </w:p>
    <w:p>
      <w:pPr>
        <w:pStyle w:val="FirstParagraph"/>
      </w:pPr>
      <w:r>
        <w:rPr>
          <w:b/>
          <w:bCs/>
        </w:rPr>
        <w:t xml:space="preserve">（1）10链路全相参融合。</w:t>
      </w:r>
      <w:r>
        <w:t xml:space="preserve">当各链路散射相参（</w:t>
      </w:r>
      <m:oMath>
        <m:sSub>
          <m:e>
            <m:r>
              <m:t>α</m:t>
            </m:r>
          </m:e>
          <m:sub>
            <m:r>
              <m:t>l</m:t>
            </m:r>
          </m:sub>
        </m:sSub>
        <m:r>
          <m:rPr>
            <m:sty m:val="p"/>
          </m:rPr>
          <m:t>=</m:t>
        </m:r>
        <m:r>
          <m:t>α</m:t>
        </m:r>
      </m:oMath>
      <w:r>
        <w:t xml:space="preserve">，空间相参模型</w:t>
      </w:r>
      <w:r>
        <w:rPr>
          <w:vertAlign w:val="superscript"/>
        </w:rPr>
        <w:t xml:space="preserve">[4]</w:t>
      </w:r>
      <w:r>
        <w:t xml:space="preserve">）时，将未知复幅度视为公共参数，其GLRT统计量为</w:t>
      </w:r>
    </w:p>
    <w:tbl>
      <w:tblPr>
        <w:tblW w:w="9070" w:type="dxa"/>
        <w:jc w:val="center"/>
        <w:tblBorders>
          <w:top w:val="nil"/>
          <w:left w:val="nil"/>
          <w:bottom w:val="nil"/>
          <w:right w:val="nil"/>
          <w:insideH w:val="nil"/>
          <w:insideV w:val="nil"/>
        </w:tblBorders>
        <w:tblLayout w:type="fixed"/>
        <w:tblCellMar>
          <w:left w:w="0" w:type="dxa"/>
          <w:right w:w="0" w:type="dxa"/>
        </w:tblCellMar>
        <w:tblLook w:val="0000" w:firstRow="0" w:lastRow="0" w:firstColumn="0" w:lastColumn="0" w:noHBand="1" w:noVBand="1"/>
      </w:tblPr>
      <w:tblGrid>
        <w:gridCol w:w="900"/>
        <w:gridCol w:w="7270"/>
        <w:gridCol w:w="900"/>
      </w:tblGrid>
      <w:tr>
        <w:trPr>
          <w:cantSplit/>
        </w:trPr>
        <w:tc>
          <w:tcPr>
            <w:tcW w:w="900" w:type="dxa"/>
            <w:vAlign w:val="center"/>
          </w:tcPr>
          <w:p>
            <w:pPr>
              <w:spacing w:before="0" w:after="0"/>
            </w:pPr>
          </w:p>
        </w:tc>
        <w:tc>
          <w:tcPr>
            <w:tcW w:w="7270" w:type="dxa"/>
            <w:vAlign w:val="center"/>
          </w:tcPr>
          <w:p>
            <w:pPr>
              <w:spacing w:before="20" w:after="20" w:line="240" w:lineRule="auto"/>
              <w:jc w:val="center"/>
            </w:pPr>
            <m:oMathPara>
              <m:oMathParaPr>
                <m:jc m:val="center"/>
              </m:oMathParaPr>
              <m:oMath>
                <m:sSub>
                  <m:e>
                    <m:r>
                      <m:t>T</m:t>
                    </m:r>
                  </m:e>
                  <m:sub>
                    <m:r>
                      <m:rPr>
                        <m:sty m:val="p"/>
                      </m:rPr>
                      <m:t>C</m:t>
                    </m:r>
                  </m:sub>
                </m:sSub>
                <m:d>
                  <m:dPr>
                    <m:begChr m:val="("/>
                    <m:sepChr m:val=""/>
                    <m:endChr m:val=")"/>
                    <m:grow/>
                  </m:dPr>
                  <m:e>
                    <m:r>
                      <m:rPr>
                        <m:sty m:val="b"/>
                      </m:rPr>
                      <m:t>θ</m:t>
                    </m:r>
                  </m:e>
                </m:d>
                <m:r>
                  <m:rPr>
                    <m:sty m:val="p"/>
                  </m:rPr>
                  <m:t>=</m:t>
                </m:r>
                <m:f>
                  <m:fPr>
                    <m:type m:val="bar"/>
                  </m:fPr>
                  <m:num>
                    <m:sSup>
                      <m:e>
                        <m:d>
                          <m:dPr>
                            <m:begChr m:val="|"/>
                            <m:sepChr m:val=""/>
                            <m:endChr m:val="|"/>
                            <m:grow/>
                          </m:dPr>
                          <m:e>
                            <m:nary>
                              <m:naryPr>
                                <m:chr m:val="∑"/>
                                <m:limLoc m:val="undOvr"/>
                                <m:subHide m:val="off"/>
                                <m:supHide m:val="off"/>
                              </m:naryPr>
                              <m:sub>
                                <m:r>
                                  <m:t>l</m:t>
                                </m:r>
                                <m:r>
                                  <m:rPr>
                                    <m:sty m:val="p"/>
                                  </m:rPr>
                                  <m:t>=</m:t>
                                </m:r>
                                <m:r>
                                  <m:t>1</m:t>
                                </m:r>
                              </m:sub>
                              <m:sup>
                                <m:r>
                                  <m:t>L</m:t>
                                </m:r>
                              </m:sup>
                              <m:e>
                                <m:sSub>
                                  <m:e>
                                    <m:r>
                                      <m:t>w</m:t>
                                    </m:r>
                                  </m:e>
                                  <m:sub>
                                    <m:r>
                                      <m:t>l</m:t>
                                    </m:r>
                                  </m:sub>
                                </m:sSub>
                              </m:e>
                            </m:nary>
                            <m:r>
                              <m:t> </m:t>
                            </m:r>
                            <m:sSub>
                              <m:e>
                                <m:acc>
                                  <m:accPr>
                                    <m:chr m:val="̃"/>
                                  </m:accPr>
                                  <m:e>
                                    <m:r>
                                      <m:t>z</m:t>
                                    </m:r>
                                  </m:e>
                                </m:acc>
                              </m:e>
                              <m:sub>
                                <m:r>
                                  <m:t>l</m:t>
                                </m:r>
                              </m:sub>
                            </m:sSub>
                            <m:d>
                              <m:dPr>
                                <m:begChr m:val="("/>
                                <m:sepChr m:val=""/>
                                <m:endChr m:val=")"/>
                                <m:grow/>
                              </m:dPr>
                              <m:e>
                                <m:r>
                                  <m:rPr>
                                    <m:sty m:val="b"/>
                                  </m:rPr>
                                  <m:t>θ</m:t>
                                </m:r>
                              </m:e>
                            </m:d>
                            <m:r>
                              <m:t> </m:t>
                            </m:r>
                            <m:sSup>
                              <m:e>
                                <m:r>
                                  <m:t>e</m:t>
                                </m:r>
                              </m:e>
                              <m:sup>
                                <m:r>
                                  <m:rPr>
                                    <m:sty m:val="p"/>
                                  </m:rPr>
                                  <m:t>j</m:t>
                                </m:r>
                                <m:sSub>
                                  <m:e>
                                    <m:acc>
                                      <m:accPr>
                                        <m:chr m:val="̂"/>
                                      </m:accPr>
                                      <m:e>
                                        <m:r>
                                          <m:t>Φ</m:t>
                                        </m:r>
                                      </m:e>
                                    </m:acc>
                                  </m:e>
                                  <m:sub>
                                    <m:r>
                                      <m:t>l</m:t>
                                    </m:r>
                                  </m:sub>
                                </m:sSub>
                                <m:d>
                                  <m:dPr>
                                    <m:begChr m:val="("/>
                                    <m:sepChr m:val=""/>
                                    <m:endChr m:val=")"/>
                                    <m:grow/>
                                  </m:dPr>
                                  <m:e>
                                    <m:r>
                                      <m:rPr>
                                        <m:sty m:val="b"/>
                                      </m:rPr>
                                      <m:t>θ</m:t>
                                    </m:r>
                                  </m:e>
                                </m:d>
                              </m:sup>
                            </m:sSup>
                          </m:e>
                        </m:d>
                      </m:e>
                      <m:sup>
                        <m:r>
                          <m:t>2</m:t>
                        </m:r>
                      </m:sup>
                    </m:sSup>
                  </m:num>
                  <m:den>
                    <m:nary>
                      <m:naryPr>
                        <m:chr m:val="∑"/>
                        <m:limLoc m:val="undOvr"/>
                        <m:subHide m:val="off"/>
                        <m:supHide m:val="off"/>
                      </m:naryPr>
                      <m:sub>
                        <m:r>
                          <m:t>l</m:t>
                        </m:r>
                        <m:r>
                          <m:rPr>
                            <m:sty m:val="p"/>
                          </m:rPr>
                          <m:t>=</m:t>
                        </m:r>
                        <m:r>
                          <m:t>1</m:t>
                        </m:r>
                      </m:sub>
                      <m:sup>
                        <m:r>
                          <m:t>L</m:t>
                        </m:r>
                      </m:sup>
                      <m:e>
                        <m:sSubSup>
                          <m:e>
                            <m:r>
                              <m:t>w</m:t>
                            </m:r>
                          </m:e>
                          <m:sub>
                            <m:r>
                              <m:t>l</m:t>
                            </m:r>
                          </m:sub>
                          <m:sup>
                            <m:r>
                              <m:t>2</m:t>
                            </m:r>
                          </m:sup>
                        </m:sSubSup>
                      </m:e>
                    </m:nary>
                  </m:den>
                </m:f>
              </m:oMath>
            </m:oMathPara>
          </w:p>
        </w:tc>
        <w:tc>
          <w:tcPr>
            <w:tcW w:w="900" w:type="dxa"/>
            <w:vAlign w:val="center"/>
          </w:tcPr>
          <w:p>
            <w:pPr>
              <w:spacing w:before="0" w:after="0"/>
              <w:jc w:val="right"/>
            </w:pPr>
            <w:r>
              <w:t xml:space="preserve">(22)</w:t>
            </w:r>
          </w:p>
        </w:tc>
      </w:tr>
    </w:tbl>
    <w:p>
      <w:pPr>
        <w:pStyle w:val="FirstParagraph"/>
      </w:pPr>
      <m:oMath>
        <m:sSub>
          <m:e>
            <m:r>
              <m:rPr>
                <m:scr m:val="script"/>
                <m:sty m:val="p"/>
              </m:rPr>
              <m:t>H</m:t>
            </m:r>
          </m:e>
          <m:sub>
            <m:r>
              <m:t>0</m:t>
            </m:r>
          </m:sub>
        </m:sSub>
      </m:oMath>
      <w:r>
        <w:t xml:space="preserve"> </w:t>
      </w:r>
      <w:r>
        <w:t xml:space="preserve">下</w:t>
      </w:r>
      <w:r>
        <w:t xml:space="preserve"> </w:t>
      </w:r>
      <m:oMath>
        <m:sSub>
          <m:e>
            <m:r>
              <m:t>T</m:t>
            </m:r>
          </m:e>
          <m:sub>
            <m:r>
              <m:rPr>
                <m:sty m:val="p"/>
              </m:rPr>
              <m:t>C</m:t>
            </m:r>
          </m:sub>
        </m:sSub>
      </m:oMath>
      <w:r>
        <w:t xml:space="preserve"> </w:t>
      </w:r>
      <w:r>
        <w:t xml:space="preserve">服从单位均值指数分布；</w:t>
      </w:r>
      <m:oMath>
        <m:sSub>
          <m:e>
            <m:r>
              <m:rPr>
                <m:scr m:val="script"/>
                <m:sty m:val="p"/>
              </m:rPr>
              <m:t>H</m:t>
            </m:r>
          </m:e>
          <m:sub>
            <m:r>
              <m:t>1</m:t>
            </m:r>
          </m:sub>
        </m:sSub>
      </m:oMath>
      <w:r>
        <w:t xml:space="preserve"> </w:t>
      </w:r>
      <w:r>
        <w:t xml:space="preserve">下其输出信噪比为</w:t>
      </w:r>
      <w:r>
        <w:t xml:space="preserve"> </w:t>
      </w:r>
      <m:oMath>
        <m:sSup>
          <m:e>
            <m:d>
              <m:dPr>
                <m:begChr m:val="("/>
                <m:sepChr m:val=""/>
                <m:endChr m:val=")"/>
                <m:grow/>
              </m:dPr>
              <m:e>
                <m:nary>
                  <m:naryPr>
                    <m:chr m:val="∑"/>
                    <m:limLoc m:val="undOvr"/>
                    <m:subHide m:val="off"/>
                    <m:supHide m:val="on"/>
                  </m:naryPr>
                  <m:sub>
                    <m:r>
                      <m:t>l</m:t>
                    </m:r>
                  </m:sub>
                  <m:sup>
                    <m:r>
                      <m:t>​</m:t>
                    </m:r>
                  </m:sup>
                  <m:e>
                    <m:sSub>
                      <m:e>
                        <m:r>
                          <m:t>w</m:t>
                        </m:r>
                      </m:e>
                      <m:sub>
                        <m:r>
                          <m:t>l</m:t>
                        </m:r>
                      </m:sub>
                    </m:sSub>
                  </m:e>
                </m:nary>
                <m:sSub>
                  <m:e>
                    <m:r>
                      <m:t>s</m:t>
                    </m:r>
                  </m:e>
                  <m:sub>
                    <m:r>
                      <m:t>l</m:t>
                    </m:r>
                  </m:sub>
                </m:sSub>
              </m:e>
            </m:d>
          </m:e>
          <m:sup>
            <m:r>
              <m:t>2</m:t>
            </m:r>
          </m:sup>
        </m:sSup>
        <m:r>
          <m:rPr>
            <m:sty m:val="p"/>
          </m:rPr>
          <m:t>/</m:t>
        </m:r>
        <m:nary>
          <m:naryPr>
            <m:chr m:val="∑"/>
            <m:limLoc m:val="undOvr"/>
            <m:subHide m:val="off"/>
            <m:supHide m:val="on"/>
          </m:naryPr>
          <m:sub>
            <m:r>
              <m:t>l</m:t>
            </m:r>
          </m:sub>
          <m:sup>
            <m:r>
              <m:t>​</m:t>
            </m:r>
          </m:sup>
          <m:e>
            <m:sSubSup>
              <m:e>
                <m:r>
                  <m:t>w</m:t>
                </m:r>
              </m:e>
              <m:sub>
                <m:r>
                  <m:t>l</m:t>
                </m:r>
              </m:sub>
              <m:sup>
                <m:r>
                  <m:t>2</m:t>
                </m:r>
              </m:sup>
            </m:sSubSup>
          </m:e>
        </m:nary>
      </m:oMath>
      <w:r>
        <w:t xml:space="preserve">，在最大比合并（MRC）权</w:t>
      </w:r>
      <w:r>
        <w:t xml:space="preserve"> </w:t>
      </w:r>
      <m:oMath>
        <m:sSub>
          <m:e>
            <m:r>
              <m:t>w</m:t>
            </m:r>
          </m:e>
          <m:sub>
            <m:r>
              <m:t>l</m:t>
            </m:r>
          </m:sub>
        </m:sSub>
        <m:r>
          <m:rPr>
            <m:sty m:val="p"/>
          </m:rPr>
          <m:t>∝</m:t>
        </m:r>
        <m:sSub>
          <m:e>
            <m:r>
              <m:t>s</m:t>
            </m:r>
          </m:e>
          <m:sub>
            <m:r>
              <m:t>l</m:t>
            </m:r>
          </m:sub>
        </m:sSub>
      </m:oMath>
      <w:r>
        <w:t xml:space="preserve"> </w:t>
      </w:r>
      <w:r>
        <w:t xml:space="preserve">时达到最大值</w:t>
      </w:r>
    </w:p>
    <w:tbl>
      <w:tblPr>
        <w:tblW w:w="9070" w:type="dxa"/>
        <w:jc w:val="center"/>
        <w:tblBorders>
          <w:top w:val="nil"/>
          <w:left w:val="nil"/>
          <w:bottom w:val="nil"/>
          <w:right w:val="nil"/>
          <w:insideH w:val="nil"/>
          <w:insideV w:val="nil"/>
        </w:tblBorders>
        <w:tblLayout w:type="fixed"/>
        <w:tblCellMar>
          <w:left w:w="0" w:type="dxa"/>
          <w:right w:w="0" w:type="dxa"/>
        </w:tblCellMar>
        <w:tblLook w:val="0000" w:firstRow="0" w:lastRow="0" w:firstColumn="0" w:lastColumn="0" w:noHBand="1" w:noVBand="1"/>
      </w:tblPr>
      <w:tblGrid>
        <w:gridCol w:w="900"/>
        <w:gridCol w:w="7270"/>
        <w:gridCol w:w="900"/>
      </w:tblGrid>
      <w:tr>
        <w:trPr>
          <w:cantSplit/>
        </w:trPr>
        <w:tc>
          <w:tcPr>
            <w:tcW w:w="900" w:type="dxa"/>
            <w:vAlign w:val="center"/>
          </w:tcPr>
          <w:p>
            <w:pPr>
              <w:spacing w:before="0" w:after="0"/>
            </w:pPr>
          </w:p>
        </w:tc>
        <w:tc>
          <w:tcPr>
            <w:tcW w:w="7270" w:type="dxa"/>
            <w:vAlign w:val="center"/>
          </w:tcPr>
          <w:p>
            <w:pPr>
              <w:spacing w:before="20" w:after="20" w:line="240" w:lineRule="auto"/>
              <w:jc w:val="center"/>
            </w:pPr>
            <m:oMathPara>
              <m:oMathParaPr>
                <m:jc m:val="center"/>
              </m:oMathParaPr>
              <m:oMath>
                <m:sSub>
                  <m:e>
                    <m:r>
                      <m:rPr>
                        <m:sty m:val="p"/>
                      </m:rPr>
                      <m:t>S</m:t>
                    </m:r>
                    <m:r>
                      <m:rPr>
                        <m:sty m:val="p"/>
                      </m:rPr>
                      <m:t>N</m:t>
                    </m:r>
                    <m:r>
                      <m:rPr>
                        <m:sty m:val="p"/>
                      </m:rPr>
                      <m:t>R</m:t>
                    </m:r>
                  </m:e>
                  <m:sub>
                    <m:r>
                      <m:rPr>
                        <m:sty m:val="p"/>
                      </m:rPr>
                      <m:t>C</m:t>
                    </m:r>
                  </m:sub>
                </m:sSub>
                <m:r>
                  <m:rPr>
                    <m:sty m:val="p"/>
                  </m:rPr>
                  <m:t>=</m:t>
                </m:r>
                <m:nary>
                  <m:naryPr>
                    <m:chr m:val="∑"/>
                    <m:limLoc m:val="undOvr"/>
                    <m:subHide m:val="off"/>
                    <m:supHide m:val="off"/>
                  </m:naryPr>
                  <m:sub>
                    <m:r>
                      <m:t>l</m:t>
                    </m:r>
                    <m:r>
                      <m:rPr>
                        <m:sty m:val="p"/>
                      </m:rPr>
                      <m:t>=</m:t>
                    </m:r>
                    <m:r>
                      <m:t>1</m:t>
                    </m:r>
                  </m:sub>
                  <m:sup>
                    <m:r>
                      <m:t>L</m:t>
                    </m:r>
                  </m:sup>
                  <m:e>
                    <m:sSubSup>
                      <m:e>
                        <m:r>
                          <m:t>s</m:t>
                        </m:r>
                      </m:e>
                      <m:sub>
                        <m:r>
                          <m:t>l</m:t>
                        </m:r>
                      </m:sub>
                      <m:sup>
                        <m:r>
                          <m:t>2</m:t>
                        </m:r>
                      </m:sup>
                    </m:sSubSup>
                  </m:e>
                </m:nary>
                <m:r>
                  <m:rPr>
                    <m:sty m:val="p"/>
                  </m:rPr>
                  <m:t>=</m:t>
                </m:r>
                <m:nary>
                  <m:naryPr>
                    <m:chr m:val="∑"/>
                    <m:limLoc m:val="undOvr"/>
                    <m:subHide m:val="off"/>
                    <m:supHide m:val="off"/>
                  </m:naryPr>
                  <m:sub>
                    <m:r>
                      <m:t>l</m:t>
                    </m:r>
                    <m:r>
                      <m:rPr>
                        <m:sty m:val="p"/>
                      </m:rPr>
                      <m:t>=</m:t>
                    </m:r>
                    <m:r>
                      <m:t>1</m:t>
                    </m:r>
                  </m:sub>
                  <m:sup>
                    <m:r>
                      <m:t>L</m:t>
                    </m:r>
                  </m:sup>
                  <m:e>
                    <m:sSub>
                      <m:e>
                        <m:r>
                          <m:rPr>
                            <m:sty m:val="p"/>
                          </m:rPr>
                          <m:t>S</m:t>
                        </m:r>
                        <m:r>
                          <m:rPr>
                            <m:sty m:val="p"/>
                          </m:rPr>
                          <m:t>N</m:t>
                        </m:r>
                        <m:r>
                          <m:rPr>
                            <m:sty m:val="p"/>
                          </m:rPr>
                          <m:t>R</m:t>
                        </m:r>
                      </m:e>
                      <m:sub>
                        <m:r>
                          <m:t>l</m:t>
                        </m:r>
                      </m:sub>
                    </m:sSub>
                  </m:e>
                </m:nary>
              </m:oMath>
            </m:oMathPara>
          </w:p>
        </w:tc>
        <w:tc>
          <w:tcPr>
            <w:tcW w:w="900" w:type="dxa"/>
            <w:vAlign w:val="center"/>
          </w:tcPr>
          <w:p>
            <w:pPr>
              <w:spacing w:before="0" w:after="0"/>
              <w:jc w:val="right"/>
            </w:pPr>
            <w:r>
              <w:t xml:space="preserve">(23)</w:t>
            </w:r>
          </w:p>
        </w:tc>
      </w:tr>
    </w:tbl>
    <w:p>
      <w:pPr>
        <w:pStyle w:val="FirstParagraph"/>
      </w:pPr>
      <w:r>
        <w:t xml:space="preserve">即10条链路信噪比相近时提高</w:t>
      </w:r>
      <w:r>
        <w:t xml:space="preserve"> </w:t>
      </w:r>
      <m:oMath>
        <m:r>
          <m:t>10</m:t>
        </m:r>
        <m:r>
          <m:rPr>
            <m:sty m:val="p"/>
          </m:rPr>
          <m:t>lg</m:t>
        </m:r>
        <m:r>
          <m:t>10</m:t>
        </m:r>
        <m:r>
          <m:rPr>
            <m:sty m:val="p"/>
          </m:rPr>
          <m:t>=</m:t>
        </m:r>
        <m:r>
          <m:t>10</m:t>
        </m:r>
      </m:oMath>
      <w:r>
        <w:t xml:space="preserve"> </w:t>
      </w:r>
      <w:r>
        <w:t xml:space="preserve">dB。MRC权可由双基地雷达方程</w:t>
      </w:r>
      <w:r>
        <w:rPr>
          <w:vertAlign w:val="superscript"/>
        </w:rPr>
        <w:t xml:space="preserve">[18]</w:t>
      </w:r>
      <w:r>
        <w:t xml:space="preserve">和各站噪声电平预测；链路信噪比未知时可取等增益权</w:t>
      </w:r>
      <w:r>
        <w:t xml:space="preserve"> </w:t>
      </w:r>
      <m:oMath>
        <m:sSub>
          <m:e>
            <m:r>
              <m:t>w</m:t>
            </m:r>
          </m:e>
          <m:sub>
            <m:r>
              <m:t>l</m:t>
            </m:r>
          </m:sub>
        </m:sSub>
        <m:r>
          <m:rPr>
            <m:sty m:val="p"/>
          </m:rPr>
          <m:t>=</m:t>
        </m:r>
        <m:r>
          <m:t>1</m:t>
        </m:r>
      </m:oMath>
      <w:r>
        <w:t xml:space="preserve">。</w:t>
      </w:r>
    </w:p>
    <w:p>
      <w:pPr>
        <w:pStyle w:val="BodyText"/>
      </w:pPr>
      <w:r>
        <w:rPr>
          <w:b/>
          <w:bCs/>
        </w:rPr>
        <w:t xml:space="preserve">（2）非相参融合。</w:t>
      </w:r>
      <w:r>
        <w:t xml:space="preserve">当各链路散射系数相互独立（空间非相参）时，GLRT统计量为</w:t>
      </w:r>
    </w:p>
    <w:tbl>
      <w:tblPr>
        <w:tblW w:w="9070" w:type="dxa"/>
        <w:jc w:val="center"/>
        <w:tblBorders>
          <w:top w:val="nil"/>
          <w:left w:val="nil"/>
          <w:bottom w:val="nil"/>
          <w:right w:val="nil"/>
          <w:insideH w:val="nil"/>
          <w:insideV w:val="nil"/>
        </w:tblBorders>
        <w:tblLayout w:type="fixed"/>
        <w:tblCellMar>
          <w:left w:w="0" w:type="dxa"/>
          <w:right w:w="0" w:type="dxa"/>
        </w:tblCellMar>
        <w:tblLook w:val="0000" w:firstRow="0" w:lastRow="0" w:firstColumn="0" w:lastColumn="0" w:noHBand="1" w:noVBand="1"/>
      </w:tblPr>
      <w:tblGrid>
        <w:gridCol w:w="900"/>
        <w:gridCol w:w="7270"/>
        <w:gridCol w:w="900"/>
      </w:tblGrid>
      <w:tr>
        <w:trPr>
          <w:cantSplit/>
        </w:trPr>
        <w:tc>
          <w:tcPr>
            <w:tcW w:w="900" w:type="dxa"/>
            <w:vAlign w:val="center"/>
          </w:tcPr>
          <w:p>
            <w:pPr>
              <w:spacing w:before="0" w:after="0"/>
            </w:pPr>
          </w:p>
        </w:tc>
        <w:tc>
          <w:tcPr>
            <w:tcW w:w="7270" w:type="dxa"/>
            <w:vAlign w:val="center"/>
          </w:tcPr>
          <w:p>
            <w:pPr>
              <w:spacing w:before="20" w:after="20" w:line="240" w:lineRule="auto"/>
              <w:jc w:val="center"/>
            </w:pPr>
            <m:oMathPara>
              <m:oMathParaPr>
                <m:jc m:val="center"/>
              </m:oMathParaPr>
              <m:oMath>
                <m:sSub>
                  <m:e>
                    <m:r>
                      <m:t>T</m:t>
                    </m:r>
                  </m:e>
                  <m:sub>
                    <m:r>
                      <m:rPr>
                        <m:sty m:val="p"/>
                      </m:rPr>
                      <m:t>N</m:t>
                    </m:r>
                  </m:sub>
                </m:sSub>
                <m:d>
                  <m:dPr>
                    <m:begChr m:val="("/>
                    <m:sepChr m:val=""/>
                    <m:endChr m:val=")"/>
                    <m:grow/>
                  </m:dPr>
                  <m:e>
                    <m:r>
                      <m:rPr>
                        <m:sty m:val="b"/>
                      </m:rPr>
                      <m:t>θ</m:t>
                    </m:r>
                  </m:e>
                </m:d>
                <m:r>
                  <m:rPr>
                    <m:sty m:val="p"/>
                  </m:rPr>
                  <m:t>=</m:t>
                </m:r>
                <m:nary>
                  <m:naryPr>
                    <m:chr m:val="∑"/>
                    <m:limLoc m:val="undOvr"/>
                    <m:subHide m:val="off"/>
                    <m:supHide m:val="off"/>
                  </m:naryPr>
                  <m:sub>
                    <m:r>
                      <m:t>l</m:t>
                    </m:r>
                    <m:r>
                      <m:rPr>
                        <m:sty m:val="p"/>
                      </m:rPr>
                      <m:t>=</m:t>
                    </m:r>
                    <m:r>
                      <m:t>1</m:t>
                    </m:r>
                  </m:sub>
                  <m:sup>
                    <m:r>
                      <m:t>L</m:t>
                    </m:r>
                  </m:sup>
                  <m:e>
                    <m:sSup>
                      <m:e>
                        <m:d>
                          <m:dPr>
                            <m:begChr m:val="|"/>
                            <m:sepChr m:val=""/>
                            <m:endChr m:val="|"/>
                            <m:grow/>
                          </m:dPr>
                          <m:e>
                            <m:sSub>
                              <m:e>
                                <m:acc>
                                  <m:accPr>
                                    <m:chr m:val="̃"/>
                                  </m:accPr>
                                  <m:e>
                                    <m:r>
                                      <m:t>z</m:t>
                                    </m:r>
                                  </m:e>
                                </m:acc>
                              </m:e>
                              <m:sub>
                                <m:r>
                                  <m:t>l</m:t>
                                </m:r>
                              </m:sub>
                            </m:sSub>
                            <m:d>
                              <m:dPr>
                                <m:begChr m:val="("/>
                                <m:sepChr m:val=""/>
                                <m:endChr m:val=")"/>
                                <m:grow/>
                              </m:dPr>
                              <m:e>
                                <m:r>
                                  <m:rPr>
                                    <m:sty m:val="b"/>
                                  </m:rPr>
                                  <m:t>θ</m:t>
                                </m:r>
                              </m:e>
                            </m:d>
                          </m:e>
                        </m:d>
                      </m:e>
                      <m:sup>
                        <m:r>
                          <m:t>2</m:t>
                        </m:r>
                      </m:sup>
                    </m:sSup>
                  </m:e>
                </m:nary>
              </m:oMath>
            </m:oMathPara>
          </w:p>
        </w:tc>
        <w:tc>
          <w:tcPr>
            <w:tcW w:w="900" w:type="dxa"/>
            <w:vAlign w:val="center"/>
          </w:tcPr>
          <w:p>
            <w:pPr>
              <w:spacing w:before="0" w:after="0"/>
              <w:jc w:val="right"/>
            </w:pPr>
            <w:r>
              <w:t xml:space="preserve">(24)</w:t>
            </w:r>
          </w:p>
        </w:tc>
      </w:tr>
    </w:tbl>
    <w:p>
      <w:pPr>
        <w:pStyle w:val="FirstParagraph"/>
      </w:pPr>
      <m:oMath>
        <m:sSub>
          <m:e>
            <m:r>
              <m:rPr>
                <m:scr m:val="script"/>
                <m:sty m:val="p"/>
              </m:rPr>
              <m:t>H</m:t>
            </m:r>
          </m:e>
          <m:sub>
            <m:r>
              <m:t>0</m:t>
            </m:r>
          </m:sub>
        </m:sSub>
      </m:oMath>
      <w:r>
        <w:t xml:space="preserve"> </w:t>
      </w:r>
      <w:r>
        <w:t xml:space="preserve">下</w:t>
      </w:r>
      <w:r>
        <w:t xml:space="preserve"> </w:t>
      </w:r>
      <m:oMath>
        <m:sSub>
          <m:e>
            <m:r>
              <m:t>T</m:t>
            </m:r>
          </m:e>
          <m:sub>
            <m:r>
              <m:rPr>
                <m:sty m:val="p"/>
              </m:rPr>
              <m:t>N</m:t>
            </m:r>
          </m:sub>
        </m:sSub>
      </m:oMath>
      <w:r>
        <w:t xml:space="preserve"> </w:t>
      </w:r>
      <w:r>
        <w:t xml:space="preserve">服从参数为</w:t>
      </w:r>
      <w:r>
        <w:t xml:space="preserve"> </w:t>
      </w:r>
      <m:oMath>
        <m:d>
          <m:dPr>
            <m:begChr m:val="("/>
            <m:sepChr m:val=""/>
            <m:endChr m:val=")"/>
            <m:grow/>
          </m:dPr>
          <m:e>
            <m:r>
              <m:t>L</m:t>
            </m:r>
            <m:r>
              <m:rPr>
                <m:sty m:val="p"/>
              </m:rPr>
              <m:t>,</m:t>
            </m:r>
            <m:r>
              <m:t>1</m:t>
            </m:r>
          </m:e>
        </m:d>
      </m:oMath>
      <w:r>
        <w:t xml:space="preserve"> </w:t>
      </w:r>
      <w:r>
        <w:t xml:space="preserve">的伽马分布。非相参融合不需要相位信息，对散射去相关稳健，并可获得空间分集增益</w:t>
      </w:r>
      <w:r>
        <w:rPr>
          <w:vertAlign w:val="superscript"/>
        </w:rPr>
        <w:t xml:space="preserve">[5]</w:t>
      </w:r>
      <w:r>
        <w:t xml:space="preserve">。</w:t>
      </w:r>
    </w:p>
    <w:p>
      <w:pPr>
        <w:pStyle w:val="BodyText"/>
      </w:pPr>
      <w:r>
        <w:rPr>
          <w:b/>
          <w:bCs/>
        </w:rPr>
        <w:t xml:space="preserve">（3）分组相参融合。</w:t>
      </w:r>
      <w:r>
        <w:t xml:space="preserve">将链路分为</w:t>
      </w:r>
      <w:r>
        <w:t xml:space="preserve"> </w:t>
      </w:r>
      <m:oMath>
        <m:r>
          <m:t>G</m:t>
        </m:r>
      </m:oMath>
      <w:r>
        <w:t xml:space="preserve"> </w:t>
      </w:r>
      <w:r>
        <w:t xml:space="preserve">组</w:t>
      </w:r>
      <w:r>
        <w:t xml:space="preserve"> </w:t>
      </w:r>
      <m:oMath>
        <m:sSub>
          <m:e>
            <m:r>
              <m:rPr>
                <m:scr m:val="script"/>
                <m:sty m:val="p"/>
              </m:rPr>
              <m:t>G</m:t>
            </m:r>
          </m:e>
          <m:sub>
            <m:r>
              <m:t>1</m:t>
            </m:r>
          </m:sub>
        </m:sSub>
        <m:r>
          <m:rPr>
            <m:sty m:val="p"/>
          </m:rPr>
          <m:t>,</m:t>
        </m:r>
        <m:r>
          <m:rPr>
            <m:sty m:val="p"/>
          </m:rPr>
          <m:t>⋯</m:t>
        </m:r>
        <m:r>
          <m:rPr>
            <m:sty m:val="p"/>
          </m:rPr>
          <m:t>,</m:t>
        </m:r>
        <m:sSub>
          <m:e>
            <m:r>
              <m:rPr>
                <m:scr m:val="script"/>
                <m:sty m:val="p"/>
              </m:rPr>
              <m:t>G</m:t>
            </m:r>
          </m:e>
          <m:sub>
            <m:r>
              <m:t>G</m:t>
            </m:r>
          </m:sub>
        </m:sSub>
      </m:oMath>
      <w:r>
        <w:t xml:space="preserve">，组内相参、组间非相参：</w:t>
      </w:r>
    </w:p>
    <w:tbl>
      <w:tblPr>
        <w:tblW w:w="9070" w:type="dxa"/>
        <w:jc w:val="center"/>
        <w:tblBorders>
          <w:top w:val="nil"/>
          <w:left w:val="nil"/>
          <w:bottom w:val="nil"/>
          <w:right w:val="nil"/>
          <w:insideH w:val="nil"/>
          <w:insideV w:val="nil"/>
        </w:tblBorders>
        <w:tblLayout w:type="fixed"/>
        <w:tblCellMar>
          <w:left w:w="0" w:type="dxa"/>
          <w:right w:w="0" w:type="dxa"/>
        </w:tblCellMar>
        <w:tblLook w:val="0000" w:firstRow="0" w:lastRow="0" w:firstColumn="0" w:lastColumn="0" w:noHBand="1" w:noVBand="1"/>
      </w:tblPr>
      <w:tblGrid>
        <w:gridCol w:w="900"/>
        <w:gridCol w:w="7270"/>
        <w:gridCol w:w="900"/>
      </w:tblGrid>
      <w:tr>
        <w:trPr>
          <w:cantSplit/>
        </w:trPr>
        <w:tc>
          <w:tcPr>
            <w:tcW w:w="900" w:type="dxa"/>
            <w:vAlign w:val="center"/>
          </w:tcPr>
          <w:p>
            <w:pPr>
              <w:spacing w:before="0" w:after="0"/>
            </w:pPr>
          </w:p>
        </w:tc>
        <w:tc>
          <w:tcPr>
            <w:tcW w:w="7270" w:type="dxa"/>
            <w:vAlign w:val="center"/>
          </w:tcPr>
          <w:p>
            <w:pPr>
              <w:spacing w:before="20" w:after="20" w:line="240" w:lineRule="auto"/>
              <w:jc w:val="center"/>
            </w:pPr>
            <m:oMathPara>
              <m:oMathParaPr>
                <m:jc m:val="center"/>
              </m:oMathParaPr>
              <m:oMath>
                <m:sSub>
                  <m:e>
                    <m:r>
                      <m:t>T</m:t>
                    </m:r>
                  </m:e>
                  <m:sub>
                    <m:r>
                      <m:rPr>
                        <m:sty m:val="p"/>
                      </m:rPr>
                      <m:t>G</m:t>
                    </m:r>
                  </m:sub>
                </m:sSub>
                <m:d>
                  <m:dPr>
                    <m:begChr m:val="("/>
                    <m:sepChr m:val=""/>
                    <m:endChr m:val=")"/>
                    <m:grow/>
                  </m:dPr>
                  <m:e>
                    <m:r>
                      <m:rPr>
                        <m:sty m:val="b"/>
                      </m:rPr>
                      <m:t>θ</m:t>
                    </m:r>
                  </m:e>
                </m:d>
                <m:r>
                  <m:rPr>
                    <m:sty m:val="p"/>
                  </m:rPr>
                  <m:t>=</m:t>
                </m:r>
                <m:nary>
                  <m:naryPr>
                    <m:chr m:val="∑"/>
                    <m:limLoc m:val="undOvr"/>
                    <m:subHide m:val="off"/>
                    <m:supHide m:val="off"/>
                  </m:naryPr>
                  <m:sub>
                    <m:r>
                      <m:t>g</m:t>
                    </m:r>
                    <m:r>
                      <m:rPr>
                        <m:sty m:val="p"/>
                      </m:rPr>
                      <m:t>=</m:t>
                    </m:r>
                    <m:r>
                      <m:t>1</m:t>
                    </m:r>
                  </m:sub>
                  <m:sup>
                    <m:r>
                      <m:t>G</m:t>
                    </m:r>
                  </m:sup>
                  <m:e>
                    <m:f>
                      <m:fPr>
                        <m:type m:val="bar"/>
                      </m:fPr>
                      <m:num>
                        <m:sSup>
                          <m:e>
                            <m:d>
                              <m:dPr>
                                <m:begChr m:val="|"/>
                                <m:sepChr m:val=""/>
                                <m:endChr m:val="|"/>
                                <m:grow/>
                              </m:dPr>
                              <m:e>
                                <m:nary>
                                  <m:naryPr>
                                    <m:chr m:val="∑"/>
                                    <m:limLoc m:val="undOvr"/>
                                    <m:subHide m:val="off"/>
                                    <m:supHide m:val="on"/>
                                  </m:naryPr>
                                  <m:sub>
                                    <m:r>
                                      <m:t>l</m:t>
                                    </m:r>
                                    <m:r>
                                      <m:rPr>
                                        <m:sty m:val="p"/>
                                      </m:rPr>
                                      <m:t>∈</m:t>
                                    </m:r>
                                    <m:sSub>
                                      <m:e>
                                        <m:r>
                                          <m:rPr>
                                            <m:scr m:val="script"/>
                                            <m:sty m:val="p"/>
                                          </m:rPr>
                                          <m:t>G</m:t>
                                        </m:r>
                                      </m:e>
                                      <m:sub>
                                        <m:r>
                                          <m:t>g</m:t>
                                        </m:r>
                                      </m:sub>
                                    </m:sSub>
                                  </m:sub>
                                  <m:sup>
                                    <m:r>
                                      <m:t>​</m:t>
                                    </m:r>
                                  </m:sup>
                                  <m:e>
                                    <m:sSub>
                                      <m:e>
                                        <m:r>
                                          <m:t>w</m:t>
                                        </m:r>
                                      </m:e>
                                      <m:sub>
                                        <m:r>
                                          <m:t>l</m:t>
                                        </m:r>
                                      </m:sub>
                                    </m:sSub>
                                  </m:e>
                                </m:nary>
                                <m:r>
                                  <m:t> </m:t>
                                </m:r>
                                <m:sSub>
                                  <m:e>
                                    <m:acc>
                                      <m:accPr>
                                        <m:chr m:val="̃"/>
                                      </m:accPr>
                                      <m:e>
                                        <m:r>
                                          <m:t>z</m:t>
                                        </m:r>
                                      </m:e>
                                    </m:acc>
                                  </m:e>
                                  <m:sub>
                                    <m:r>
                                      <m:t>l</m:t>
                                    </m:r>
                                  </m:sub>
                                </m:sSub>
                                <m:d>
                                  <m:dPr>
                                    <m:begChr m:val="("/>
                                    <m:sepChr m:val=""/>
                                    <m:endChr m:val=")"/>
                                    <m:grow/>
                                  </m:dPr>
                                  <m:e>
                                    <m:r>
                                      <m:rPr>
                                        <m:sty m:val="b"/>
                                      </m:rPr>
                                      <m:t>θ</m:t>
                                    </m:r>
                                  </m:e>
                                </m:d>
                                <m:r>
                                  <m:t> </m:t>
                                </m:r>
                                <m:sSup>
                                  <m:e>
                                    <m:r>
                                      <m:t>e</m:t>
                                    </m:r>
                                  </m:e>
                                  <m:sup>
                                    <m:r>
                                      <m:rPr>
                                        <m:sty m:val="p"/>
                                      </m:rPr>
                                      <m:t>j</m:t>
                                    </m:r>
                                    <m:sSub>
                                      <m:e>
                                        <m:acc>
                                          <m:accPr>
                                            <m:chr m:val="̂"/>
                                          </m:accPr>
                                          <m:e>
                                            <m:r>
                                              <m:t>Φ</m:t>
                                            </m:r>
                                          </m:e>
                                        </m:acc>
                                      </m:e>
                                      <m:sub>
                                        <m:r>
                                          <m:t>l</m:t>
                                        </m:r>
                                      </m:sub>
                                    </m:sSub>
                                    <m:d>
                                      <m:dPr>
                                        <m:begChr m:val="("/>
                                        <m:sepChr m:val=""/>
                                        <m:endChr m:val=")"/>
                                        <m:grow/>
                                      </m:dPr>
                                      <m:e>
                                        <m:r>
                                          <m:rPr>
                                            <m:sty m:val="b"/>
                                          </m:rPr>
                                          <m:t>θ</m:t>
                                        </m:r>
                                      </m:e>
                                    </m:d>
                                  </m:sup>
                                </m:sSup>
                              </m:e>
                            </m:d>
                          </m:e>
                          <m:sup>
                            <m:r>
                              <m:t>2</m:t>
                            </m:r>
                          </m:sup>
                        </m:sSup>
                      </m:num>
                      <m:den>
                        <m:nary>
                          <m:naryPr>
                            <m:chr m:val="∑"/>
                            <m:limLoc m:val="undOvr"/>
                            <m:subHide m:val="off"/>
                            <m:supHide m:val="on"/>
                          </m:naryPr>
                          <m:sub>
                            <m:r>
                              <m:t>l</m:t>
                            </m:r>
                            <m:r>
                              <m:rPr>
                                <m:sty m:val="p"/>
                              </m:rPr>
                              <m:t>∈</m:t>
                            </m:r>
                            <m:sSub>
                              <m:e>
                                <m:r>
                                  <m:rPr>
                                    <m:scr m:val="script"/>
                                    <m:sty m:val="p"/>
                                  </m:rPr>
                                  <m:t>G</m:t>
                                </m:r>
                              </m:e>
                              <m:sub>
                                <m:r>
                                  <m:t>g</m:t>
                                </m:r>
                              </m:sub>
                            </m:sSub>
                          </m:sub>
                          <m:sup>
                            <m:r>
                              <m:t>​</m:t>
                            </m:r>
                          </m:sup>
                          <m:e>
                            <m:sSubSup>
                              <m:e>
                                <m:r>
                                  <m:t>w</m:t>
                                </m:r>
                              </m:e>
                              <m:sub>
                                <m:r>
                                  <m:t>l</m:t>
                                </m:r>
                              </m:sub>
                              <m:sup>
                                <m:r>
                                  <m:t>2</m:t>
                                </m:r>
                              </m:sup>
                            </m:sSubSup>
                          </m:e>
                        </m:nary>
                      </m:den>
                    </m:f>
                  </m:e>
                </m:nary>
              </m:oMath>
            </m:oMathPara>
          </w:p>
        </w:tc>
        <w:tc>
          <w:tcPr>
            <w:tcW w:w="900" w:type="dxa"/>
            <w:vAlign w:val="center"/>
          </w:tcPr>
          <w:p>
            <w:pPr>
              <w:spacing w:before="0" w:after="0"/>
              <w:jc w:val="right"/>
            </w:pPr>
            <w:r>
              <w:t xml:space="preserve">(25)</w:t>
            </w:r>
          </w:p>
        </w:tc>
      </w:tr>
    </w:tbl>
    <w:p>
      <w:pPr>
        <w:pStyle w:val="FirstParagraph"/>
      </w:pPr>
      <w:r>
        <w:t xml:space="preserve">按接收站分组（每组为同一接收站的两条链路）即“源间相参”，按信号源分组（每组为同一信号源的5条链路）即“站间相参”。四种融合模式如图5所示。</w:t>
      </w:r>
    </w:p>
    <w:p>
      <w:pPr>
        <w:pStyle w:val="BodyText"/>
      </w:pPr>
      <w:r>
        <w:rPr>
          <w:b/>
          <w:bCs/>
        </w:rPr>
        <w:t xml:space="preserve">（4）一般形式。</w:t>
      </w:r>
      <w:r>
        <w:t xml:space="preserve">若</w:t>
      </w:r>
      <w:r>
        <w:t xml:space="preserve"> </w:t>
      </w:r>
      <m:oMath>
        <m:r>
          <m:rPr>
            <m:sty m:val="b"/>
          </m:rPr>
          <m:t>α</m:t>
        </m:r>
        <m:r>
          <m:rPr>
            <m:sty m:val="p"/>
          </m:rPr>
          <m:t>∼</m:t>
        </m:r>
        <m:r>
          <m:rPr>
            <m:scr m:val="script"/>
            <m:sty m:val="p"/>
          </m:rPr>
          <m:t>C</m:t>
        </m:r>
        <m:r>
          <m:rPr>
            <m:scr m:val="script"/>
            <m:sty m:val="p"/>
          </m:rPr>
          <m:t>N</m:t>
        </m:r>
        <m:d>
          <m:dPr>
            <m:begChr m:val="("/>
            <m:sepChr m:val=""/>
            <m:endChr m:val=")"/>
            <m:grow/>
          </m:dPr>
          <m:e>
            <m:r>
              <m:rPr>
                <m:sty m:val="b"/>
              </m:rPr>
              <m:t>0</m:t>
            </m:r>
            <m:r>
              <m:rPr>
                <m:sty m:val="p"/>
              </m:rPr>
              <m:t>,</m:t>
            </m:r>
            <m:r>
              <m:rPr>
                <m:sty m:val="b"/>
              </m:rPr>
              <m:t>C</m:t>
            </m:r>
          </m:e>
        </m:d>
      </m:oMath>
      <w:r>
        <w:t xml:space="preserve">，</w:t>
      </w:r>
      <m:oMath>
        <m:r>
          <m:rPr>
            <m:sty m:val="b"/>
          </m:rPr>
          <m:t>C</m:t>
        </m:r>
        <m:r>
          <m:rPr>
            <m:sty m:val="p"/>
          </m:rPr>
          <m:t>=</m:t>
        </m:r>
        <m:d>
          <m:dPr>
            <m:begChr m:val="["/>
            <m:sepChr m:val=""/>
            <m:endChr m:val="]"/>
            <m:grow/>
          </m:dPr>
          <m:e>
            <m:sSub>
              <m:e>
                <m:r>
                  <m:t>ρ</m:t>
                </m:r>
              </m:e>
              <m:sub>
                <m:r>
                  <m:t>l</m:t>
                </m:r>
                <m:r>
                  <m:t>l</m:t>
                </m:r>
                <m:r>
                  <m:rPr>
                    <m:sty m:val="p"/>
                  </m:rPr>
                  <m:t>′</m:t>
                </m:r>
              </m:sub>
            </m:sSub>
          </m:e>
        </m:d>
      </m:oMath>
      <w:r>
        <w:t xml:space="preserve">，则奈曼-皮尔逊最优检测器为估计—相关器</w:t>
      </w:r>
      <w:r>
        <w:rPr>
          <w:vertAlign w:val="superscript"/>
        </w:rPr>
        <w:t xml:space="preserve">[19]</w:t>
      </w:r>
    </w:p>
    <w:tbl>
      <w:tblPr>
        <w:tblW w:w="9070" w:type="dxa"/>
        <w:jc w:val="center"/>
        <w:tblBorders>
          <w:top w:val="nil"/>
          <w:left w:val="nil"/>
          <w:bottom w:val="nil"/>
          <w:right w:val="nil"/>
          <w:insideH w:val="nil"/>
          <w:insideV w:val="nil"/>
        </w:tblBorders>
        <w:tblLayout w:type="fixed"/>
        <w:tblCellMar>
          <w:left w:w="0" w:type="dxa"/>
          <w:right w:w="0" w:type="dxa"/>
        </w:tblCellMar>
        <w:tblLook w:val="0000" w:firstRow="0" w:lastRow="0" w:firstColumn="0" w:lastColumn="0" w:noHBand="1" w:noVBand="1"/>
      </w:tblPr>
      <w:tblGrid>
        <w:gridCol w:w="900"/>
        <w:gridCol w:w="7270"/>
        <w:gridCol w:w="900"/>
      </w:tblGrid>
      <w:tr>
        <w:trPr>
          <w:cantSplit/>
        </w:trPr>
        <w:tc>
          <w:tcPr>
            <w:tcW w:w="900" w:type="dxa"/>
            <w:vAlign w:val="center"/>
          </w:tcPr>
          <w:p>
            <w:pPr>
              <w:spacing w:before="0" w:after="0"/>
            </w:pPr>
          </w:p>
        </w:tc>
        <w:tc>
          <w:tcPr>
            <w:tcW w:w="7270" w:type="dxa"/>
            <w:vAlign w:val="center"/>
          </w:tcPr>
          <w:p>
            <w:pPr>
              <w:spacing w:before="20" w:after="20" w:line="240" w:lineRule="auto"/>
              <w:jc w:val="center"/>
            </w:pPr>
            <m:oMathPara>
              <m:oMathParaPr>
                <m:jc m:val="center"/>
              </m:oMathParaPr>
              <m:oMath>
                <m:sSub>
                  <m:e>
                    <m:r>
                      <m:t>T</m:t>
                    </m:r>
                  </m:e>
                  <m:sub>
                    <m:r>
                      <m:rPr>
                        <m:sty m:val="p"/>
                      </m:rPr>
                      <m:t>E</m:t>
                    </m:r>
                    <m:r>
                      <m:rPr>
                        <m:sty m:val="p"/>
                      </m:rPr>
                      <m:t>C</m:t>
                    </m:r>
                  </m:sub>
                </m:sSub>
                <m:d>
                  <m:dPr>
                    <m:begChr m:val="("/>
                    <m:sepChr m:val=""/>
                    <m:endChr m:val=")"/>
                    <m:grow/>
                  </m:dPr>
                  <m:e>
                    <m:r>
                      <m:rPr>
                        <m:sty m:val="b"/>
                      </m:rPr>
                      <m:t>θ</m:t>
                    </m:r>
                  </m:e>
                </m:d>
                <m:r>
                  <m:rPr>
                    <m:sty m:val="p"/>
                  </m:rPr>
                  <m:t>=</m:t>
                </m:r>
                <m:sSubSup>
                  <m:e>
                    <m:acc>
                      <m:accPr>
                        <m:chr m:val="̃"/>
                      </m:accPr>
                      <m:e>
                        <m:r>
                          <m:rPr>
                            <m:sty m:val="b"/>
                          </m:rPr>
                          <m:t>z</m:t>
                        </m:r>
                      </m:e>
                    </m:acc>
                  </m:e>
                  <m:sub>
                    <m:r>
                      <m:t>Φ</m:t>
                    </m:r>
                  </m:sub>
                  <m:sup>
                    <m:r>
                      <m:rPr>
                        <m:sty m:val="p"/>
                      </m:rPr>
                      <m:t>H</m:t>
                    </m:r>
                  </m:sup>
                </m:sSubSup>
                <m:r>
                  <m:rPr>
                    <m:sty m:val="b"/>
                  </m:rPr>
                  <m:t>P</m:t>
                </m:r>
                <m:sSup>
                  <m:e>
                    <m:d>
                      <m:dPr>
                        <m:begChr m:val="("/>
                        <m:sepChr m:val=""/>
                        <m:endChr m:val=")"/>
                        <m:grow/>
                      </m:dPr>
                      <m:e>
                        <m:r>
                          <m:rPr>
                            <m:sty m:val="b"/>
                          </m:rPr>
                          <m:t>P</m:t>
                        </m:r>
                        <m:r>
                          <m:rPr>
                            <m:sty m:val="p"/>
                          </m:rPr>
                          <m:t>+</m:t>
                        </m:r>
                        <m:r>
                          <m:rPr>
                            <m:sty m:val="b"/>
                          </m:rPr>
                          <m:t>I</m:t>
                        </m:r>
                      </m:e>
                    </m:d>
                  </m:e>
                  <m:sup>
                    <m:r>
                      <m:rPr>
                        <m:sty m:val="p"/>
                      </m:rPr>
                      <m:t>−</m:t>
                    </m:r>
                    <m:r>
                      <m:t>1</m:t>
                    </m:r>
                  </m:sup>
                </m:sSup>
                <m:sSub>
                  <m:e>
                    <m:acc>
                      <m:accPr>
                        <m:chr m:val="̃"/>
                      </m:accPr>
                      <m:e>
                        <m:r>
                          <m:rPr>
                            <m:sty m:val="b"/>
                          </m:rPr>
                          <m:t>z</m:t>
                        </m:r>
                      </m:e>
                    </m:acc>
                  </m:e>
                  <m:sub>
                    <m:r>
                      <m:t>Φ</m:t>
                    </m:r>
                  </m:sub>
                </m:sSub>
                <m:r>
                  <m:rPr>
                    <m:sty m:val="p"/>
                  </m:rPr>
                  <m:t>,</m:t>
                </m:r>
                <m:r>
                  <m:t>  </m:t>
                </m:r>
                <m:r>
                  <m:rPr>
                    <m:sty m:val="b"/>
                  </m:rPr>
                  <m:t>P</m:t>
                </m:r>
                <m:r>
                  <m:rPr>
                    <m:sty m:val="p"/>
                  </m:rPr>
                  <m:t>=</m:t>
                </m:r>
                <m:sSup>
                  <m:e>
                    <m:r>
                      <m:rPr>
                        <m:sty m:val="b"/>
                      </m:rPr>
                      <m:t>S</m:t>
                    </m:r>
                  </m:e>
                  <m:sup>
                    <m:r>
                      <m:t>1</m:t>
                    </m:r>
                    <m:r>
                      <m:rPr>
                        <m:sty m:val="p"/>
                      </m:rPr>
                      <m:t>/</m:t>
                    </m:r>
                    <m:r>
                      <m:t>2</m:t>
                    </m:r>
                  </m:sup>
                </m:sSup>
                <m:r>
                  <m:rPr>
                    <m:sty m:val="b"/>
                  </m:rPr>
                  <m:t>C</m:t>
                </m:r>
                <m:r>
                  <m:t> </m:t>
                </m:r>
                <m:sSup>
                  <m:e>
                    <m:r>
                      <m:rPr>
                        <m:sty m:val="b"/>
                      </m:rPr>
                      <m:t>S</m:t>
                    </m:r>
                  </m:e>
                  <m:sup>
                    <m:r>
                      <m:t>1</m:t>
                    </m:r>
                    <m:r>
                      <m:rPr>
                        <m:sty m:val="p"/>
                      </m:rPr>
                      <m:t>/</m:t>
                    </m:r>
                    <m:r>
                      <m:t>2</m:t>
                    </m:r>
                  </m:sup>
                </m:sSup>
              </m:oMath>
            </m:oMathPara>
          </w:p>
        </w:tc>
        <w:tc>
          <w:tcPr>
            <w:tcW w:w="900" w:type="dxa"/>
            <w:vAlign w:val="center"/>
          </w:tcPr>
          <w:p>
            <w:pPr>
              <w:spacing w:before="0" w:after="0"/>
              <w:jc w:val="right"/>
            </w:pPr>
            <w:r>
              <w:t xml:space="preserve">(26)</w:t>
            </w:r>
          </w:p>
        </w:tc>
      </w:tr>
    </w:tbl>
    <w:p>
      <w:pPr>
        <w:pStyle w:val="FirstParagraph"/>
        <w:ind w:firstLineChars="0" w:firstLine="0"/>
      </w:pPr>
      <w:r>
        <w:t xml:space="preserve">式中，</w:t>
      </w:r>
      <m:oMath>
        <m:sSub>
          <m:e>
            <m:acc>
              <m:accPr>
                <m:chr m:val="̃"/>
              </m:accPr>
              <m:e>
                <m:r>
                  <m:rPr>
                    <m:sty m:val="b"/>
                  </m:rPr>
                  <m:t>z</m:t>
                </m:r>
              </m:e>
            </m:acc>
          </m:e>
          <m:sub>
            <m:r>
              <m:t>Φ</m:t>
            </m:r>
          </m:sub>
        </m:sSub>
      </m:oMath>
      <w:r>
        <w:t xml:space="preserve"> </w:t>
      </w:r>
      <w:r>
        <w:t xml:space="preserve">为相位补偿后的链路输出向量，</w:t>
      </w:r>
      <m:oMath>
        <m:r>
          <m:rPr>
            <m:sty m:val="b"/>
          </m:rPr>
          <m:t>S</m:t>
        </m:r>
        <m:r>
          <m:rPr>
            <m:sty m:val="p"/>
          </m:rPr>
          <m:t>=</m:t>
        </m:r>
        <m:r>
          <m:rPr>
            <m:sty m:val="p"/>
          </m:rPr>
          <m:t>d</m:t>
        </m:r>
        <m:r>
          <m:rPr>
            <m:sty m:val="p"/>
          </m:rPr>
          <m:t>i</m:t>
        </m:r>
        <m:r>
          <m:rPr>
            <m:sty m:val="p"/>
          </m:rPr>
          <m:t>a</m:t>
        </m:r>
        <m:r>
          <m:rPr>
            <m:sty m:val="p"/>
          </m:rPr>
          <m:t>g</m:t>
        </m:r>
        <m:d>
          <m:dPr>
            <m:begChr m:val="("/>
            <m:sepChr m:val=""/>
            <m:endChr m:val=")"/>
            <m:grow/>
          </m:dPr>
          <m:e>
            <m:sSubSup>
              <m:e>
                <m:r>
                  <m:t>s</m:t>
                </m:r>
              </m:e>
              <m:sub>
                <m:r>
                  <m:t>1</m:t>
                </m:r>
              </m:sub>
              <m:sup>
                <m:r>
                  <m:t>2</m:t>
                </m:r>
              </m:sup>
            </m:sSubSup>
            <m:r>
              <m:rPr>
                <m:sty m:val="p"/>
              </m:rPr>
              <m:t>,</m:t>
            </m:r>
            <m:r>
              <m:rPr>
                <m:sty m:val="p"/>
              </m:rPr>
              <m:t>⋯</m:t>
            </m:r>
            <m:r>
              <m:rPr>
                <m:sty m:val="p"/>
              </m:rPr>
              <m:t>,</m:t>
            </m:r>
            <m:sSubSup>
              <m:e>
                <m:r>
                  <m:t>s</m:t>
                </m:r>
              </m:e>
              <m:sub>
                <m:r>
                  <m:t>L</m:t>
                </m:r>
              </m:sub>
              <m:sup>
                <m:r>
                  <m:t>2</m:t>
                </m:r>
              </m:sup>
            </m:sSubSup>
          </m:e>
        </m:d>
      </m:oMath>
      <w:r>
        <w:t xml:space="preserve">。</w:t>
      </w:r>
      <m:oMath>
        <m:r>
          <m:rPr>
            <m:sty m:val="b"/>
          </m:rPr>
          <m:t>C</m:t>
        </m:r>
        <m:r>
          <m:rPr>
            <m:sty m:val="p"/>
          </m:rPr>
          <m:t>=</m:t>
        </m:r>
        <m:r>
          <m:rPr>
            <m:sty m:val="b"/>
          </m:rPr>
          <m:t>1</m:t>
        </m:r>
        <m:sSup>
          <m:e>
            <m:r>
              <m:rPr>
                <m:sty m:val="b"/>
              </m:rPr>
              <m:t>1</m:t>
            </m:r>
          </m:e>
          <m:sup>
            <m:r>
              <m:rPr>
                <m:sty m:val="p"/>
              </m:rPr>
              <m:t>T</m:t>
            </m:r>
          </m:sup>
        </m:sSup>
      </m:oMath>
      <w:r>
        <w:t xml:space="preserve"> </w:t>
      </w:r>
      <w:r>
        <w:t xml:space="preserve">时退化为全相参融合，</w:t>
      </w:r>
      <m:oMath>
        <m:r>
          <m:rPr>
            <m:sty m:val="b"/>
          </m:rPr>
          <m:t>C</m:t>
        </m:r>
        <m:r>
          <m:rPr>
            <m:sty m:val="p"/>
          </m:rPr>
          <m:t>=</m:t>
        </m:r>
        <m:r>
          <m:rPr>
            <m:sty m:val="b"/>
          </m:rPr>
          <m:t>I</m:t>
        </m:r>
      </m:oMath>
      <w:r>
        <w:t xml:space="preserve"> </w:t>
      </w:r>
      <w:r>
        <w:t xml:space="preserve">时退化为非相参融合，</w:t>
      </w:r>
      <m:oMath>
        <m:r>
          <m:rPr>
            <m:sty m:val="b"/>
          </m:rPr>
          <m:t>C</m:t>
        </m:r>
      </m:oMath>
      <w:r>
        <w:t xml:space="preserve"> </w:t>
      </w:r>
      <w:r>
        <w:t xml:space="preserve">为块对角全1矩阵时退化为分组相参融合。</w:t>
      </w:r>
    </w:p>
    <w:p>
      <w:pPr>
        <w:pStyle w:val="CaptionedFigure"/>
      </w:pPr>
      <w:r>
        <w:drawing>
          <wp:inline>
            <wp:extent cx="5334000" cy="1720645"/>
            <wp:effectExtent b="0" l="0" r="0" t="0"/>
            <wp:docPr descr="图5 10条链路的四种融合模式" title="" id="58" name="Picture"/>
            <a:graphic>
              <a:graphicData uri="http://schemas.openxmlformats.org/drawingml/2006/picture">
                <pic:pic>
                  <pic:nvPicPr>
                    <pic:cNvPr descr="figures/fig_modes.png" id="59" name="Picture"/>
                    <pic:cNvPicPr>
                      <a:picLocks noChangeArrowheads="1" noChangeAspect="1"/>
                    </pic:cNvPicPr>
                  </pic:nvPicPr>
                  <pic:blipFill>
                    <a:blip r:embed="rId57"/>
                    <a:stretch>
                      <a:fillRect/>
                    </a:stretch>
                  </pic:blipFill>
                  <pic:spPr bwMode="auto">
                    <a:xfrm>
                      <a:off x="0" y="0"/>
                      <a:ext cx="5334000" cy="1720645"/>
                    </a:xfrm>
                    <a:prstGeom prst="rect">
                      <a:avLst/>
                    </a:prstGeom>
                    <a:noFill/>
                    <a:ln w="9525">
                      <a:noFill/>
                      <a:headEnd/>
                      <a:tailEnd/>
                    </a:ln>
                  </pic:spPr>
                </pic:pic>
              </a:graphicData>
            </a:graphic>
          </wp:inline>
        </w:drawing>
      </w:r>
    </w:p>
    <w:p>
      <w:pPr>
        <w:pStyle w:val="ImageCaption"/>
      </w:pPr>
      <w:r>
        <w:t xml:space="preserve">图5 10条链路的四种融合模式</w:t>
      </w:r>
    </w:p>
    <w:bookmarkEnd w:id="60"/>
    <w:bookmarkStart w:id="61" w:name="目标状态空间粗精两级搜索"/>
    <w:p>
      <w:pPr>
        <w:pStyle w:val="Heading2"/>
      </w:pPr>
      <w:r>
        <w:t xml:space="preserve">6.3 目标状态空间“粗—精”两级搜索</w:t>
      </w:r>
    </w:p>
    <w:p>
      <w:pPr>
        <w:pStyle w:val="FirstParagraph"/>
      </w:pPr>
      <w:r>
        <w:t xml:space="preserve">相参统计量中的几何相位随目标位置以</w:t>
      </w:r>
      <w:r>
        <w:t xml:space="preserve"> </w:t>
      </w:r>
      <m:oMath>
        <m:r>
          <m:t>1</m:t>
        </m:r>
        <m:r>
          <m:rPr>
            <m:sty m:val="p"/>
          </m:rPr>
          <m:t>/</m:t>
        </m:r>
        <m:d>
          <m:dPr>
            <m:begChr m:val="∥"/>
            <m:sepChr m:val=""/>
            <m:endChr m:val="∥"/>
            <m:grow/>
          </m:dPr>
          <m:e>
            <m:r>
              <m:t>Δ</m:t>
            </m:r>
            <m:r>
              <m:rPr>
                <m:sty m:val="b"/>
              </m:rPr>
              <m:t>k</m:t>
            </m:r>
          </m:e>
        </m:d>
      </m:oMath>
      <w:r>
        <w:t xml:space="preserve"> </w:t>
      </w:r>
      <w:r>
        <w:t xml:space="preserve">为周期变化（本例最短约 2.3 m），远小于非相参融合的分辨单元（本例距离向约20 m、横向数百米）。若直接在全监视区以亚波长网格计算</w:t>
      </w:r>
      <w:r>
        <w:t xml:space="preserve"> </w:t>
      </w:r>
      <m:oMath>
        <m:sSub>
          <m:e>
            <m:r>
              <m:t>T</m:t>
            </m:r>
          </m:e>
          <m:sub>
            <m:r>
              <m:rPr>
                <m:sty m:val="p"/>
              </m:rPr>
              <m:t>C</m:t>
            </m:r>
          </m:sub>
        </m:sSub>
      </m:oMath>
      <w:r>
        <w:t xml:space="preserve">，运算量过大。为此采用两级搜索：</w:t>
      </w:r>
    </w:p>
    <w:p>
      <w:pPr>
        <w:pStyle w:val="BodyText"/>
      </w:pPr>
      <w:r>
        <w:rPr>
          <w:b/>
          <w:bCs/>
        </w:rPr>
        <w:t xml:space="preserve">第一级：非相参粗检测。</w:t>
      </w:r>
      <w:r>
        <w:t xml:space="preserve">在目标状态空间布设粗网格（位置间隔不大于非相参分辨单元的一半，速度间隔对应一个多普勒单元），按式(24)计算</w:t>
      </w:r>
      <w:r>
        <w:t xml:space="preserve"> </w:t>
      </w:r>
      <m:oMath>
        <m:sSub>
          <m:e>
            <m:r>
              <m:t>T</m:t>
            </m:r>
          </m:e>
          <m:sub>
            <m:r>
              <m:rPr>
                <m:sty m:val="p"/>
              </m:rPr>
              <m:t>N</m:t>
            </m:r>
          </m:sub>
        </m:sSub>
      </m:oMath>
      <w:r>
        <w:t xml:space="preserve">，以较低门限（如单元虚警概率</w:t>
      </w:r>
      <w:r>
        <w:t xml:space="preserve"> </w:t>
      </w:r>
      <m:oMath>
        <m:sSup>
          <m:e>
            <m:r>
              <m:t>10</m:t>
            </m:r>
          </m:e>
          <m:sup>
            <m:r>
              <m:rPr>
                <m:sty m:val="p"/>
              </m:rPr>
              <m:t>−</m:t>
            </m:r>
            <m:r>
              <m:t>3</m:t>
            </m:r>
          </m:sup>
        </m:sSup>
      </m:oMath>
      <w:r>
        <w:t xml:space="preserve">）选出候选单元。</w:t>
      </w:r>
    </w:p>
    <w:p>
      <w:pPr>
        <w:pStyle w:val="BodyText"/>
      </w:pPr>
      <w:r>
        <w:rPr>
          <w:b/>
          <w:bCs/>
        </w:rPr>
        <w:t xml:space="preserve">第二级：相参精搜索。</w:t>
      </w:r>
      <w:r>
        <w:t xml:space="preserve">在每个候选单元</w:t>
      </w:r>
      <w:r>
        <w:t xml:space="preserve"> </w:t>
      </w:r>
      <m:oMath>
        <m:sSub>
          <m:e>
            <m:r>
              <m:t>Ω</m:t>
            </m:r>
          </m:e>
          <m:sub>
            <m:r>
              <m:t>c</m:t>
            </m:r>
          </m:sub>
        </m:sSub>
      </m:oMath>
      <w:r>
        <w:t xml:space="preserve"> </w:t>
      </w:r>
      <w:r>
        <w:t xml:space="preserve">内以不大于</w:t>
      </w:r>
      <w:r>
        <w:t xml:space="preserve"> </w:t>
      </w:r>
      <m:oMath>
        <m:r>
          <m:t>1</m:t>
        </m:r>
        <m:r>
          <m:rPr>
            <m:sty m:val="p"/>
          </m:rPr>
          <m:t>/</m:t>
        </m:r>
        <m:d>
          <m:dPr>
            <m:begChr m:val="("/>
            <m:sepChr m:val=""/>
            <m:endChr m:val=")"/>
            <m:grow/>
          </m:dPr>
          <m:e>
            <m:r>
              <m:t>4</m:t>
            </m:r>
            <m:r>
              <m:rPr>
                <m:sty m:val="p"/>
              </m:rPr>
              <m:t>max</m:t>
            </m:r>
            <m:d>
              <m:dPr>
                <m:begChr m:val="∥"/>
                <m:sepChr m:val=""/>
                <m:endChr m:val="∥"/>
                <m:grow/>
              </m:dPr>
              <m:e>
                <m:r>
                  <m:t>Δ</m:t>
                </m:r>
                <m:r>
                  <m:rPr>
                    <m:sty m:val="b"/>
                  </m:rPr>
                  <m:t>k</m:t>
                </m:r>
              </m:e>
            </m:d>
          </m:e>
        </m:d>
      </m:oMath>
      <w:r>
        <w:t xml:space="preserve"> </w:t>
      </w:r>
      <w:r>
        <w:t xml:space="preserve">的步长搜索位置偏移</w:t>
      </w:r>
      <w:r>
        <w:t xml:space="preserve"> </w:t>
      </w:r>
      <m:oMath>
        <m:r>
          <m:t>δ</m:t>
        </m:r>
        <m:r>
          <m:rPr>
            <m:sty m:val="b"/>
          </m:rPr>
          <m:t>p</m:t>
        </m:r>
      </m:oMath>
      <w:r>
        <w:t xml:space="preserve">。由于单元内回波包络基本不变，只需更新相位：</w:t>
      </w:r>
    </w:p>
    <w:tbl>
      <w:tblPr>
        <w:tblW w:w="9070" w:type="dxa"/>
        <w:jc w:val="center"/>
        <w:tblBorders>
          <w:top w:val="nil"/>
          <w:left w:val="nil"/>
          <w:bottom w:val="nil"/>
          <w:right w:val="nil"/>
          <w:insideH w:val="nil"/>
          <w:insideV w:val="nil"/>
        </w:tblBorders>
        <w:tblLayout w:type="fixed"/>
        <w:tblCellMar>
          <w:left w:w="0" w:type="dxa"/>
          <w:right w:w="0" w:type="dxa"/>
        </w:tblCellMar>
        <w:tblLook w:val="0000" w:firstRow="0" w:lastRow="0" w:firstColumn="0" w:lastColumn="0" w:noHBand="1" w:noVBand="1"/>
      </w:tblPr>
      <w:tblGrid>
        <w:gridCol w:w="900"/>
        <w:gridCol w:w="7270"/>
        <w:gridCol w:w="900"/>
      </w:tblGrid>
      <w:tr>
        <w:trPr>
          <w:cantSplit/>
        </w:trPr>
        <w:tc>
          <w:tcPr>
            <w:tcW w:w="900" w:type="dxa"/>
            <w:vAlign w:val="center"/>
          </w:tcPr>
          <w:p>
            <w:pPr>
              <w:spacing w:before="0" w:after="0"/>
            </w:pPr>
          </w:p>
        </w:tc>
        <w:tc>
          <w:tcPr>
            <w:tcW w:w="7270" w:type="dxa"/>
            <w:vAlign w:val="center"/>
          </w:tcPr>
          <w:p>
            <w:pPr>
              <w:spacing w:before="20" w:after="20" w:line="240" w:lineRule="auto"/>
              <w:jc w:val="center"/>
            </w:pPr>
            <m:oMathPara>
              <m:oMathParaPr>
                <m:jc m:val="center"/>
              </m:oMathParaPr>
              <m:oMath>
                <m:sSub>
                  <m:e>
                    <m:r>
                      <m:t>T</m:t>
                    </m:r>
                  </m:e>
                  <m:sub>
                    <m:r>
                      <m:rPr>
                        <m:sty m:val="p"/>
                      </m:rPr>
                      <m:t>C</m:t>
                    </m:r>
                  </m:sub>
                </m:sSub>
                <m:d>
                  <m:dPr>
                    <m:begChr m:val="("/>
                    <m:sepChr m:val=""/>
                    <m:endChr m:val=")"/>
                    <m:grow/>
                  </m:dPr>
                  <m:e>
                    <m:sSub>
                      <m:e>
                        <m:r>
                          <m:rPr>
                            <m:sty m:val="b"/>
                          </m:rPr>
                          <m:t>θ</m:t>
                        </m:r>
                      </m:e>
                      <m:sub>
                        <m:r>
                          <m:t>c</m:t>
                        </m:r>
                      </m:sub>
                    </m:sSub>
                  </m:e>
                </m:d>
                <m:r>
                  <m:rPr>
                    <m:sty m:val="p"/>
                  </m:rPr>
                  <m:t>=</m:t>
                </m:r>
                <m:limLow>
                  <m:e>
                    <m:r>
                      <m:rPr>
                        <m:sty m:val="p"/>
                      </m:rPr>
                      <m:t>max</m:t>
                    </m:r>
                  </m:e>
                  <m:lim>
                    <m:r>
                      <m:t>δ</m:t>
                    </m:r>
                    <m:r>
                      <m:rPr>
                        <m:sty m:val="b"/>
                      </m:rPr>
                      <m:t>p</m:t>
                    </m:r>
                    <m:r>
                      <m:rPr>
                        <m:sty m:val="p"/>
                      </m:rPr>
                      <m:t>∈</m:t>
                    </m:r>
                    <m:sSub>
                      <m:e>
                        <m:r>
                          <m:t>Ω</m:t>
                        </m:r>
                      </m:e>
                      <m:sub>
                        <m:r>
                          <m:t>c</m:t>
                        </m:r>
                      </m:sub>
                    </m:sSub>
                  </m:lim>
                </m:limLow>
                <m:f>
                  <m:fPr>
                    <m:type m:val="bar"/>
                  </m:fPr>
                  <m:num>
                    <m:sSup>
                      <m:e>
                        <m:d>
                          <m:dPr>
                            <m:begChr m:val="|"/>
                            <m:sepChr m:val=""/>
                            <m:endChr m:val="|"/>
                            <m:grow/>
                          </m:dPr>
                          <m:e>
                            <m:nary>
                              <m:naryPr>
                                <m:chr m:val="∑"/>
                                <m:limLoc m:val="undOvr"/>
                                <m:subHide m:val="off"/>
                                <m:supHide m:val="off"/>
                              </m:naryPr>
                              <m:sub>
                                <m:r>
                                  <m:t>l</m:t>
                                </m:r>
                                <m:r>
                                  <m:rPr>
                                    <m:sty m:val="p"/>
                                  </m:rPr>
                                  <m:t>=</m:t>
                                </m:r>
                                <m:r>
                                  <m:t>1</m:t>
                                </m:r>
                              </m:sub>
                              <m:sup>
                                <m:r>
                                  <m:t>L</m:t>
                                </m:r>
                              </m:sup>
                              <m:e>
                                <m:sSub>
                                  <m:e>
                                    <m:r>
                                      <m:t>w</m:t>
                                    </m:r>
                                  </m:e>
                                  <m:sub>
                                    <m:r>
                                      <m:t>l</m:t>
                                    </m:r>
                                  </m:sub>
                                </m:sSub>
                              </m:e>
                            </m:nary>
                            <m:r>
                              <m:t> </m:t>
                            </m:r>
                            <m:sSub>
                              <m:e>
                                <m:acc>
                                  <m:accPr>
                                    <m:chr m:val="̃"/>
                                  </m:accPr>
                                  <m:e>
                                    <m:r>
                                      <m:t>z</m:t>
                                    </m:r>
                                  </m:e>
                                </m:acc>
                              </m:e>
                              <m:sub>
                                <m:r>
                                  <m:t>l</m:t>
                                </m:r>
                              </m:sub>
                            </m:sSub>
                            <m:d>
                              <m:dPr>
                                <m:begChr m:val="("/>
                                <m:sepChr m:val=""/>
                                <m:endChr m:val=")"/>
                                <m:grow/>
                              </m:dPr>
                              <m:e>
                                <m:sSub>
                                  <m:e>
                                    <m:r>
                                      <m:rPr>
                                        <m:sty m:val="b"/>
                                      </m:rPr>
                                      <m:t>θ</m:t>
                                    </m:r>
                                  </m:e>
                                  <m:sub>
                                    <m:r>
                                      <m:t>c</m:t>
                                    </m:r>
                                  </m:sub>
                                </m:sSub>
                              </m:e>
                            </m:d>
                            <m:r>
                              <m:t> </m:t>
                            </m:r>
                            <m:sSup>
                              <m:e>
                                <m:r>
                                  <m:t>e</m:t>
                                </m:r>
                              </m:e>
                              <m:sup>
                                <m:r>
                                  <m:rPr>
                                    <m:sty m:val="p"/>
                                  </m:rPr>
                                  <m:t>j</m:t>
                                </m:r>
                                <m:sSub>
                                  <m:e>
                                    <m:acc>
                                      <m:accPr>
                                        <m:chr m:val="̂"/>
                                      </m:accPr>
                                      <m:e>
                                        <m:r>
                                          <m:t>Φ</m:t>
                                        </m:r>
                                      </m:e>
                                    </m:acc>
                                  </m:e>
                                  <m:sub>
                                    <m:r>
                                      <m:t>l</m:t>
                                    </m:r>
                                  </m:sub>
                                </m:sSub>
                                <m:d>
                                  <m:dPr>
                                    <m:begChr m:val="("/>
                                    <m:sepChr m:val=""/>
                                    <m:endChr m:val=")"/>
                                    <m:grow/>
                                  </m:dPr>
                                  <m:e>
                                    <m:sSub>
                                      <m:e>
                                        <m:r>
                                          <m:rPr>
                                            <m:sty m:val="b"/>
                                          </m:rPr>
                                          <m:t>θ</m:t>
                                        </m:r>
                                      </m:e>
                                      <m:sub>
                                        <m:r>
                                          <m:t>c</m:t>
                                        </m:r>
                                      </m:sub>
                                    </m:sSub>
                                  </m:e>
                                </m:d>
                              </m:sup>
                            </m:sSup>
                            <m:r>
                              <m:t> </m:t>
                            </m:r>
                            <m:sSup>
                              <m:e>
                                <m:r>
                                  <m:t>e</m:t>
                                </m:r>
                              </m:e>
                              <m:sup>
                                <m:r>
                                  <m:rPr>
                                    <m:sty m:val="p"/>
                                  </m:rPr>
                                  <m:t>j</m:t>
                                </m:r>
                                <m:r>
                                  <m:t>2</m:t>
                                </m:r>
                                <m:r>
                                  <m:t>π</m:t>
                                </m:r>
                                <m:sSubSup>
                                  <m:e>
                                    <m:r>
                                      <m:rPr>
                                        <m:sty m:val="b"/>
                                      </m:rPr>
                                      <m:t>k</m:t>
                                    </m:r>
                                  </m:e>
                                  <m:sub>
                                    <m:r>
                                      <m:t>l</m:t>
                                    </m:r>
                                  </m:sub>
                                  <m:sup>
                                    <m:r>
                                      <m:rPr>
                                        <m:sty m:val="p"/>
                                      </m:rPr>
                                      <m:t>T</m:t>
                                    </m:r>
                                  </m:sup>
                                </m:sSubSup>
                                <m:r>
                                  <m:t>δ</m:t>
                                </m:r>
                                <m:r>
                                  <m:rPr>
                                    <m:sty m:val="b"/>
                                  </m:rPr>
                                  <m:t>p</m:t>
                                </m:r>
                              </m:sup>
                            </m:sSup>
                          </m:e>
                        </m:d>
                      </m:e>
                      <m:sup>
                        <m:r>
                          <m:t>2</m:t>
                        </m:r>
                      </m:sup>
                    </m:sSup>
                  </m:num>
                  <m:den>
                    <m:nary>
                      <m:naryPr>
                        <m:chr m:val="∑"/>
                        <m:limLoc m:val="undOvr"/>
                        <m:subHide m:val="off"/>
                        <m:supHide m:val="off"/>
                      </m:naryPr>
                      <m:sub>
                        <m:r>
                          <m:t>l</m:t>
                        </m:r>
                        <m:r>
                          <m:rPr>
                            <m:sty m:val="p"/>
                          </m:rPr>
                          <m:t>=</m:t>
                        </m:r>
                        <m:r>
                          <m:t>1</m:t>
                        </m:r>
                      </m:sub>
                      <m:sup>
                        <m:r>
                          <m:t>L</m:t>
                        </m:r>
                      </m:sup>
                      <m:e>
                        <m:sSubSup>
                          <m:e>
                            <m:r>
                              <m:t>w</m:t>
                            </m:r>
                          </m:e>
                          <m:sub>
                            <m:r>
                              <m:t>l</m:t>
                            </m:r>
                          </m:sub>
                          <m:sup>
                            <m:r>
                              <m:t>2</m:t>
                            </m:r>
                          </m:sup>
                        </m:sSubSup>
                      </m:e>
                    </m:nary>
                  </m:den>
                </m:f>
              </m:oMath>
            </m:oMathPara>
          </w:p>
        </w:tc>
        <w:tc>
          <w:tcPr>
            <w:tcW w:w="900" w:type="dxa"/>
            <w:vAlign w:val="center"/>
          </w:tcPr>
          <w:p>
            <w:pPr>
              <w:spacing w:before="0" w:after="0"/>
              <w:jc w:val="right"/>
            </w:pPr>
            <w:r>
              <w:t xml:space="preserve">(27)</w:t>
            </w:r>
          </w:p>
        </w:tc>
      </w:tr>
    </w:tbl>
    <w:p>
      <w:pPr>
        <w:pStyle w:val="FirstParagraph"/>
      </w:pPr>
      <w:r>
        <w:t xml:space="preserve">式(27)可写成“候选单元×链路”矩阵与“链路×精细偏移”相位矩阵之积，适合GPU并行或非均匀FFT加速。相参精搜索在完成检测的同时给出波长量级的目标位置估计</w:t>
      </w:r>
      <w:r>
        <w:rPr>
          <w:vertAlign w:val="superscript"/>
        </w:rPr>
        <w:t xml:space="preserve">[7]</w:t>
      </w:r>
      <w:r>
        <w:t xml:space="preserve">。</w:t>
      </w:r>
    </w:p>
    <w:bookmarkEnd w:id="61"/>
    <w:bookmarkStart w:id="62" w:name="检测门限与相参性自适应判决"/>
    <w:p>
      <w:pPr>
        <w:pStyle w:val="Heading2"/>
      </w:pPr>
      <w:r>
        <w:t xml:space="preserve">6.4 检测门限与相参性自适应判决</w:t>
      </w:r>
    </w:p>
    <w:p>
      <w:pPr>
        <w:pStyle w:val="FirstParagraph"/>
      </w:pPr>
      <w:r>
        <w:t xml:space="preserve">非相参支路的门限由伽马分布给出，</w:t>
      </w:r>
      <m:oMath>
        <m:sSub>
          <m:e>
            <m:r>
              <m:t>η</m:t>
            </m:r>
          </m:e>
          <m:sub>
            <m:r>
              <m:rPr>
                <m:sty m:val="p"/>
              </m:rPr>
              <m:t>N</m:t>
            </m:r>
          </m:sub>
        </m:sSub>
        <m:r>
          <m:rPr>
            <m:sty m:val="p"/>
          </m:rPr>
          <m:t>=</m:t>
        </m:r>
        <m:sSup>
          <m:e>
            <m:r>
              <m:t>Γ</m:t>
            </m:r>
          </m:e>
          <m:sup>
            <m:r>
              <m:rPr>
                <m:sty m:val="p"/>
              </m:rPr>
              <m:t>−</m:t>
            </m:r>
            <m:r>
              <m:t>1</m:t>
            </m:r>
          </m:sup>
        </m:sSup>
        <m:d>
          <m:dPr>
            <m:begChr m:val="("/>
            <m:sepChr m:val=""/>
            <m:endChr m:val=")"/>
            <m:grow/>
          </m:dPr>
          <m:e>
            <m:r>
              <m:t>1</m:t>
            </m:r>
            <m:r>
              <m:rPr>
                <m:sty m:val="p"/>
              </m:rPr>
              <m:t>−</m:t>
            </m:r>
            <m:sSub>
              <m:e>
                <m:r>
                  <m:t>P</m:t>
                </m:r>
              </m:e>
              <m:sub>
                <m:r>
                  <m:rPr>
                    <m:sty m:val="p"/>
                  </m:rPr>
                  <m:t>f</m:t>
                </m:r>
                <m:r>
                  <m:rPr>
                    <m:sty m:val="p"/>
                  </m:rPr>
                  <m:t>a</m:t>
                </m:r>
              </m:sub>
            </m:sSub>
            <m:r>
              <m:rPr>
                <m:sty m:val="p"/>
              </m:rPr>
              <m:t>;</m:t>
            </m:r>
            <m:r>
              <m:t>L</m:t>
            </m:r>
          </m:e>
        </m:d>
      </m:oMath>
      <w:r>
        <w:t xml:space="preserve">。相参支路在每个粗单元内对约</w:t>
      </w:r>
      <w:r>
        <w:t xml:space="preserve"> </w:t>
      </w:r>
      <m:oMath>
        <m:r>
          <m:t>M</m:t>
        </m:r>
      </m:oMath>
      <w:r>
        <w:t xml:space="preserve"> </w:t>
      </w:r>
      <w:r>
        <w:t xml:space="preserve">个等效独立的精细位置取最大值，为保持相同的单位面积虚警率，其门限应提高为</w:t>
      </w:r>
    </w:p>
    <w:tbl>
      <w:tblPr>
        <w:tblW w:w="9070" w:type="dxa"/>
        <w:jc w:val="center"/>
        <w:tblBorders>
          <w:top w:val="nil"/>
          <w:left w:val="nil"/>
          <w:bottom w:val="nil"/>
          <w:right w:val="nil"/>
          <w:insideH w:val="nil"/>
          <w:insideV w:val="nil"/>
        </w:tblBorders>
        <w:tblLayout w:type="fixed"/>
        <w:tblCellMar>
          <w:left w:w="0" w:type="dxa"/>
          <w:right w:w="0" w:type="dxa"/>
        </w:tblCellMar>
        <w:tblLook w:val="0000" w:firstRow="0" w:lastRow="0" w:firstColumn="0" w:lastColumn="0" w:noHBand="1" w:noVBand="1"/>
      </w:tblPr>
      <w:tblGrid>
        <w:gridCol w:w="900"/>
        <w:gridCol w:w="7270"/>
        <w:gridCol w:w="900"/>
      </w:tblGrid>
      <w:tr>
        <w:trPr>
          <w:cantSplit/>
        </w:trPr>
        <w:tc>
          <w:tcPr>
            <w:tcW w:w="900" w:type="dxa"/>
            <w:vAlign w:val="center"/>
          </w:tcPr>
          <w:p>
            <w:pPr>
              <w:spacing w:before="0" w:after="0"/>
            </w:pPr>
          </w:p>
        </w:tc>
        <w:tc>
          <w:tcPr>
            <w:tcW w:w="7270" w:type="dxa"/>
            <w:vAlign w:val="center"/>
          </w:tcPr>
          <w:p>
            <w:pPr>
              <w:spacing w:before="20" w:after="20" w:line="240" w:lineRule="auto"/>
              <w:jc w:val="center"/>
            </w:pPr>
            <m:oMathPara>
              <m:oMathParaPr>
                <m:jc m:val="center"/>
              </m:oMathParaPr>
              <m:oMath>
                <m:sSub>
                  <m:e>
                    <m:r>
                      <m:t>η</m:t>
                    </m:r>
                  </m:e>
                  <m:sub>
                    <m:r>
                      <m:rPr>
                        <m:sty m:val="p"/>
                      </m:rPr>
                      <m:t>C</m:t>
                    </m:r>
                  </m:sub>
                </m:sSub>
                <m:r>
                  <m:rPr>
                    <m:sty m:val="p"/>
                  </m:rPr>
                  <m:t>=</m:t>
                </m:r>
                <m:r>
                  <m:rPr>
                    <m:sty m:val="p"/>
                  </m:rPr>
                  <m:t>ln</m:t>
                </m:r>
                <m:f>
                  <m:fPr>
                    <m:type m:val="bar"/>
                  </m:fPr>
                  <m:num>
                    <m:r>
                      <m:t>M</m:t>
                    </m:r>
                  </m:num>
                  <m:den>
                    <m:sSub>
                      <m:e>
                        <m:r>
                          <m:t>P</m:t>
                        </m:r>
                      </m:e>
                      <m:sub>
                        <m:r>
                          <m:rPr>
                            <m:sty m:val="p"/>
                          </m:rPr>
                          <m:t>f</m:t>
                        </m:r>
                        <m:r>
                          <m:rPr>
                            <m:sty m:val="p"/>
                          </m:rPr>
                          <m:t>a</m:t>
                        </m:r>
                      </m:sub>
                    </m:sSub>
                  </m:den>
                </m:f>
              </m:oMath>
            </m:oMathPara>
          </w:p>
        </w:tc>
        <w:tc>
          <w:tcPr>
            <w:tcW w:w="900" w:type="dxa"/>
            <w:vAlign w:val="center"/>
          </w:tcPr>
          <w:p>
            <w:pPr>
              <w:spacing w:before="0" w:after="0"/>
              <w:jc w:val="right"/>
            </w:pPr>
            <w:r>
              <w:t xml:space="preserve">(28)</w:t>
            </w:r>
          </w:p>
        </w:tc>
      </w:tr>
    </w:tbl>
    <w:p>
      <w:pPr>
        <w:pStyle w:val="FirstParagraph"/>
      </w:pPr>
      <m:oMath>
        <m:r>
          <m:t>M</m:t>
        </m:r>
      </m:oMath>
      <w:r>
        <w:t xml:space="preserve"> </w:t>
      </w:r>
      <w:r>
        <w:t xml:space="preserve">取决于链路几何，可由仿真统计得到，本系统</w:t>
      </w:r>
      <w:r>
        <w:t xml:space="preserve"> </w:t>
      </w:r>
      <m:oMath>
        <m:r>
          <m:t>M</m:t>
        </m:r>
        <m:r>
          <m:rPr>
            <m:sty m:val="p"/>
          </m:rPr>
          <m:t>≈</m:t>
        </m:r>
      </m:oMath>
      <w:r>
        <w:t xml:space="preserve"> </w:t>
      </w:r>
      <w:r>
        <w:t xml:space="preserve">285（相对</w:t>
      </w:r>
      <w:r>
        <w:t xml:space="preserve"> </w:t>
      </w:r>
      <m:oMath>
        <m:r>
          <m:t>M</m:t>
        </m:r>
        <m:r>
          <m:rPr>
            <m:sty m:val="p"/>
          </m:rPr>
          <m:t>=</m:t>
        </m:r>
        <m:r>
          <m:t>1</m:t>
        </m:r>
      </m:oMath>
      <w:r>
        <w:t xml:space="preserve"> </w:t>
      </w:r>
      <w:r>
        <w:t xml:space="preserve">时门限提高约 1.5 dB）。这一“精搜索代价”是分布式相参融合检测所固有的，布站越分散、</w:t>
      </w:r>
      <m:oMath>
        <m:d>
          <m:dPr>
            <m:begChr m:val="∥"/>
            <m:sepChr m:val=""/>
            <m:endChr m:val="∥"/>
            <m:grow/>
          </m:dPr>
          <m:e>
            <m:r>
              <m:t>Δ</m:t>
            </m:r>
            <m:r>
              <m:rPr>
                <m:sty m:val="b"/>
              </m:rPr>
              <m:t>k</m:t>
            </m:r>
          </m:e>
        </m:d>
      </m:oMath>
      <w:r>
        <w:t xml:space="preserve"> </w:t>
      </w:r>
      <w:r>
        <w:t xml:space="preserve">越大，代价越高。工程中可采用单元平均恒虚警（CA-CFAR）处理，由目标状态空间中的参考单元估计背景电平。</w:t>
      </w:r>
    </w:p>
    <w:p>
      <w:pPr>
        <w:pStyle w:val="BodyText"/>
      </w:pPr>
      <w:r>
        <w:t xml:space="preserve">在目标尺寸未知时，采用相参/非相参双支路并行检测：</w:t>
      </w:r>
    </w:p>
    <w:tbl>
      <w:tblPr>
        <w:tblW w:w="9070" w:type="dxa"/>
        <w:jc w:val="center"/>
        <w:tblBorders>
          <w:top w:val="nil"/>
          <w:left w:val="nil"/>
          <w:bottom w:val="nil"/>
          <w:right w:val="nil"/>
          <w:insideH w:val="nil"/>
          <w:insideV w:val="nil"/>
        </w:tblBorders>
        <w:tblLayout w:type="fixed"/>
        <w:tblCellMar>
          <w:left w:w="0" w:type="dxa"/>
          <w:right w:w="0" w:type="dxa"/>
        </w:tblCellMar>
        <w:tblLook w:val="0000" w:firstRow="0" w:lastRow="0" w:firstColumn="0" w:lastColumn="0" w:noHBand="1" w:noVBand="1"/>
      </w:tblPr>
      <w:tblGrid>
        <w:gridCol w:w="900"/>
        <w:gridCol w:w="7270"/>
        <w:gridCol w:w="900"/>
      </w:tblGrid>
      <w:tr>
        <w:trPr>
          <w:cantSplit/>
        </w:trPr>
        <w:tc>
          <w:tcPr>
            <w:tcW w:w="900" w:type="dxa"/>
            <w:vAlign w:val="center"/>
          </w:tcPr>
          <w:p>
            <w:pPr>
              <w:spacing w:before="0" w:after="0"/>
            </w:pPr>
          </w:p>
        </w:tc>
        <w:tc>
          <w:tcPr>
            <w:tcW w:w="7270" w:type="dxa"/>
            <w:vAlign w:val="center"/>
          </w:tcPr>
          <w:p>
            <w:pPr>
              <w:spacing w:before="20" w:after="20" w:line="240" w:lineRule="auto"/>
              <w:jc w:val="center"/>
            </w:pPr>
            <m:oMathPara>
              <m:oMathParaPr>
                <m:jc m:val="center"/>
              </m:oMathParaPr>
              <m:oMath>
                <m:r>
                  <m:t>D</m:t>
                </m:r>
                <m:d>
                  <m:dPr>
                    <m:begChr m:val="("/>
                    <m:sepChr m:val=""/>
                    <m:endChr m:val=")"/>
                    <m:grow/>
                  </m:dPr>
                  <m:e>
                    <m:r>
                      <m:rPr>
                        <m:sty m:val="b"/>
                      </m:rPr>
                      <m:t>θ</m:t>
                    </m:r>
                  </m:e>
                </m:d>
                <m:r>
                  <m:rPr>
                    <m:sty m:val="p"/>
                  </m:rPr>
                  <m:t>=</m:t>
                </m:r>
                <m:d>
                  <m:dPr>
                    <m:begChr m:val="{"/>
                    <m:sepChr m:val=""/>
                    <m:endChr m:val="}"/>
                    <m:grow/>
                  </m:dPr>
                  <m:e>
                    <m:sSub>
                      <m:e>
                        <m:r>
                          <m:t>T</m:t>
                        </m:r>
                      </m:e>
                      <m:sub>
                        <m:r>
                          <m:rPr>
                            <m:sty m:val="p"/>
                          </m:rPr>
                          <m:t>N</m:t>
                        </m:r>
                      </m:sub>
                    </m:sSub>
                    <m:d>
                      <m:dPr>
                        <m:begChr m:val="("/>
                        <m:sepChr m:val=""/>
                        <m:endChr m:val=")"/>
                        <m:grow/>
                      </m:dPr>
                      <m:e>
                        <m:r>
                          <m:rPr>
                            <m:sty m:val="b"/>
                          </m:rPr>
                          <m:t>θ</m:t>
                        </m:r>
                      </m:e>
                    </m:d>
                    <m:r>
                      <m:rPr>
                        <m:sty m:val="p"/>
                      </m:rPr>
                      <m:t>&gt;</m:t>
                    </m:r>
                    <m:r>
                      <m:t>η</m:t>
                    </m:r>
                    <m:sSub>
                      <m:e>
                        <m:r>
                          <m:rPr>
                            <m:sty m:val="p"/>
                          </m:rPr>
                          <m:t>′</m:t>
                        </m:r>
                      </m:e>
                      <m:sub>
                        <m:r>
                          <m:rPr>
                            <m:sty m:val="p"/>
                          </m:rPr>
                          <m:t>N</m:t>
                        </m:r>
                      </m:sub>
                    </m:sSub>
                  </m:e>
                </m:d>
                <m:r>
                  <m:rPr>
                    <m:sty m:val="p"/>
                  </m:rPr>
                  <m:t>∪</m:t>
                </m:r>
                <m:d>
                  <m:dPr>
                    <m:begChr m:val="{"/>
                    <m:sepChr m:val=""/>
                    <m:endChr m:val="}"/>
                    <m:grow/>
                  </m:dPr>
                  <m:e>
                    <m:sSub>
                      <m:e>
                        <m:r>
                          <m:t>T</m:t>
                        </m:r>
                      </m:e>
                      <m:sub>
                        <m:r>
                          <m:rPr>
                            <m:sty m:val="p"/>
                          </m:rPr>
                          <m:t>C</m:t>
                        </m:r>
                      </m:sub>
                    </m:sSub>
                    <m:d>
                      <m:dPr>
                        <m:begChr m:val="("/>
                        <m:sepChr m:val=""/>
                        <m:endChr m:val=")"/>
                        <m:grow/>
                      </m:dPr>
                      <m:e>
                        <m:r>
                          <m:rPr>
                            <m:sty m:val="b"/>
                          </m:rPr>
                          <m:t>θ</m:t>
                        </m:r>
                      </m:e>
                    </m:d>
                    <m:r>
                      <m:rPr>
                        <m:sty m:val="p"/>
                      </m:rPr>
                      <m:t>&gt;</m:t>
                    </m:r>
                    <m:r>
                      <m:t>η</m:t>
                    </m:r>
                    <m:sSub>
                      <m:e>
                        <m:r>
                          <m:rPr>
                            <m:sty m:val="p"/>
                          </m:rPr>
                          <m:t>′</m:t>
                        </m:r>
                      </m:e>
                      <m:sub>
                        <m:r>
                          <m:rPr>
                            <m:sty m:val="p"/>
                          </m:rPr>
                          <m:t>C</m:t>
                        </m:r>
                      </m:sub>
                    </m:sSub>
                  </m:e>
                </m:d>
              </m:oMath>
            </m:oMathPara>
          </w:p>
        </w:tc>
        <w:tc>
          <w:tcPr>
            <w:tcW w:w="900" w:type="dxa"/>
            <w:vAlign w:val="center"/>
          </w:tcPr>
          <w:p>
            <w:pPr>
              <w:spacing w:before="0" w:after="0"/>
              <w:jc w:val="right"/>
            </w:pPr>
            <w:r>
              <w:t xml:space="preserve">(29)</w:t>
            </w:r>
          </w:p>
        </w:tc>
      </w:tr>
    </w:tbl>
    <w:p>
      <w:pPr>
        <w:pStyle w:val="FirstParagraph"/>
      </w:pPr>
      <w:r>
        <w:t xml:space="preserve">两支路各分配</w:t>
      </w:r>
      <w:r>
        <w:t xml:space="preserve"> </w:t>
      </w:r>
      <m:oMath>
        <m:sSub>
          <m:e>
            <m:r>
              <m:t>P</m:t>
            </m:r>
          </m:e>
          <m:sub>
            <m:r>
              <m:rPr>
                <m:sty m:val="p"/>
              </m:rPr>
              <m:t>f</m:t>
            </m:r>
            <m:r>
              <m:rPr>
                <m:sty m:val="p"/>
              </m:rPr>
              <m:t>a</m:t>
            </m:r>
          </m:sub>
        </m:sSub>
        <m:r>
          <m:rPr>
            <m:sty m:val="p"/>
          </m:rPr>
          <m:t>/</m:t>
        </m:r>
        <m:r>
          <m:t>2</m:t>
        </m:r>
      </m:oMath>
      <w:r>
        <w:t xml:space="preserve"> </w:t>
      </w:r>
      <w:r>
        <w:t xml:space="preserve">的虚警概率。点状目标主要由相参支路检测，扩展目标主要由非相参支路检测，代价仅为门限的轻微提高。若已知目标类型（如由航迹、微多普勒特征判别），可按式(10)计算相关矩阵</w:t>
      </w:r>
      <w:r>
        <w:t xml:space="preserve"> </w:t>
      </w:r>
      <m:oMath>
        <m:r>
          <m:rPr>
            <m:sty m:val="b"/>
          </m:rPr>
          <m:t>C</m:t>
        </m:r>
      </m:oMath>
      <w:r>
        <w:t xml:space="preserve">，选择分组相参或估计—相关器。</w:t>
      </w:r>
    </w:p>
    <w:bookmarkEnd w:id="62"/>
    <w:bookmarkStart w:id="63" w:name="时域源站三维相参的统一形式"/>
    <w:p>
      <w:pPr>
        <w:pStyle w:val="Heading2"/>
      </w:pPr>
      <w:r>
        <w:t xml:space="preserve">6.5 时域—源—站三维相参的统一形式</w:t>
      </w:r>
    </w:p>
    <w:p>
      <w:pPr>
        <w:pStyle w:val="FirstParagraph"/>
      </w:pPr>
      <w:r>
        <w:t xml:space="preserve">当目标速度较高、CPI内距离走动超过一个距离单元，或信号源存在分段照射时，将总积累时间划分为</w:t>
      </w:r>
      <w:r>
        <w:t xml:space="preserve"> </w:t>
      </w:r>
      <m:oMath>
        <m:r>
          <m:t>K</m:t>
        </m:r>
      </m:oMath>
      <w:r>
        <w:t xml:space="preserve"> </w:t>
      </w:r>
      <w:r>
        <w:t xml:space="preserve">个子CPI（中心时刻</w:t>
      </w:r>
      <w:r>
        <w:t xml:space="preserve"> </w:t>
      </w:r>
      <m:oMath>
        <m:sSub>
          <m:e>
            <m:r>
              <m:t>t</m:t>
            </m:r>
          </m:e>
          <m:sub>
            <m:r>
              <m:t>k</m:t>
            </m:r>
          </m:sub>
        </m:sSub>
      </m:oMath>
      <w:r>
        <w:t xml:space="preserve">），各站按子CPI计算距离—多普勒图</w:t>
      </w:r>
      <w:r>
        <w:t xml:space="preserve"> </w:t>
      </w:r>
      <m:oMath>
        <m:sSub>
          <m:e>
            <m:r>
              <m:t>χ</m:t>
            </m:r>
          </m:e>
          <m:sub>
            <m:r>
              <m:t>l</m:t>
            </m:r>
            <m:r>
              <m:rPr>
                <m:sty m:val="p"/>
              </m:rPr>
              <m:t>,</m:t>
            </m:r>
            <m:r>
              <m:t>k</m:t>
            </m:r>
          </m:sub>
        </m:sSub>
      </m:oMath>
      <w:r>
        <w:t xml:space="preserve">，融合中心沿目标轨迹进行时域、源间与站间的统一相参积累：</w:t>
      </w:r>
    </w:p>
    <w:tbl>
      <w:tblPr>
        <w:tblW w:w="9070" w:type="dxa"/>
        <w:jc w:val="center"/>
        <w:tblBorders>
          <w:top w:val="nil"/>
          <w:left w:val="nil"/>
          <w:bottom w:val="nil"/>
          <w:right w:val="nil"/>
          <w:insideH w:val="nil"/>
          <w:insideV w:val="nil"/>
        </w:tblBorders>
        <w:tblLayout w:type="fixed"/>
        <w:tblCellMar>
          <w:left w:w="0" w:type="dxa"/>
          <w:right w:w="0" w:type="dxa"/>
        </w:tblCellMar>
        <w:tblLook w:val="0000" w:firstRow="0" w:lastRow="0" w:firstColumn="0" w:lastColumn="0" w:noHBand="1" w:noVBand="1"/>
      </w:tblPr>
      <w:tblGrid>
        <w:gridCol w:w="900"/>
        <w:gridCol w:w="7270"/>
        <w:gridCol w:w="900"/>
      </w:tblGrid>
      <w:tr>
        <w:trPr>
          <w:cantSplit/>
        </w:trPr>
        <w:tc>
          <w:tcPr>
            <w:tcW w:w="900" w:type="dxa"/>
            <w:vAlign w:val="center"/>
          </w:tcPr>
          <w:p>
            <w:pPr>
              <w:spacing w:before="0" w:after="0"/>
            </w:pPr>
          </w:p>
        </w:tc>
        <w:tc>
          <w:tcPr>
            <w:tcW w:w="7270" w:type="dxa"/>
            <w:vAlign w:val="center"/>
          </w:tcPr>
          <w:p>
            <w:pPr>
              <w:spacing w:before="20" w:after="20" w:line="240" w:lineRule="auto"/>
              <w:jc w:val="center"/>
            </w:pPr>
            <m:oMathPara>
              <m:oMathParaPr>
                <m:jc m:val="center"/>
              </m:oMathParaPr>
              <m:oMath>
                <m:sSub>
                  <m:e>
                    <m:r>
                      <m:t>T</m:t>
                    </m:r>
                  </m:e>
                  <m:sub>
                    <m:r>
                      <m:rPr>
                        <m:sty m:val="p"/>
                      </m:rPr>
                      <m:t>3</m:t>
                    </m:r>
                    <m:r>
                      <m:rPr>
                        <m:sty m:val="p"/>
                      </m:rPr>
                      <m:t>D</m:t>
                    </m:r>
                  </m:sub>
                </m:sSub>
                <m:d>
                  <m:dPr>
                    <m:begChr m:val="("/>
                    <m:sepChr m:val=""/>
                    <m:endChr m:val=")"/>
                    <m:grow/>
                  </m:dPr>
                  <m:e>
                    <m:r>
                      <m:rPr>
                        <m:sty m:val="b"/>
                      </m:rPr>
                      <m:t>θ</m:t>
                    </m:r>
                  </m:e>
                </m:d>
                <m:r>
                  <m:rPr>
                    <m:sty m:val="p"/>
                  </m:rPr>
                  <m:t>=</m:t>
                </m:r>
                <m:f>
                  <m:fPr>
                    <m:type m:val="bar"/>
                  </m:fPr>
                  <m:num>
                    <m:sSup>
                      <m:e>
                        <m:d>
                          <m:dPr>
                            <m:begChr m:val="|"/>
                            <m:sepChr m:val=""/>
                            <m:endChr m:val="|"/>
                            <m:grow/>
                          </m:dPr>
                          <m:e>
                            <m:nary>
                              <m:naryPr>
                                <m:chr m:val="∑"/>
                                <m:limLoc m:val="undOvr"/>
                                <m:subHide m:val="off"/>
                                <m:supHide m:val="off"/>
                              </m:naryPr>
                              <m:sub>
                                <m:r>
                                  <m:t>k</m:t>
                                </m:r>
                                <m:r>
                                  <m:rPr>
                                    <m:sty m:val="p"/>
                                  </m:rPr>
                                  <m:t>=</m:t>
                                </m:r>
                                <m:r>
                                  <m:t>1</m:t>
                                </m:r>
                              </m:sub>
                              <m:sup>
                                <m:r>
                                  <m:t>K</m:t>
                                </m:r>
                              </m:sup>
                              <m:e>
                                <m:nary>
                                  <m:naryPr>
                                    <m:chr m:val="∑"/>
                                    <m:limLoc m:val="undOvr"/>
                                    <m:subHide m:val="off"/>
                                    <m:supHide m:val="off"/>
                                  </m:naryPr>
                                  <m:sub>
                                    <m:r>
                                      <m:t>l</m:t>
                                    </m:r>
                                    <m:r>
                                      <m:rPr>
                                        <m:sty m:val="p"/>
                                      </m:rPr>
                                      <m:t>=</m:t>
                                    </m:r>
                                    <m:r>
                                      <m:t>1</m:t>
                                    </m:r>
                                  </m:sub>
                                  <m:sup>
                                    <m:r>
                                      <m:t>L</m:t>
                                    </m:r>
                                  </m:sup>
                                  <m:e>
                                    <m:sSub>
                                      <m:e>
                                        <m:r>
                                          <m:t>w</m:t>
                                        </m:r>
                                      </m:e>
                                      <m:sub>
                                        <m:r>
                                          <m:t>l</m:t>
                                        </m:r>
                                      </m:sub>
                                    </m:sSub>
                                  </m:e>
                                </m:nary>
                              </m:e>
                            </m:nary>
                            <m:r>
                              <m:t> </m:t>
                            </m:r>
                            <m:sSub>
                              <m:e>
                                <m:acc>
                                  <m:accPr>
                                    <m:chr m:val="̃"/>
                                  </m:accPr>
                                  <m:e>
                                    <m:r>
                                      <m:t>z</m:t>
                                    </m:r>
                                  </m:e>
                                </m:acc>
                              </m:e>
                              <m:sub>
                                <m:r>
                                  <m:t>l</m:t>
                                </m:r>
                                <m:r>
                                  <m:rPr>
                                    <m:sty m:val="p"/>
                                  </m:rPr>
                                  <m:t>,</m:t>
                                </m:r>
                                <m:r>
                                  <m:t>k</m:t>
                                </m:r>
                              </m:sub>
                            </m:sSub>
                            <m:d>
                              <m:dPr>
                                <m:begChr m:val="("/>
                                <m:sepChr m:val=""/>
                                <m:endChr m:val=")"/>
                                <m:grow/>
                              </m:dPr>
                              <m:e>
                                <m:r>
                                  <m:rPr>
                                    <m:sty m:val="b"/>
                                  </m:rPr>
                                  <m:t>θ</m:t>
                                </m:r>
                              </m:e>
                            </m:d>
                            <m:r>
                              <m:rPr>
                                <m:sty m:val="p"/>
                              </m:rPr>
                              <m:t>exp</m:t>
                            </m:r>
                            <m:d>
                              <m:dPr>
                                <m:begChr m:val="["/>
                                <m:sepChr m:val=""/>
                                <m:endChr m:val="]"/>
                                <m:grow/>
                              </m:dPr>
                              <m:e>
                                <m:r>
                                  <m:rPr>
                                    <m:sty m:val="p"/>
                                  </m:rPr>
                                  <m:t>j</m:t>
                                </m:r>
                                <m:d>
                                  <m:dPr>
                                    <m:begChr m:val="("/>
                                    <m:sepChr m:val=""/>
                                    <m:endChr m:val=")"/>
                                    <m:grow/>
                                  </m:dPr>
                                  <m:e>
                                    <m:f>
                                      <m:fPr>
                                        <m:type m:val="bar"/>
                                      </m:fPr>
                                      <m:num>
                                        <m:r>
                                          <m:t>2</m:t>
                                        </m:r>
                                        <m:r>
                                          <m:t>π</m:t>
                                        </m:r>
                                        <m:sSub>
                                          <m:e>
                                            <m:r>
                                              <m:t>R</m:t>
                                            </m:r>
                                          </m:e>
                                          <m:sub>
                                            <m:r>
                                              <m:t>l</m:t>
                                            </m:r>
                                          </m:sub>
                                        </m:sSub>
                                        <m:d>
                                          <m:dPr>
                                            <m:begChr m:val="("/>
                                            <m:sepChr m:val=""/>
                                            <m:endChr m:val=")"/>
                                            <m:grow/>
                                          </m:dPr>
                                          <m:e>
                                            <m:r>
                                              <m:rPr>
                                                <m:sty m:val="b"/>
                                              </m:rPr>
                                              <m:t>p</m:t>
                                            </m:r>
                                            <m:r>
                                              <m:rPr>
                                                <m:sty m:val="p"/>
                                              </m:rPr>
                                              <m:t>+</m:t>
                                            </m:r>
                                            <m:r>
                                              <m:rPr>
                                                <m:sty m:val="b"/>
                                              </m:rPr>
                                              <m:t>v</m:t>
                                            </m:r>
                                            <m:d>
                                              <m:dPr>
                                                <m:begChr m:val="("/>
                                                <m:sepChr m:val=""/>
                                                <m:endChr m:val=")"/>
                                                <m:grow/>
                                              </m:dPr>
                                              <m:e>
                                                <m:sSub>
                                                  <m:e>
                                                    <m:r>
                                                      <m:t>t</m:t>
                                                    </m:r>
                                                  </m:e>
                                                  <m:sub>
                                                    <m:r>
                                                      <m:t>k</m:t>
                                                    </m:r>
                                                  </m:sub>
                                                </m:sSub>
                                                <m:r>
                                                  <m:rPr>
                                                    <m:sty m:val="p"/>
                                                  </m:rPr>
                                                  <m:t>−</m:t>
                                                </m:r>
                                                <m:sSub>
                                                  <m:e>
                                                    <m:r>
                                                      <m:t>t</m:t>
                                                    </m:r>
                                                  </m:e>
                                                  <m:sub>
                                                    <m:r>
                                                      <m:t>c</m:t>
                                                    </m:r>
                                                  </m:sub>
                                                </m:sSub>
                                              </m:e>
                                            </m:d>
                                          </m:e>
                                        </m:d>
                                      </m:num>
                                      <m:den>
                                        <m:sSub>
                                          <m:e>
                                            <m:r>
                                              <m:t>λ</m:t>
                                            </m:r>
                                          </m:e>
                                          <m:sub>
                                            <m:r>
                                              <m:t>l</m:t>
                                            </m:r>
                                          </m:sub>
                                        </m:sSub>
                                      </m:den>
                                    </m:f>
                                    <m:r>
                                      <m:rPr>
                                        <m:sty m:val="p"/>
                                      </m:rPr>
                                      <m:t>−</m:t>
                                    </m:r>
                                    <m:sSub>
                                      <m:e>
                                        <m:acc>
                                          <m:accPr>
                                            <m:chr m:val="̂"/>
                                          </m:accPr>
                                          <m:e>
                                            <m:r>
                                              <m:t>κ</m:t>
                                            </m:r>
                                          </m:e>
                                        </m:acc>
                                      </m:e>
                                      <m:sub>
                                        <m:r>
                                          <m:t>l</m:t>
                                        </m:r>
                                      </m:sub>
                                    </m:sSub>
                                  </m:e>
                                </m:d>
                              </m:e>
                            </m:d>
                          </m:e>
                        </m:d>
                      </m:e>
                      <m:sup>
                        <m:r>
                          <m:t>2</m:t>
                        </m:r>
                      </m:sup>
                    </m:sSup>
                  </m:num>
                  <m:den>
                    <m:r>
                      <m:t>K</m:t>
                    </m:r>
                    <m:nary>
                      <m:naryPr>
                        <m:chr m:val="∑"/>
                        <m:limLoc m:val="undOvr"/>
                        <m:subHide m:val="off"/>
                        <m:supHide m:val="on"/>
                      </m:naryPr>
                      <m:sub>
                        <m:r>
                          <m:t>l</m:t>
                        </m:r>
                      </m:sub>
                      <m:sup>
                        <m:r>
                          <m:t>​</m:t>
                        </m:r>
                      </m:sup>
                      <m:e>
                        <m:sSubSup>
                          <m:e>
                            <m:r>
                              <m:t>w</m:t>
                            </m:r>
                          </m:e>
                          <m:sub>
                            <m:r>
                              <m:t>l</m:t>
                            </m:r>
                          </m:sub>
                          <m:sup>
                            <m:r>
                              <m:t>2</m:t>
                            </m:r>
                          </m:sup>
                        </m:sSubSup>
                      </m:e>
                    </m:nary>
                  </m:den>
                </m:f>
              </m:oMath>
            </m:oMathPara>
          </w:p>
        </w:tc>
        <w:tc>
          <w:tcPr>
            <w:tcW w:w="900" w:type="dxa"/>
            <w:vAlign w:val="center"/>
          </w:tcPr>
          <w:p>
            <w:pPr>
              <w:spacing w:before="0" w:after="0"/>
              <w:jc w:val="right"/>
            </w:pPr>
            <w:r>
              <w:t xml:space="preserve">(30)</w:t>
            </w:r>
          </w:p>
        </w:tc>
      </w:tr>
    </w:tbl>
    <w:p>
      <w:pPr>
        <w:pStyle w:val="FirstParagraph"/>
        <w:ind w:firstLineChars="0" w:firstLine="0"/>
      </w:pPr>
      <w:r>
        <w:t xml:space="preserve">式中，</w:t>
      </w:r>
      <m:oMath>
        <m:sSub>
          <m:e>
            <m:acc>
              <m:accPr>
                <m:chr m:val="̃"/>
              </m:accPr>
              <m:e>
                <m:r>
                  <m:t>z</m:t>
                </m:r>
              </m:e>
            </m:acc>
          </m:e>
          <m:sub>
            <m:r>
              <m:t>l</m:t>
            </m:r>
            <m:r>
              <m:rPr>
                <m:sty m:val="p"/>
              </m:rPr>
              <m:t>,</m:t>
            </m:r>
            <m:r>
              <m:t>k</m:t>
            </m:r>
          </m:sub>
        </m:sSub>
        <m:d>
          <m:dPr>
            <m:begChr m:val="("/>
            <m:sepChr m:val=""/>
            <m:endChr m:val=")"/>
            <m:grow/>
          </m:dPr>
          <m:e>
            <m:r>
              <m:rPr>
                <m:sty m:val="b"/>
              </m:rPr>
              <m:t>θ</m:t>
            </m:r>
          </m:e>
        </m:d>
      </m:oMath>
      <w:r>
        <w:t xml:space="preserve"> </w:t>
      </w:r>
      <w:r>
        <w:t xml:space="preserve">在第</w:t>
      </w:r>
      <w:r>
        <w:t xml:space="preserve"> </w:t>
      </w:r>
      <m:oMath>
        <m:r>
          <m:t>k</m:t>
        </m:r>
      </m:oMath>
      <w:r>
        <w:t xml:space="preserve"> </w:t>
      </w:r>
      <w:r>
        <w:t xml:space="preserve">个子CPI中按目标轨迹预测的时延与多普勒读取。该式将RFT</w:t>
      </w:r>
      <w:r>
        <w:rPr>
          <w:vertAlign w:val="superscript"/>
        </w:rPr>
        <w:t xml:space="preserve">[16]</w:t>
      </w:r>
      <w:r>
        <w:t xml:space="preserve">的“轨迹匹配”思想推广到多源多站，同时完成距离走动与多普勒走动补偿；目标存在机动时，在</w:t>
      </w:r>
      <w:r>
        <w:t xml:space="preserve"> </w:t>
      </w:r>
      <m:oMath>
        <m:r>
          <m:rPr>
            <m:sty m:val="b"/>
          </m:rPr>
          <m:t>θ</m:t>
        </m:r>
      </m:oMath>
      <w:r>
        <w:t xml:space="preserve"> </w:t>
      </w:r>
      <w:r>
        <w:t xml:space="preserve">中增加加速度分量。当某一维不满足相参条件时，可在该维改为非相参累加（7.8节给出了各种组合的检测增益）。</w:t>
      </w:r>
    </w:p>
    <w:bookmarkEnd w:id="63"/>
    <w:bookmarkStart w:id="64" w:name="相位自校准"/>
    <w:p>
      <w:pPr>
        <w:pStyle w:val="Heading2"/>
      </w:pPr>
      <w:r>
        <w:t xml:space="preserve">6.6 相位自校准</w:t>
      </w:r>
    </w:p>
    <w:p>
      <w:pPr>
        <w:pStyle w:val="FirstParagraph"/>
      </w:pPr>
      <w:r>
        <w:t xml:space="preserve">非合作信号源天线位置误差、天线方向图相位误差及缓变的通道漂移，会使各链路存在随目标位置缓变的残余相位偏差。借鉴分布式孔径相参合成雷达的相参参数估计方法</w:t>
      </w:r>
      <w:r>
        <w:rPr>
          <w:vertAlign w:val="superscript"/>
        </w:rPr>
        <w:t xml:space="preserve">[10,11]</w:t>
      </w:r>
      <w:r>
        <w:t xml:space="preserve">，可利用合作标校目标（携带角反射器或龙伯球、装有RTK定位的小型无人机）或高信噪比的点状目标进行自校准：在</w:t>
      </w:r>
      <w:r>
        <w:t xml:space="preserve"> </w:t>
      </w:r>
      <m:oMath>
        <m:sSub>
          <m:e>
            <m:r>
              <m:t>N</m:t>
            </m:r>
          </m:e>
          <m:sub>
            <m:r>
              <m:t>c</m:t>
            </m:r>
          </m:sub>
        </m:sSub>
      </m:oMath>
      <w:r>
        <w:t xml:space="preserve"> </w:t>
      </w:r>
      <w:r>
        <w:t xml:space="preserve">个快拍（目标处于不同位置）下联合估计各链路相位偏差与各快拍的亚波长位置修正量</w:t>
      </w:r>
    </w:p>
    <w:tbl>
      <w:tblPr>
        <w:tblW w:w="9070" w:type="dxa"/>
        <w:jc w:val="center"/>
        <w:tblBorders>
          <w:top w:val="nil"/>
          <w:left w:val="nil"/>
          <w:bottom w:val="nil"/>
          <w:right w:val="nil"/>
          <w:insideH w:val="nil"/>
          <w:insideV w:val="nil"/>
        </w:tblBorders>
        <w:tblLayout w:type="fixed"/>
        <w:tblCellMar>
          <w:left w:w="0" w:type="dxa"/>
          <w:right w:w="0" w:type="dxa"/>
        </w:tblCellMar>
        <w:tblLook w:val="0000" w:firstRow="0" w:lastRow="0" w:firstColumn="0" w:lastColumn="0" w:noHBand="1" w:noVBand="1"/>
      </w:tblPr>
      <w:tblGrid>
        <w:gridCol w:w="900"/>
        <w:gridCol w:w="7270"/>
        <w:gridCol w:w="900"/>
      </w:tblGrid>
      <w:tr>
        <w:trPr>
          <w:cantSplit/>
        </w:trPr>
        <w:tc>
          <w:tcPr>
            <w:tcW w:w="900" w:type="dxa"/>
            <w:vAlign w:val="center"/>
          </w:tcPr>
          <w:p>
            <w:pPr>
              <w:spacing w:before="0" w:after="0"/>
            </w:pPr>
          </w:p>
        </w:tc>
        <w:tc>
          <w:tcPr>
            <w:tcW w:w="7270" w:type="dxa"/>
            <w:vAlign w:val="center"/>
          </w:tcPr>
          <w:p>
            <w:pPr>
              <w:spacing w:before="20" w:after="20" w:line="240" w:lineRule="auto"/>
              <w:jc w:val="center"/>
            </w:pPr>
            <m:oMathPara>
              <m:oMathParaPr>
                <m:jc m:val="center"/>
              </m:oMathParaPr>
              <m:oMath>
                <m:d>
                  <m:dPr>
                    <m:begChr m:val="{"/>
                    <m:sepChr m:val=""/>
                    <m:endChr m:val="}"/>
                    <m:grow/>
                  </m:dPr>
                  <m:e>
                    <m:sSub>
                      <m:e>
                        <m:acc>
                          <m:accPr>
                            <m:chr m:val="̂"/>
                          </m:accPr>
                          <m:e>
                            <m:r>
                              <m:t>κ</m:t>
                            </m:r>
                          </m:e>
                        </m:acc>
                      </m:e>
                      <m:sub>
                        <m:r>
                          <m:t>l</m:t>
                        </m:r>
                      </m:sub>
                    </m:sSub>
                    <m:r>
                      <m:rPr>
                        <m:sty m:val="p"/>
                      </m:rPr>
                      <m:t>,</m:t>
                    </m:r>
                    <m:r>
                      <m:t> </m:t>
                    </m:r>
                    <m:r>
                      <m:t>δ</m:t>
                    </m:r>
                    <m:sSub>
                      <m:e>
                        <m:acc>
                          <m:accPr>
                            <m:chr m:val="̂"/>
                          </m:accPr>
                          <m:e>
                            <m:r>
                              <m:rPr>
                                <m:sty m:val="b"/>
                              </m:rPr>
                              <m:t>p</m:t>
                            </m:r>
                          </m:e>
                        </m:acc>
                      </m:e>
                      <m:sub>
                        <m:r>
                          <m:t>n</m:t>
                        </m:r>
                      </m:sub>
                    </m:sSub>
                  </m:e>
                </m:d>
                <m:r>
                  <m:rPr>
                    <m:sty m:val="p"/>
                  </m:rPr>
                  <m:t>=</m:t>
                </m:r>
                <m:r>
                  <m:rPr>
                    <m:sty m:val="p"/>
                  </m:rPr>
                  <m:t>arg</m:t>
                </m:r>
                <m:limLow>
                  <m:e>
                    <m:r>
                      <m:rPr>
                        <m:sty m:val="p"/>
                      </m:rPr>
                      <m:t>max</m:t>
                    </m:r>
                  </m:e>
                  <m:lim>
                    <m:r>
                      <m:rPr>
                        <m:sty m:val="p"/>
                      </m:rPr>
                      <m:t>{</m:t>
                    </m:r>
                    <m:sSub>
                      <m:e>
                        <m:r>
                          <m:t>κ</m:t>
                        </m:r>
                      </m:e>
                      <m:sub>
                        <m:r>
                          <m:t>l</m:t>
                        </m:r>
                      </m:sub>
                    </m:sSub>
                    <m:r>
                      <m:rPr>
                        <m:sty m:val="p"/>
                      </m:rPr>
                      <m:t>}</m:t>
                    </m:r>
                    <m:r>
                      <m:rPr>
                        <m:sty m:val="p"/>
                      </m:rPr>
                      <m:t>,</m:t>
                    </m:r>
                    <m:r>
                      <m:rPr>
                        <m:sty m:val="p"/>
                      </m:rPr>
                      <m:t>{</m:t>
                    </m:r>
                    <m:r>
                      <m:t>δ</m:t>
                    </m:r>
                    <m:sSub>
                      <m:e>
                        <m:r>
                          <m:rPr>
                            <m:sty m:val="b"/>
                          </m:rPr>
                          <m:t>p</m:t>
                        </m:r>
                      </m:e>
                      <m:sub>
                        <m:r>
                          <m:t>n</m:t>
                        </m:r>
                      </m:sub>
                    </m:sSub>
                    <m:r>
                      <m:rPr>
                        <m:sty m:val="p"/>
                      </m:rPr>
                      <m:t>}</m:t>
                    </m:r>
                  </m:lim>
                </m:limLow>
                <m:nary>
                  <m:naryPr>
                    <m:chr m:val="∑"/>
                    <m:limLoc m:val="undOvr"/>
                    <m:subHide m:val="off"/>
                    <m:supHide m:val="off"/>
                  </m:naryPr>
                  <m:sub>
                    <m:r>
                      <m:t>n</m:t>
                    </m:r>
                    <m:r>
                      <m:rPr>
                        <m:sty m:val="p"/>
                      </m:rPr>
                      <m:t>=</m:t>
                    </m:r>
                    <m:r>
                      <m:t>1</m:t>
                    </m:r>
                  </m:sub>
                  <m:sup>
                    <m:sSub>
                      <m:e>
                        <m:r>
                          <m:t>N</m:t>
                        </m:r>
                      </m:e>
                      <m:sub>
                        <m:r>
                          <m:t>c</m:t>
                        </m:r>
                      </m:sub>
                    </m:sSub>
                  </m:sup>
                  <m:e>
                    <m:sSup>
                      <m:e>
                        <m:d>
                          <m:dPr>
                            <m:begChr m:val="|"/>
                            <m:sepChr m:val=""/>
                            <m:endChr m:val="|"/>
                            <m:grow/>
                          </m:dPr>
                          <m:e>
                            <m:nary>
                              <m:naryPr>
                                <m:chr m:val="∑"/>
                                <m:limLoc m:val="undOvr"/>
                                <m:subHide m:val="off"/>
                                <m:supHide m:val="off"/>
                              </m:naryPr>
                              <m:sub>
                                <m:r>
                                  <m:t>l</m:t>
                                </m:r>
                                <m:r>
                                  <m:rPr>
                                    <m:sty m:val="p"/>
                                  </m:rPr>
                                  <m:t>=</m:t>
                                </m:r>
                                <m:r>
                                  <m:t>1</m:t>
                                </m:r>
                              </m:sub>
                              <m:sup>
                                <m:r>
                                  <m:t>L</m:t>
                                </m:r>
                              </m:sup>
                              <m:e>
                                <m:sSub>
                                  <m:e>
                                    <m:r>
                                      <m:t>w</m:t>
                                    </m:r>
                                  </m:e>
                                  <m:sub>
                                    <m:r>
                                      <m:t>l</m:t>
                                    </m:r>
                                  </m:sub>
                                </m:sSub>
                              </m:e>
                            </m:nary>
                            <m:r>
                              <m:t> </m:t>
                            </m:r>
                            <m:sSub>
                              <m:e>
                                <m:acc>
                                  <m:accPr>
                                    <m:chr m:val="̃"/>
                                  </m:accPr>
                                  <m:e>
                                    <m:r>
                                      <m:t>z</m:t>
                                    </m:r>
                                  </m:e>
                                </m:acc>
                              </m:e>
                              <m:sub>
                                <m:r>
                                  <m:t>l</m:t>
                                </m:r>
                                <m:r>
                                  <m:rPr>
                                    <m:sty m:val="p"/>
                                  </m:rPr>
                                  <m:t>,</m:t>
                                </m:r>
                                <m:r>
                                  <m:t>n</m:t>
                                </m:r>
                              </m:sub>
                            </m:sSub>
                            <m:r>
                              <m:rPr>
                                <m:sty m:val="p"/>
                              </m:rPr>
                              <m:t>exp</m:t>
                            </m:r>
                            <m:d>
                              <m:dPr>
                                <m:begChr m:val="{"/>
                                <m:sepChr m:val=""/>
                                <m:endChr m:val="}"/>
                                <m:grow/>
                              </m:dPr>
                              <m:e>
                                <m:r>
                                  <m:rPr>
                                    <m:sty m:val="p"/>
                                  </m:rPr>
                                  <m:t>j</m:t>
                                </m:r>
                                <m:d>
                                  <m:dPr>
                                    <m:begChr m:val="["/>
                                    <m:sepChr m:val=""/>
                                    <m:endChr m:val="]"/>
                                    <m:grow/>
                                  </m:dPr>
                                  <m:e>
                                    <m:f>
                                      <m:fPr>
                                        <m:type m:val="bar"/>
                                      </m:fPr>
                                      <m:num>
                                        <m:r>
                                          <m:t>2</m:t>
                                        </m:r>
                                        <m:r>
                                          <m:t>π</m:t>
                                        </m:r>
                                        <m:sSub>
                                          <m:e>
                                            <m:r>
                                              <m:t>R</m:t>
                                            </m:r>
                                          </m:e>
                                          <m:sub>
                                            <m:r>
                                              <m:t>l</m:t>
                                            </m:r>
                                          </m:sub>
                                        </m:sSub>
                                        <m:d>
                                          <m:dPr>
                                            <m:begChr m:val="("/>
                                            <m:sepChr m:val=""/>
                                            <m:endChr m:val=")"/>
                                            <m:grow/>
                                          </m:dPr>
                                          <m:e>
                                            <m:sSub>
                                              <m:e>
                                                <m:acc>
                                                  <m:accPr>
                                                    <m:chr m:val="̂"/>
                                                  </m:accPr>
                                                  <m:e>
                                                    <m:r>
                                                      <m:rPr>
                                                        <m:sty m:val="b"/>
                                                      </m:rPr>
                                                      <m:t>p</m:t>
                                                    </m:r>
                                                  </m:e>
                                                </m:acc>
                                              </m:e>
                                              <m:sub>
                                                <m:r>
                                                  <m:t>n</m:t>
                                                </m:r>
                                              </m:sub>
                                            </m:sSub>
                                            <m:r>
                                              <m:rPr>
                                                <m:sty m:val="p"/>
                                              </m:rPr>
                                              <m:t>+</m:t>
                                            </m:r>
                                            <m:r>
                                              <m:t>δ</m:t>
                                            </m:r>
                                            <m:sSub>
                                              <m:e>
                                                <m:r>
                                                  <m:rPr>
                                                    <m:sty m:val="b"/>
                                                  </m:rPr>
                                                  <m:t>p</m:t>
                                                </m:r>
                                              </m:e>
                                              <m:sub>
                                                <m:r>
                                                  <m:t>n</m:t>
                                                </m:r>
                                              </m:sub>
                                            </m:sSub>
                                          </m:e>
                                        </m:d>
                                      </m:num>
                                      <m:den>
                                        <m:sSub>
                                          <m:e>
                                            <m:r>
                                              <m:t>λ</m:t>
                                            </m:r>
                                          </m:e>
                                          <m:sub>
                                            <m:r>
                                              <m:t>l</m:t>
                                            </m:r>
                                          </m:sub>
                                        </m:sSub>
                                      </m:den>
                                    </m:f>
                                    <m:r>
                                      <m:rPr>
                                        <m:sty m:val="p"/>
                                      </m:rPr>
                                      <m:t>−</m:t>
                                    </m:r>
                                    <m:sSub>
                                      <m:e>
                                        <m:r>
                                          <m:t>κ</m:t>
                                        </m:r>
                                      </m:e>
                                      <m:sub>
                                        <m:r>
                                          <m:t>l</m:t>
                                        </m:r>
                                      </m:sub>
                                    </m:sSub>
                                  </m:e>
                                </m:d>
                              </m:e>
                            </m:d>
                          </m:e>
                        </m:d>
                      </m:e>
                      <m:sup>
                        <m:r>
                          <m:t>2</m:t>
                        </m:r>
                      </m:sup>
                    </m:sSup>
                  </m:e>
                </m:nary>
              </m:oMath>
            </m:oMathPara>
          </w:p>
        </w:tc>
        <w:tc>
          <w:tcPr>
            <w:tcW w:w="900" w:type="dxa"/>
            <w:vAlign w:val="center"/>
          </w:tcPr>
          <w:p>
            <w:pPr>
              <w:spacing w:before="0" w:after="0"/>
              <w:jc w:val="right"/>
            </w:pPr>
            <w:r>
              <w:t xml:space="preserve">(31)</w:t>
            </w:r>
          </w:p>
        </w:tc>
      </w:tr>
    </w:tbl>
    <w:p>
      <w:pPr>
        <w:pStyle w:val="FirstParagraph"/>
        <w:ind w:firstLineChars="0" w:firstLine="0"/>
      </w:pPr>
      <w:r>
        <w:t xml:space="preserve">式中，</w:t>
      </w:r>
      <m:oMath>
        <m:sSub>
          <m:e>
            <m:acc>
              <m:accPr>
                <m:chr m:val="̂"/>
              </m:accPr>
              <m:e>
                <m:r>
                  <m:rPr>
                    <m:sty m:val="b"/>
                  </m:rPr>
                  <m:t>p</m:t>
                </m:r>
              </m:e>
            </m:acc>
          </m:e>
          <m:sub>
            <m:r>
              <m:t>n</m:t>
            </m:r>
          </m:sub>
        </m:sSub>
      </m:oMath>
      <w:r>
        <w:t xml:space="preserve"> </w:t>
      </w:r>
      <w:r>
        <w:t xml:space="preserve">为标校目标的RTK位置或非相参定位结果。由于</w:t>
      </w:r>
      <w:r>
        <w:t xml:space="preserve"> </w:t>
      </w:r>
      <m:oMath>
        <m:sSub>
          <m:e>
            <m:r>
              <m:t>κ</m:t>
            </m:r>
          </m:e>
          <m:sub>
            <m:r>
              <m:t>l</m:t>
            </m:r>
          </m:sub>
        </m:sSub>
      </m:oMath>
      <w:r>
        <w:t xml:space="preserve"> </w:t>
      </w:r>
      <w:r>
        <w:t xml:space="preserve">不随快拍变化而</w:t>
      </w:r>
      <w:r>
        <w:t xml:space="preserve"> </w:t>
      </w:r>
      <m:oMath>
        <m:r>
          <m:t>δ</m:t>
        </m:r>
        <m:sSub>
          <m:e>
            <m:r>
              <m:rPr>
                <m:sty m:val="b"/>
              </m:rPr>
              <m:t>p</m:t>
            </m:r>
          </m:e>
          <m:sub>
            <m:r>
              <m:t>n</m:t>
            </m:r>
          </m:sub>
        </m:sSub>
      </m:oMath>
      <w:r>
        <w:t xml:space="preserve"> </w:t>
      </w:r>
      <w:r>
        <w:t xml:space="preserve">随快拍变化，二者在目标运动过程中可以分离，可采用交替迭代求解。若进一步将信号源位置误差</w:t>
      </w:r>
      <w:r>
        <w:t xml:space="preserve"> </w:t>
      </w:r>
      <m:oMath>
        <m:r>
          <m:t>δ</m:t>
        </m:r>
        <m:sSub>
          <m:e>
            <m:r>
              <m:rPr>
                <m:sty m:val="b"/>
              </m:rPr>
              <m:t>t</m:t>
            </m:r>
          </m:e>
          <m:sub>
            <m:r>
              <m:t>i</m:t>
            </m:r>
          </m:sub>
        </m:sSub>
      </m:oMath>
      <w:r>
        <w:t xml:space="preserve"> </w:t>
      </w:r>
      <w:r>
        <w:t xml:space="preserve">作为未知参数纳入式(31)，则校准结果可推广到整个监视区。</w:t>
      </w:r>
    </w:p>
    <w:bookmarkEnd w:id="64"/>
    <w:bookmarkStart w:id="65" w:name="算法流程与运算量"/>
    <w:p>
      <w:pPr>
        <w:pStyle w:val="Heading2"/>
      </w:pPr>
      <w:r>
        <w:t xml:space="preserve">6.7 算法流程与运算量</w:t>
      </w:r>
    </w:p>
    <w:p>
      <w:pPr>
        <w:pStyle w:val="FirstParagraph"/>
      </w:pPr>
      <w:r>
        <w:t xml:space="preserve">10链路相参融合检测算法的完整流程为：</w:t>
      </w:r>
    </w:p>
    <w:p>
      <w:pPr>
        <w:pStyle w:val="BodyText"/>
      </w:pPr>
      <w:r>
        <w:t xml:space="preserve">（1）各接收站按5.1~5.6节处理，上报复数距离—多普勒图及标定参数；</w:t>
      </w:r>
    </w:p>
    <w:p>
      <w:pPr>
        <w:pStyle w:val="BodyText"/>
      </w:pPr>
      <w:r>
        <w:t xml:space="preserve">（2）融合中心对每个CPI，在目标状态粗网格上读取10条链路的归一化复值</w:t>
      </w:r>
      <w:r>
        <w:t xml:space="preserve"> </w:t>
      </w:r>
      <m:oMath>
        <m:sSub>
          <m:e>
            <m:acc>
              <m:accPr>
                <m:chr m:val="̃"/>
              </m:accPr>
              <m:e>
                <m:r>
                  <m:t>z</m:t>
                </m:r>
              </m:e>
            </m:acc>
          </m:e>
          <m:sub>
            <m:r>
              <m:t>l</m:t>
            </m:r>
          </m:sub>
        </m:sSub>
        <m:d>
          <m:dPr>
            <m:begChr m:val="("/>
            <m:sepChr m:val=""/>
            <m:endChr m:val=")"/>
            <m:grow/>
          </m:dPr>
          <m:e>
            <m:r>
              <m:rPr>
                <m:sty m:val="b"/>
              </m:rPr>
              <m:t>θ</m:t>
            </m:r>
          </m:e>
        </m:d>
      </m:oMath>
      <w:r>
        <w:t xml:space="preserve">，计算非相参统计量</w:t>
      </w:r>
      <w:r>
        <w:t xml:space="preserve"> </w:t>
      </w:r>
      <m:oMath>
        <m:sSub>
          <m:e>
            <m:r>
              <m:t>T</m:t>
            </m:r>
          </m:e>
          <m:sub>
            <m:r>
              <m:rPr>
                <m:sty m:val="p"/>
              </m:rPr>
              <m:t>N</m:t>
            </m:r>
          </m:sub>
        </m:sSub>
      </m:oMath>
      <w:r>
        <w:t xml:space="preserve">，以低门限选出候选单元；</w:t>
      </w:r>
    </w:p>
    <w:p>
      <w:pPr>
        <w:pStyle w:val="BodyText"/>
      </w:pPr>
      <w:r>
        <w:t xml:space="preserve">（3）对候选单元按式(20)进行相位补偿与MRC加权，按式(27)进行相参精搜索，得到</w:t>
      </w:r>
      <w:r>
        <w:t xml:space="preserve"> </w:t>
      </w:r>
      <m:oMath>
        <m:sSub>
          <m:e>
            <m:r>
              <m:t>T</m:t>
            </m:r>
          </m:e>
          <m:sub>
            <m:r>
              <m:rPr>
                <m:sty m:val="p"/>
              </m:rPr>
              <m:t>C</m:t>
            </m:r>
          </m:sub>
        </m:sSub>
      </m:oMath>
      <w:r>
        <w:t xml:space="preserve"> </w:t>
      </w:r>
      <w:r>
        <w:t xml:space="preserve">及精细位置；</w:t>
      </w:r>
    </w:p>
    <w:p>
      <w:pPr>
        <w:pStyle w:val="BodyText"/>
      </w:pPr>
      <w:r>
        <w:t xml:space="preserve">（4）按式(29)双支路判决（或按相关矩阵选择分组相参），经恒虚警处理输出检测结果；</w:t>
      </w:r>
    </w:p>
    <w:p>
      <w:pPr>
        <w:pStyle w:val="BodyText"/>
      </w:pPr>
      <w:r>
        <w:t xml:space="preserve">（5）检测结果送航迹处理；对高信噪比点状目标按式(31)更新</w:t>
      </w:r>
      <w:r>
        <w:t xml:space="preserve"> </w:t>
      </w:r>
      <m:oMath>
        <m:sSub>
          <m:e>
            <m:acc>
              <m:accPr>
                <m:chr m:val="̂"/>
              </m:accPr>
              <m:e>
                <m:r>
                  <m:t>κ</m:t>
                </m:r>
              </m:e>
            </m:acc>
          </m:e>
          <m:sub>
            <m:r>
              <m:t>l</m:t>
            </m:r>
          </m:sub>
        </m:sSub>
      </m:oMath>
      <w:r>
        <w:t xml:space="preserve">。</w:t>
      </w:r>
    </w:p>
    <w:p>
      <w:pPr>
        <w:pStyle w:val="BodyText"/>
      </w:pPr>
      <w:r>
        <w:t xml:space="preserve">运算量主要集中在各站的互模糊函数计算（与单站被动雷达相同）。融合中心粗检测的运算量与状态网格数和链路数之积成正比；精搜索的运算量约为“候选单元数×精细偏移数×</w:t>
      </w:r>
      <m:oMath>
        <m:r>
          <m:t>L</m:t>
        </m:r>
      </m:oMath>
      <w:r>
        <w:t xml:space="preserve">”次复数乘加，以1000个候选单元、441个精细偏移计约为</w:t>
      </w:r>
      <w:r>
        <w:t xml:space="preserve"> </w:t>
      </w:r>
      <m:oMath>
        <m:r>
          <m:t>4.4</m:t>
        </m:r>
        <m:r>
          <m:rPr>
            <m:sty m:val="p"/>
          </m:rPr>
          <m:t>×</m:t>
        </m:r>
        <m:sSup>
          <m:e>
            <m:r>
              <m:t>10</m:t>
            </m:r>
          </m:e>
          <m:sup>
            <m:r>
              <m:t>6</m:t>
            </m:r>
          </m:sup>
        </m:sSup>
      </m:oMath>
      <w:r>
        <w:t xml:space="preserve"> </w:t>
      </w:r>
      <w:r>
        <w:t xml:space="preserve">次，实时实现没有困难。</w:t>
      </w:r>
    </w:p>
    <w:bookmarkEnd w:id="65"/>
    <w:bookmarkEnd w:id="66"/>
    <w:bookmarkStart w:id="108" w:name="仿真实验与结果分析"/>
    <w:p>
      <w:pPr>
        <w:pStyle w:val="Heading1"/>
      </w:pPr>
      <w:r>
        <w:t xml:space="preserve">7 仿真实验与结果分析</w:t>
      </w:r>
    </w:p>
    <w:bookmarkStart w:id="67" w:name="仿真条件"/>
    <w:p>
      <w:pPr>
        <w:pStyle w:val="Heading2"/>
      </w:pPr>
      <w:r>
        <w:t xml:space="preserve">7.1 仿真条件</w:t>
      </w:r>
    </w:p>
    <w:p>
      <w:pPr>
        <w:pStyle w:val="FirstParagraph"/>
      </w:pPr>
      <w:r>
        <w:t xml:space="preserve">仿真场景如图1所示，主要参数见表3。两个信号源为相邻信道的CP-OFDM数字广播信号（MFN），各自独立调制；为检验参考通道的自同步特性，仿真中为两个信号源设置了随机初相、±10 Hz内的随机载频偏差与相位噪声，为各接收站设置了随机本振初相、相位噪声和</w:t>
      </w:r>
      <w:r>
        <w:t xml:space="preserve"> </w:t>
      </w:r>
      <m:oMath>
        <m:sSup>
          <m:e>
            <m:r>
              <m:t>10</m:t>
            </m:r>
          </m:e>
          <m:sup>
            <m:r>
              <m:rPr>
                <m:sty m:val="p"/>
              </m:rPr>
              <m:t>−</m:t>
            </m:r>
            <m:r>
              <m:t>9</m:t>
            </m:r>
          </m:sup>
        </m:sSup>
      </m:oMath>
      <w:r>
        <w:t xml:space="preserve"> </w:t>
      </w:r>
      <w:r>
        <w:t xml:space="preserve">量级的频率基准误差，为每条链路设置了随机的通道相位差</w:t>
      </w:r>
      <w:r>
        <w:t xml:space="preserve"> </w:t>
      </w:r>
      <m:oMath>
        <m:sSub>
          <m:e>
            <m:r>
              <m:t>κ</m:t>
            </m:r>
          </m:e>
          <m:sub>
            <m:r>
              <m:t>l</m:t>
            </m:r>
          </m:sub>
        </m:sSub>
      </m:oMath>
      <w:r>
        <w:t xml:space="preserve">（标定残差5°）。目标采用由5个散射中心构成、尺寸0.35 m的小型无人机模型，各链路信噪比由双基地雷达方程计算。单站处理采用解调—再调制参考提纯、双边抽头ECA与批处理互模糊函数，融合中心采用第6章算法。</w:t>
      </w:r>
    </w:p>
    <w:p>
      <w:pPr>
        <w:pStyle w:val="TableCaption"/>
      </w:pPr>
      <w:r>
        <w:t xml:space="preserve">表3 仿真参数</w:t>
      </w:r>
    </w:p>
    <w:tbl>
      <w:tblPr>
        <w:tblStyle w:val="Table"/>
        <w:tblW w:w="9070" w:type="dxa"/>
        <w:jc w:val="center"/>
        <w:tblBorders>
          <w:top w:val="single" w:sz="12" w:space="0" w:color="000000"/>
          <w:left w:val="nil"/>
          <w:bottom w:val="single" w:sz="12" w:space="0" w:color="000000"/>
          <w:right w:val="nil"/>
          <w:insideH w:val="nil"/>
          <w:insideV w:val="nil"/>
        </w:tblBorders>
        <w:tblLook w:firstRow="1" w:lastRow="0" w:firstColumn="0" w:lastColumn="0" w:noHBand="0" w:noVBand="0" w:val="0020"/>
        <w:tblCaption w:val="表3 仿真参数"/>
      </w:tblPr>
      <w:tblGrid>
        <w:gridCol w:w="3960"/>
        <w:gridCol w:w="3960"/>
      </w:tblGrid>
      <w:tr>
        <w:trPr>
          <w:tblHeader w:val="true"/>
          <w:cantSplit/>
        </w:trPr>
        <w:tc>
          <w:tcPr>
            <w:tcBorders>
              <w:bottom w:val="single" w:sz="6" w:space="0" w:color="000000"/>
            </w:tcBorders>
            <w:vAlign w:val="center"/>
          </w:tcPr>
          <w:p>
            <w:pPr>
              <w:pStyle w:val="Compact"/>
              <w:keepNext/>
              <w:jc w:val="left"/>
            </w:pPr>
            <w:r>
              <w:rPr>
                <w:b/>
              </w:rPr>
              <w:t xml:space="preserve">参数</w:t>
            </w:r>
          </w:p>
        </w:tc>
        <w:tc>
          <w:tcPr>
            <w:tcBorders>
              <w:bottom w:val="single" w:sz="6" w:space="0" w:color="000000"/>
            </w:tcBorders>
            <w:vAlign w:val="center"/>
          </w:tcPr>
          <w:p>
            <w:pPr>
              <w:pStyle w:val="Compact"/>
              <w:keepNext/>
              <w:jc w:val="left"/>
            </w:pPr>
            <w:r>
              <w:rPr>
                <w:b/>
              </w:rPr>
              <w:t xml:space="preserve">取值</w:t>
            </w:r>
          </w:p>
        </w:tc>
      </w:tr>
      <w:tr>
        <w:trPr>
          <w:cantSplit/>
        </w:trPr>
        <w:tc>
          <w:tcPr>
            <w:vAlign w:val="center"/>
          </w:tcPr>
          <w:p>
            <w:pPr>
              <w:pStyle w:val="Compact"/>
              <w:keepNext/>
              <w:jc w:val="left"/>
            </w:pPr>
            <w:r>
              <w:t xml:space="preserve">信号体制</w:t>
            </w:r>
          </w:p>
        </w:tc>
        <w:tc>
          <w:tcPr>
            <w:vAlign w:val="center"/>
          </w:tcPr>
          <w:p>
            <w:pPr>
              <w:pStyle w:val="Compact"/>
              <w:keepNext/>
              <w:jc w:val="left"/>
            </w:pPr>
            <w:r>
              <w:t xml:space="preserve">CP-OFDM，采样率7.56 MHz，2048子载波（有效1890），CP 1/8，QPSK</w:t>
            </w:r>
          </w:p>
        </w:tc>
      </w:tr>
      <w:tr>
        <w:trPr>
          <w:cantSplit/>
        </w:trPr>
        <w:tc>
          <w:tcPr>
            <w:vAlign w:val="center"/>
          </w:tcPr>
          <w:p>
            <w:pPr>
              <w:pStyle w:val="Compact"/>
              <w:keepNext/>
              <w:jc w:val="left"/>
            </w:pPr>
            <w:r>
              <w:t xml:space="preserve">载频 / 有效带宽</w:t>
            </w:r>
          </w:p>
        </w:tc>
        <w:tc>
          <w:tcPr>
            <w:vAlign w:val="center"/>
          </w:tcPr>
          <w:p>
            <w:pPr>
              <w:pStyle w:val="Compact"/>
              <w:keepNext/>
              <w:jc w:val="left"/>
            </w:pPr>
            <w:r>
              <w:t xml:space="preserve">T1：650 MHz，T2：658 MHz / 6.98 MHz</w:t>
            </w:r>
          </w:p>
        </w:tc>
      </w:tr>
      <w:tr>
        <w:trPr>
          <w:cantSplit/>
        </w:trPr>
        <w:tc>
          <w:tcPr>
            <w:vAlign w:val="center"/>
          </w:tcPr>
          <w:p>
            <w:pPr>
              <w:pStyle w:val="Compact"/>
              <w:keepNext/>
              <w:jc w:val="left"/>
            </w:pPr>
            <w:r>
              <w:t xml:space="preserve">等效辐射功率</w:t>
            </w:r>
          </w:p>
        </w:tc>
        <w:tc>
          <w:tcPr>
            <w:vAlign w:val="center"/>
          </w:tcPr>
          <w:p>
            <w:pPr>
              <w:pStyle w:val="Compact"/>
              <w:keepNext/>
              <w:jc w:val="left"/>
            </w:pPr>
            <w:r>
              <w:t xml:space="preserve">T1：10 kW，T2：5 kW</w:t>
            </w:r>
          </w:p>
        </w:tc>
      </w:tr>
      <w:tr>
        <w:trPr>
          <w:cantSplit/>
        </w:trPr>
        <w:tc>
          <w:tcPr>
            <w:vAlign w:val="center"/>
          </w:tcPr>
          <w:p>
            <w:pPr>
              <w:pStyle w:val="Compact"/>
              <w:keepNext/>
              <w:jc w:val="left"/>
            </w:pPr>
            <w:r>
              <w:t xml:space="preserve">信号源非理想因素</w:t>
            </w:r>
          </w:p>
        </w:tc>
        <w:tc>
          <w:tcPr>
            <w:vAlign w:val="center"/>
          </w:tcPr>
          <w:p>
            <w:pPr>
              <w:pStyle w:val="Compact"/>
              <w:keepNext/>
              <w:jc w:val="left"/>
            </w:pPr>
            <w:r>
              <w:t xml:space="preserve">随机初相、载频偏差 U(−10, 10) Hz、相位噪声</w:t>
            </w:r>
          </w:p>
        </w:tc>
      </w:tr>
      <w:tr>
        <w:trPr>
          <w:cantSplit/>
        </w:trPr>
        <w:tc>
          <w:tcPr>
            <w:vAlign w:val="center"/>
          </w:tcPr>
          <w:p>
            <w:pPr>
              <w:pStyle w:val="Compact"/>
              <w:keepNext/>
              <w:jc w:val="left"/>
            </w:pPr>
            <w:r>
              <w:t xml:space="preserve">接收站非理想因素</w:t>
            </w:r>
          </w:p>
        </w:tc>
        <w:tc>
          <w:tcPr>
            <w:vAlign w:val="center"/>
          </w:tcPr>
          <w:p>
            <w:pPr>
              <w:pStyle w:val="Compact"/>
              <w:keepNext/>
              <w:jc w:val="left"/>
            </w:pPr>
            <w:r>
              <w:t xml:space="preserve">随机本振初相与相位噪声、频率基准误差 U(−1, 1)×10</w:t>
            </w:r>
            <w:r>
              <w:rPr>
                <w:vertAlign w:val="superscript"/>
              </w:rPr>
              <w:t xml:space="preserve">−9</w:t>
            </w:r>
          </w:p>
        </w:tc>
      </w:tr>
      <w:tr>
        <w:trPr>
          <w:cantSplit/>
        </w:trPr>
        <w:tc>
          <w:tcPr>
            <w:vAlign w:val="center"/>
          </w:tcPr>
          <w:p>
            <w:pPr>
              <w:pStyle w:val="Compact"/>
              <w:keepNext/>
              <w:jc w:val="left"/>
            </w:pPr>
            <w:r>
              <w:t xml:space="preserve">参考通道</w:t>
            </w:r>
          </w:p>
        </w:tc>
        <w:tc>
          <w:tcPr>
            <w:vAlign w:val="center"/>
          </w:tcPr>
          <w:p>
            <w:pPr>
              <w:pStyle w:val="Compact"/>
              <w:keepNext/>
              <w:jc w:val="left"/>
            </w:pPr>
            <w:r>
              <w:t xml:space="preserve">直达波信噪比30 dB，经解调—再调制提纯</w:t>
            </w:r>
          </w:p>
        </w:tc>
      </w:tr>
      <w:tr>
        <w:trPr>
          <w:cantSplit/>
        </w:trPr>
        <w:tc>
          <w:tcPr>
            <w:vAlign w:val="center"/>
          </w:tcPr>
          <w:p>
            <w:pPr>
              <w:pStyle w:val="Compact"/>
              <w:keepNext/>
              <w:jc w:val="left"/>
            </w:pPr>
            <w:r>
              <w:t xml:space="preserve">监视通道</w:t>
            </w:r>
          </w:p>
        </w:tc>
        <w:tc>
          <w:tcPr>
            <w:vAlign w:val="center"/>
          </w:tcPr>
          <w:p>
            <w:pPr>
              <w:pStyle w:val="Compact"/>
              <w:keepNext/>
              <w:jc w:val="left"/>
            </w:pPr>
            <w:r>
              <w:t xml:space="preserve">直达波泄漏40 dB，8条多径杂波15~33 dB，热噪声</w:t>
            </w:r>
          </w:p>
        </w:tc>
      </w:tr>
      <w:tr>
        <w:trPr>
          <w:cantSplit/>
        </w:trPr>
        <w:tc>
          <w:tcPr>
            <w:vAlign w:val="center"/>
          </w:tcPr>
          <w:p>
            <w:pPr>
              <w:pStyle w:val="Compact"/>
              <w:keepNext/>
              <w:jc w:val="left"/>
            </w:pPr>
            <w:r>
              <w:t xml:space="preserve">接收站参数</w:t>
            </w:r>
          </w:p>
        </w:tc>
        <w:tc>
          <w:tcPr>
            <w:vAlign w:val="center"/>
          </w:tcPr>
          <w:p>
            <w:pPr>
              <w:pStyle w:val="Compact"/>
              <w:keepNext/>
              <w:jc w:val="left"/>
            </w:pPr>
            <w:r>
              <w:t xml:space="preserve">监视天线增益10 dBi，噪声系数5 dB，系统损耗5 dB</w:t>
            </w:r>
          </w:p>
        </w:tc>
      </w:tr>
      <w:tr>
        <w:trPr>
          <w:cantSplit/>
        </w:trPr>
        <w:tc>
          <w:tcPr>
            <w:vAlign w:val="center"/>
          </w:tcPr>
          <w:p>
            <w:pPr>
              <w:pStyle w:val="Compact"/>
              <w:keepNext/>
              <w:jc w:val="left"/>
            </w:pPr>
            <w:r>
              <w:t xml:space="preserve">目标</w:t>
            </w:r>
          </w:p>
        </w:tc>
        <w:tc>
          <w:tcPr>
            <w:vAlign w:val="center"/>
          </w:tcPr>
          <w:p>
            <w:pPr>
              <w:pStyle w:val="Compact"/>
              <w:keepNext/>
              <w:jc w:val="left"/>
            </w:pPr>
            <w:r>
              <w:t xml:space="preserve">小型无人机，尺寸0.35 m，RCS 0.1 m²，位置(4.0, 28.0, 1.5) km，速度(−25, −30, 0) m/s</w:t>
            </w:r>
          </w:p>
        </w:tc>
      </w:tr>
      <w:tr>
        <w:trPr>
          <w:cantSplit/>
        </w:trPr>
        <w:tc>
          <w:tcPr>
            <w:vAlign w:val="center"/>
          </w:tcPr>
          <w:p>
            <w:pPr>
              <w:pStyle w:val="Compact"/>
              <w:keepNext/>
              <w:jc w:val="left"/>
            </w:pPr>
            <w:r>
              <w:t xml:space="preserve">CPI / 批处理</w:t>
            </w:r>
          </w:p>
        </w:tc>
        <w:tc>
          <w:tcPr>
            <w:vAlign w:val="center"/>
          </w:tcPr>
          <w:p>
            <w:pPr>
              <w:pStyle w:val="Compact"/>
              <w:keepNext/>
              <w:jc w:val="left"/>
            </w:pPr>
            <w:r>
              <w:t xml:space="preserve">0.25 s（820个OFDM符号）/ 1024批×1845样点</w:t>
            </w:r>
          </w:p>
        </w:tc>
      </w:tr>
      <w:tr>
        <w:trPr>
          <w:cantSplit/>
        </w:trPr>
        <w:tc>
          <w:tcPr>
            <w:vAlign w:val="center"/>
          </w:tcPr>
          <w:p>
            <w:pPr>
              <w:pStyle w:val="Compact"/>
              <w:keepNext/>
              <w:jc w:val="left"/>
            </w:pPr>
            <w:r>
              <w:t xml:space="preserve">ECA抽头</w:t>
            </w:r>
          </w:p>
        </w:tc>
        <w:tc>
          <w:tcPr>
            <w:vAlign w:val="center"/>
          </w:tcPr>
          <w:p>
            <w:pPr>
              <w:pStyle w:val="Compact"/>
              <w:keepNext/>
              <w:jc w:val="left"/>
            </w:pPr>
            <w:r>
              <w:t xml:space="preserve">−16~79个样点</w:t>
            </w:r>
          </w:p>
        </w:tc>
      </w:tr>
      <w:tr>
        <w:trPr>
          <w:cantSplit/>
        </w:trPr>
        <w:tc>
          <w:tcPr>
            <w:vAlign w:val="center"/>
          </w:tcPr>
          <w:p>
            <w:pPr>
              <w:pStyle w:val="Compact"/>
              <w:jc w:val="left"/>
            </w:pPr>
            <w:r>
              <w:t xml:space="preserve">通道相位标定残差</w:t>
            </w:r>
          </w:p>
        </w:tc>
        <w:tc>
          <w:tcPr>
            <w:vAlign w:val="center"/>
          </w:tcPr>
          <w:p>
            <w:pPr>
              <w:pStyle w:val="Compact"/>
              <w:jc w:val="left"/>
            </w:pPr>
            <w:r>
              <w:t xml:space="preserve">5°（标准差）</w:t>
            </w:r>
          </w:p>
        </w:tc>
      </w:tr>
    </w:tbl>
    <w:p>
      <w:pPr>
        <w:pStyle w:val="BodyText"/>
      </w:pPr>
      <w:r>
        <w:t xml:space="preserve">各链路的几何参数与输出信噪比见表4。由于T1的辐射功率为T2的两倍，T1各链路的信噪比约高3 dB；单链路输出信噪比为 3.9~7.8 dB，按</w:t>
      </w:r>
      <w:r>
        <w:t xml:space="preserve"> </w:t>
      </w:r>
      <m:oMath>
        <m:sSub>
          <m:e>
            <m:r>
              <m:t>P</m:t>
            </m:r>
          </m:e>
          <m:sub>
            <m:r>
              <m:t>f</m:t>
            </m:r>
            <m:r>
              <m:t>a</m:t>
            </m:r>
          </m:sub>
        </m:sSub>
        <m:r>
          <m:rPr>
            <m:sty m:val="p"/>
          </m:rPr>
          <m:t>=</m:t>
        </m:r>
        <m:sSup>
          <m:e>
            <m:r>
              <m:t>10</m:t>
            </m:r>
          </m:e>
          <m:sup>
            <m:r>
              <m:rPr>
                <m:sty m:val="p"/>
              </m:rPr>
              <m:t>−</m:t>
            </m:r>
            <m:r>
              <m:t>6</m:t>
            </m:r>
          </m:sup>
        </m:sSup>
      </m:oMath>
      <w:r>
        <w:t xml:space="preserve"> </w:t>
      </w:r>
      <w:r>
        <w:t xml:space="preserve">均不足以可靠检测。实测信噪比较预测值平均低约 0.5 dB，主要来自时延—多普勒跨单元损失、对消损失与目标散射幅度在链路间的起伏。</w:t>
      </w:r>
    </w:p>
    <w:p>
      <w:pPr>
        <w:pStyle w:val="TableCaption"/>
      </w:pPr>
      <w:r>
        <w:t xml:space="preserve">表4 各链路几何参数与输出信噪比</w:t>
      </w:r>
    </w:p>
    <w:tbl>
      <w:tblPr>
        <w:tblStyle w:val="Table"/>
        <w:tblW w:w="9070" w:type="dxa"/>
        <w:jc w:val="center"/>
        <w:tblBorders>
          <w:top w:val="single" w:sz="12" w:space="0" w:color="000000"/>
          <w:left w:val="nil"/>
          <w:bottom w:val="single" w:sz="12" w:space="0" w:color="000000"/>
          <w:right w:val="nil"/>
          <w:insideH w:val="nil"/>
          <w:insideV w:val="nil"/>
        </w:tblBorders>
        <w:tblLook w:firstRow="1" w:lastRow="0" w:firstColumn="0" w:lastColumn="0" w:noHBand="0" w:noVBand="0" w:val="0020"/>
        <w:tblCaption w:val="表4 各链路几何参数与输出信噪比"/>
      </w:tblPr>
      <w:tblGrid>
        <w:gridCol w:w="1320"/>
        <w:gridCol w:w="1320"/>
        <w:gridCol w:w="1320"/>
        <w:gridCol w:w="1320"/>
        <w:gridCol w:w="1320"/>
        <w:gridCol w:w="1320"/>
      </w:tblGrid>
      <w:tr>
        <w:trPr>
          <w:tblHeader w:val="true"/>
          <w:cantSplit/>
        </w:trPr>
        <w:tc>
          <w:tcPr>
            <w:tcBorders>
              <w:bottom w:val="single" w:sz="6" w:space="0" w:color="000000"/>
            </w:tcBorders>
            <w:vAlign w:val="center"/>
          </w:tcPr>
          <w:p>
            <w:pPr>
              <w:pStyle w:val="Compact"/>
              <w:keepNext/>
              <w:jc w:val="center"/>
            </w:pPr>
            <w:r>
              <w:rPr>
                <w:b/>
              </w:rPr>
              <w:t xml:space="preserve">链路</w:t>
            </w:r>
          </w:p>
        </w:tc>
        <w:tc>
          <w:tcPr>
            <w:tcBorders>
              <w:bottom w:val="single" w:sz="6" w:space="0" w:color="000000"/>
            </w:tcBorders>
            <w:vAlign w:val="center"/>
          </w:tcPr>
          <w:p>
            <w:pPr>
              <w:pStyle w:val="Compact"/>
              <w:keepNext/>
              <w:jc w:val="center"/>
            </w:pPr>
            <w:r>
              <w:rPr>
                <w:b/>
              </w:rPr>
              <w:t xml:space="preserve">双基地距离差/km</w:t>
            </w:r>
          </w:p>
        </w:tc>
        <w:tc>
          <w:tcPr>
            <w:tcBorders>
              <w:bottom w:val="single" w:sz="6" w:space="0" w:color="000000"/>
            </w:tcBorders>
            <w:vAlign w:val="center"/>
          </w:tcPr>
          <w:p>
            <w:pPr>
              <w:pStyle w:val="Compact"/>
              <w:keepNext/>
              <w:jc w:val="center"/>
            </w:pPr>
            <w:r>
              <w:rPr>
                <w:b/>
              </w:rPr>
              <w:t xml:space="preserve">多普勒/Hz</w:t>
            </w:r>
          </w:p>
        </w:tc>
        <w:tc>
          <w:tcPr>
            <w:tcBorders>
              <w:bottom w:val="single" w:sz="6" w:space="0" w:color="000000"/>
            </w:tcBorders>
            <w:vAlign w:val="center"/>
          </w:tcPr>
          <w:p>
            <w:pPr>
              <w:pStyle w:val="Compact"/>
              <w:keepNext/>
              <w:jc w:val="center"/>
            </w:pPr>
            <w:r>
              <w:rPr>
                <w:b/>
              </w:rPr>
              <w:t xml:space="preserve">双基地角/(°)</w:t>
            </w:r>
          </w:p>
        </w:tc>
        <w:tc>
          <w:tcPr>
            <w:tcBorders>
              <w:bottom w:val="single" w:sz="6" w:space="0" w:color="000000"/>
            </w:tcBorders>
            <w:vAlign w:val="center"/>
          </w:tcPr>
          <w:p>
            <w:pPr>
              <w:pStyle w:val="Compact"/>
              <w:keepNext/>
              <w:jc w:val="center"/>
            </w:pPr>
            <w:r>
              <w:rPr>
                <w:b/>
              </w:rPr>
              <w:t xml:space="preserve">预测SNR/dB</w:t>
            </w:r>
          </w:p>
        </w:tc>
        <w:tc>
          <w:tcPr>
            <w:tcBorders>
              <w:bottom w:val="single" w:sz="6" w:space="0" w:color="000000"/>
            </w:tcBorders>
            <w:vAlign w:val="center"/>
          </w:tcPr>
          <w:p>
            <w:pPr>
              <w:pStyle w:val="Compact"/>
              <w:keepNext/>
              <w:jc w:val="center"/>
            </w:pPr>
            <w:r>
              <w:rPr>
                <w:b/>
              </w:rPr>
              <w:t xml:space="preserve">实测SNR/dB</w:t>
            </w:r>
          </w:p>
        </w:tc>
      </w:tr>
      <w:tr>
        <w:trPr>
          <w:cantSplit/>
        </w:trPr>
        <w:tc>
          <w:tcPr>
            <w:vAlign w:val="center"/>
          </w:tcPr>
          <w:p>
            <w:pPr>
              <w:pStyle w:val="Compact"/>
              <w:keepNext/>
              <w:jc w:val="center"/>
            </w:pPr>
            <w:r>
              <w:t xml:space="preserve">T1R1</w:t>
            </w:r>
          </w:p>
        </w:tc>
        <w:tc>
          <w:tcPr>
            <w:vAlign w:val="center"/>
          </w:tcPr>
          <w:p>
            <w:pPr>
              <w:pStyle w:val="Compact"/>
              <w:keepNext/>
              <w:jc w:val="center"/>
            </w:pPr>
            <w:r>
              <w:t xml:space="preserve">51.58</w:t>
            </w:r>
          </w:p>
        </w:tc>
        <w:tc>
          <w:tcPr>
            <w:vAlign w:val="center"/>
          </w:tcPr>
          <w:p>
            <w:pPr>
              <w:pStyle w:val="Compact"/>
              <w:keepNext/>
              <w:jc w:val="center"/>
            </w:pPr>
            <w:r>
              <w:t xml:space="preserve">154.8</w:t>
            </w:r>
          </w:p>
        </w:tc>
        <w:tc>
          <w:tcPr>
            <w:vAlign w:val="center"/>
          </w:tcPr>
          <w:p>
            <w:pPr>
              <w:pStyle w:val="Compact"/>
              <w:keepNext/>
              <w:jc w:val="center"/>
            </w:pPr>
            <w:r>
              <w:t xml:space="preserve">19.8</w:t>
            </w:r>
          </w:p>
        </w:tc>
        <w:tc>
          <w:tcPr>
            <w:vAlign w:val="center"/>
          </w:tcPr>
          <w:p>
            <w:pPr>
              <w:pStyle w:val="Compact"/>
              <w:keepNext/>
              <w:jc w:val="center"/>
            </w:pPr>
            <w:r>
              <w:t xml:space="preserve">7.51</w:t>
            </w:r>
          </w:p>
        </w:tc>
        <w:tc>
          <w:tcPr>
            <w:vAlign w:val="center"/>
          </w:tcPr>
          <w:p>
            <w:pPr>
              <w:pStyle w:val="Compact"/>
              <w:keepNext/>
              <w:jc w:val="center"/>
            </w:pPr>
            <w:r>
              <w:t xml:space="preserve">6.68</w:t>
            </w:r>
          </w:p>
        </w:tc>
      </w:tr>
      <w:tr>
        <w:trPr>
          <w:cantSplit/>
        </w:trPr>
        <w:tc>
          <w:tcPr>
            <w:vAlign w:val="center"/>
          </w:tcPr>
          <w:p>
            <w:pPr>
              <w:pStyle w:val="Compact"/>
              <w:keepNext/>
              <w:jc w:val="center"/>
            </w:pPr>
            <w:r>
              <w:t xml:space="preserve">T1R2</w:t>
            </w:r>
          </w:p>
        </w:tc>
        <w:tc>
          <w:tcPr>
            <w:vAlign w:val="center"/>
          </w:tcPr>
          <w:p>
            <w:pPr>
              <w:pStyle w:val="Compact"/>
              <w:keepNext/>
              <w:jc w:val="center"/>
            </w:pPr>
            <w:r>
              <w:t xml:space="preserve">49.29</w:t>
            </w:r>
          </w:p>
        </w:tc>
        <w:tc>
          <w:tcPr>
            <w:vAlign w:val="center"/>
          </w:tcPr>
          <w:p>
            <w:pPr>
              <w:pStyle w:val="Compact"/>
              <w:keepNext/>
              <w:jc w:val="center"/>
            </w:pPr>
            <w:r>
              <w:t xml:space="preserve">152.6</w:t>
            </w:r>
          </w:p>
        </w:tc>
        <w:tc>
          <w:tcPr>
            <w:vAlign w:val="center"/>
          </w:tcPr>
          <w:p>
            <w:pPr>
              <w:pStyle w:val="Compact"/>
              <w:keepNext/>
              <w:jc w:val="center"/>
            </w:pPr>
            <w:r>
              <w:t xml:space="preserve">22.5</w:t>
            </w:r>
          </w:p>
        </w:tc>
        <w:tc>
          <w:tcPr>
            <w:vAlign w:val="center"/>
          </w:tcPr>
          <w:p>
            <w:pPr>
              <w:pStyle w:val="Compact"/>
              <w:keepNext/>
              <w:jc w:val="center"/>
            </w:pPr>
            <w:r>
              <w:t xml:space="preserve">7.74</w:t>
            </w:r>
          </w:p>
        </w:tc>
        <w:tc>
          <w:tcPr>
            <w:vAlign w:val="center"/>
          </w:tcPr>
          <w:p>
            <w:pPr>
              <w:pStyle w:val="Compact"/>
              <w:keepNext/>
              <w:jc w:val="center"/>
            </w:pPr>
            <w:r>
              <w:t xml:space="preserve">7.34</w:t>
            </w:r>
          </w:p>
        </w:tc>
      </w:tr>
      <w:tr>
        <w:trPr>
          <w:cantSplit/>
        </w:trPr>
        <w:tc>
          <w:tcPr>
            <w:vAlign w:val="center"/>
          </w:tcPr>
          <w:p>
            <w:pPr>
              <w:pStyle w:val="Compact"/>
              <w:keepNext/>
              <w:jc w:val="center"/>
            </w:pPr>
            <w:r>
              <w:t xml:space="preserve">T1R3</w:t>
            </w:r>
          </w:p>
        </w:tc>
        <w:tc>
          <w:tcPr>
            <w:vAlign w:val="center"/>
          </w:tcPr>
          <w:p>
            <w:pPr>
              <w:pStyle w:val="Compact"/>
              <w:keepNext/>
              <w:jc w:val="center"/>
            </w:pPr>
            <w:r>
              <w:t xml:space="preserve">50.97</w:t>
            </w:r>
          </w:p>
        </w:tc>
        <w:tc>
          <w:tcPr>
            <w:vAlign w:val="center"/>
          </w:tcPr>
          <w:p>
            <w:pPr>
              <w:pStyle w:val="Compact"/>
              <w:keepNext/>
              <w:jc w:val="center"/>
            </w:pPr>
            <w:r>
              <w:t xml:space="preserve">156.4</w:t>
            </w:r>
          </w:p>
        </w:tc>
        <w:tc>
          <w:tcPr>
            <w:vAlign w:val="center"/>
          </w:tcPr>
          <w:p>
            <w:pPr>
              <w:pStyle w:val="Compact"/>
              <w:keepNext/>
              <w:jc w:val="center"/>
            </w:pPr>
            <w:r>
              <w:t xml:space="preserve">17.6</w:t>
            </w:r>
          </w:p>
        </w:tc>
        <w:tc>
          <w:tcPr>
            <w:vAlign w:val="center"/>
          </w:tcPr>
          <w:p>
            <w:pPr>
              <w:pStyle w:val="Compact"/>
              <w:keepNext/>
              <w:jc w:val="center"/>
            </w:pPr>
            <w:r>
              <w:t xml:space="preserve">7.80</w:t>
            </w:r>
          </w:p>
        </w:tc>
        <w:tc>
          <w:tcPr>
            <w:vAlign w:val="center"/>
          </w:tcPr>
          <w:p>
            <w:pPr>
              <w:pStyle w:val="Compact"/>
              <w:keepNext/>
              <w:jc w:val="center"/>
            </w:pPr>
            <w:r>
              <w:t xml:space="preserve">7.16</w:t>
            </w:r>
          </w:p>
        </w:tc>
      </w:tr>
      <w:tr>
        <w:trPr>
          <w:cantSplit/>
        </w:trPr>
        <w:tc>
          <w:tcPr>
            <w:vAlign w:val="center"/>
          </w:tcPr>
          <w:p>
            <w:pPr>
              <w:pStyle w:val="Compact"/>
              <w:keepNext/>
              <w:jc w:val="center"/>
            </w:pPr>
            <w:r>
              <w:t xml:space="preserve">T1R4</w:t>
            </w:r>
          </w:p>
        </w:tc>
        <w:tc>
          <w:tcPr>
            <w:vAlign w:val="center"/>
          </w:tcPr>
          <w:p>
            <w:pPr>
              <w:pStyle w:val="Compact"/>
              <w:keepNext/>
              <w:jc w:val="center"/>
            </w:pPr>
            <w:r>
              <w:t xml:space="preserve">52.34</w:t>
            </w:r>
          </w:p>
        </w:tc>
        <w:tc>
          <w:tcPr>
            <w:vAlign w:val="center"/>
          </w:tcPr>
          <w:p>
            <w:pPr>
              <w:pStyle w:val="Compact"/>
              <w:keepNext/>
              <w:jc w:val="center"/>
            </w:pPr>
            <w:r>
              <w:t xml:space="preserve">153.3</w:t>
            </w:r>
          </w:p>
        </w:tc>
        <w:tc>
          <w:tcPr>
            <w:vAlign w:val="center"/>
          </w:tcPr>
          <w:p>
            <w:pPr>
              <w:pStyle w:val="Compact"/>
              <w:keepNext/>
              <w:jc w:val="center"/>
            </w:pPr>
            <w:r>
              <w:t xml:space="preserve">21.7</w:t>
            </w:r>
          </w:p>
        </w:tc>
        <w:tc>
          <w:tcPr>
            <w:vAlign w:val="center"/>
          </w:tcPr>
          <w:p>
            <w:pPr>
              <w:pStyle w:val="Compact"/>
              <w:keepNext/>
              <w:jc w:val="center"/>
            </w:pPr>
            <w:r>
              <w:t xml:space="preserve">7.18</w:t>
            </w:r>
          </w:p>
        </w:tc>
        <w:tc>
          <w:tcPr>
            <w:vAlign w:val="center"/>
          </w:tcPr>
          <w:p>
            <w:pPr>
              <w:pStyle w:val="Compact"/>
              <w:keepNext/>
              <w:jc w:val="center"/>
            </w:pPr>
            <w:r>
              <w:t xml:space="preserve">6.39</w:t>
            </w:r>
          </w:p>
        </w:tc>
      </w:tr>
      <w:tr>
        <w:trPr>
          <w:cantSplit/>
        </w:trPr>
        <w:tc>
          <w:tcPr>
            <w:vAlign w:val="center"/>
          </w:tcPr>
          <w:p>
            <w:pPr>
              <w:pStyle w:val="Compact"/>
              <w:keepNext/>
              <w:jc w:val="center"/>
            </w:pPr>
            <w:r>
              <w:t xml:space="preserve">T1R5</w:t>
            </w:r>
          </w:p>
        </w:tc>
        <w:tc>
          <w:tcPr>
            <w:vAlign w:val="center"/>
          </w:tcPr>
          <w:p>
            <w:pPr>
              <w:pStyle w:val="Compact"/>
              <w:keepNext/>
              <w:jc w:val="center"/>
            </w:pPr>
            <w:r>
              <w:t xml:space="preserve">49.84</w:t>
            </w:r>
          </w:p>
        </w:tc>
        <w:tc>
          <w:tcPr>
            <w:vAlign w:val="center"/>
          </w:tcPr>
          <w:p>
            <w:pPr>
              <w:pStyle w:val="Compact"/>
              <w:keepNext/>
              <w:jc w:val="center"/>
            </w:pPr>
            <w:r>
              <w:t xml:space="preserve">151.1</w:t>
            </w:r>
          </w:p>
        </w:tc>
        <w:tc>
          <w:tcPr>
            <w:vAlign w:val="center"/>
          </w:tcPr>
          <w:p>
            <w:pPr>
              <w:pStyle w:val="Compact"/>
              <w:keepNext/>
              <w:jc w:val="center"/>
            </w:pPr>
            <w:r>
              <w:t xml:space="preserve">24.3</w:t>
            </w:r>
          </w:p>
        </w:tc>
        <w:tc>
          <w:tcPr>
            <w:vAlign w:val="center"/>
          </w:tcPr>
          <w:p>
            <w:pPr>
              <w:pStyle w:val="Compact"/>
              <w:keepNext/>
              <w:jc w:val="center"/>
            </w:pPr>
            <w:r>
              <w:t xml:space="preserve">7.45</w:t>
            </w:r>
          </w:p>
        </w:tc>
        <w:tc>
          <w:tcPr>
            <w:vAlign w:val="center"/>
          </w:tcPr>
          <w:p>
            <w:pPr>
              <w:pStyle w:val="Compact"/>
              <w:keepNext/>
              <w:jc w:val="center"/>
            </w:pPr>
            <w:r>
              <w:t xml:space="preserve">7.30</w:t>
            </w:r>
          </w:p>
        </w:tc>
      </w:tr>
      <w:tr>
        <w:trPr>
          <w:cantSplit/>
        </w:trPr>
        <w:tc>
          <w:tcPr>
            <w:vAlign w:val="center"/>
          </w:tcPr>
          <w:p>
            <w:pPr>
              <w:pStyle w:val="Compact"/>
              <w:keepNext/>
              <w:jc w:val="center"/>
            </w:pPr>
            <w:r>
              <w:t xml:space="preserve">T2R1</w:t>
            </w:r>
          </w:p>
        </w:tc>
        <w:tc>
          <w:tcPr>
            <w:vAlign w:val="center"/>
          </w:tcPr>
          <w:p>
            <w:pPr>
              <w:pStyle w:val="Compact"/>
              <w:keepNext/>
              <w:jc w:val="center"/>
            </w:pPr>
            <w:r>
              <w:t xml:space="preserve">53.53</w:t>
            </w:r>
          </w:p>
        </w:tc>
        <w:tc>
          <w:tcPr>
            <w:vAlign w:val="center"/>
          </w:tcPr>
          <w:p>
            <w:pPr>
              <w:pStyle w:val="Compact"/>
              <w:keepNext/>
              <w:jc w:val="center"/>
            </w:pPr>
            <w:r>
              <w:t xml:space="preserve">155.0</w:t>
            </w:r>
          </w:p>
        </w:tc>
        <w:tc>
          <w:tcPr>
            <w:vAlign w:val="center"/>
          </w:tcPr>
          <w:p>
            <w:pPr>
              <w:pStyle w:val="Compact"/>
              <w:keepNext/>
              <w:jc w:val="center"/>
            </w:pPr>
            <w:r>
              <w:t xml:space="preserve">15.2</w:t>
            </w:r>
          </w:p>
        </w:tc>
        <w:tc>
          <w:tcPr>
            <w:vAlign w:val="center"/>
          </w:tcPr>
          <w:p>
            <w:pPr>
              <w:pStyle w:val="Compact"/>
              <w:keepNext/>
              <w:jc w:val="center"/>
            </w:pPr>
            <w:r>
              <w:t xml:space="preserve">4.23</w:t>
            </w:r>
          </w:p>
        </w:tc>
        <w:tc>
          <w:tcPr>
            <w:vAlign w:val="center"/>
          </w:tcPr>
          <w:p>
            <w:pPr>
              <w:pStyle w:val="Compact"/>
              <w:keepNext/>
              <w:jc w:val="center"/>
            </w:pPr>
            <w:r>
              <w:t xml:space="preserve">4.55</w:t>
            </w:r>
          </w:p>
        </w:tc>
      </w:tr>
      <w:tr>
        <w:trPr>
          <w:cantSplit/>
        </w:trPr>
        <w:tc>
          <w:tcPr>
            <w:vAlign w:val="center"/>
          </w:tcPr>
          <w:p>
            <w:pPr>
              <w:pStyle w:val="Compact"/>
              <w:keepNext/>
              <w:jc w:val="center"/>
            </w:pPr>
            <w:r>
              <w:t xml:space="preserve">T2R2</w:t>
            </w:r>
          </w:p>
        </w:tc>
        <w:tc>
          <w:tcPr>
            <w:vAlign w:val="center"/>
          </w:tcPr>
          <w:p>
            <w:pPr>
              <w:pStyle w:val="Compact"/>
              <w:keepNext/>
              <w:jc w:val="center"/>
            </w:pPr>
            <w:r>
              <w:t xml:space="preserve">51.27</w:t>
            </w:r>
          </w:p>
        </w:tc>
        <w:tc>
          <w:tcPr>
            <w:vAlign w:val="center"/>
          </w:tcPr>
          <w:p>
            <w:pPr>
              <w:pStyle w:val="Compact"/>
              <w:keepNext/>
              <w:jc w:val="center"/>
            </w:pPr>
            <w:r>
              <w:t xml:space="preserve">152.8</w:t>
            </w:r>
          </w:p>
        </w:tc>
        <w:tc>
          <w:tcPr>
            <w:vAlign w:val="center"/>
          </w:tcPr>
          <w:p>
            <w:pPr>
              <w:pStyle w:val="Compact"/>
              <w:keepNext/>
              <w:jc w:val="center"/>
            </w:pPr>
            <w:r>
              <w:t xml:space="preserve">17.9</w:t>
            </w:r>
          </w:p>
        </w:tc>
        <w:tc>
          <w:tcPr>
            <w:vAlign w:val="center"/>
          </w:tcPr>
          <w:p>
            <w:pPr>
              <w:pStyle w:val="Compact"/>
              <w:keepNext/>
              <w:jc w:val="center"/>
            </w:pPr>
            <w:r>
              <w:t xml:space="preserve">4.46</w:t>
            </w:r>
          </w:p>
        </w:tc>
        <w:tc>
          <w:tcPr>
            <w:vAlign w:val="center"/>
          </w:tcPr>
          <w:p>
            <w:pPr>
              <w:pStyle w:val="Compact"/>
              <w:keepNext/>
              <w:jc w:val="center"/>
            </w:pPr>
            <w:r>
              <w:t xml:space="preserve">4.33</w:t>
            </w:r>
          </w:p>
        </w:tc>
      </w:tr>
      <w:tr>
        <w:trPr>
          <w:cantSplit/>
        </w:trPr>
        <w:tc>
          <w:tcPr>
            <w:vAlign w:val="center"/>
          </w:tcPr>
          <w:p>
            <w:pPr>
              <w:pStyle w:val="Compact"/>
              <w:keepNext/>
              <w:jc w:val="center"/>
            </w:pPr>
            <w:r>
              <w:t xml:space="preserve">T2R3</w:t>
            </w:r>
          </w:p>
        </w:tc>
        <w:tc>
          <w:tcPr>
            <w:vAlign w:val="center"/>
          </w:tcPr>
          <w:p>
            <w:pPr>
              <w:pStyle w:val="Compact"/>
              <w:keepNext/>
              <w:jc w:val="center"/>
            </w:pPr>
            <w:r>
              <w:t xml:space="preserve">52.62</w:t>
            </w:r>
          </w:p>
        </w:tc>
        <w:tc>
          <w:tcPr>
            <w:vAlign w:val="center"/>
          </w:tcPr>
          <w:p>
            <w:pPr>
              <w:pStyle w:val="Compact"/>
              <w:keepNext/>
              <w:jc w:val="center"/>
            </w:pPr>
            <w:r>
              <w:t xml:space="preserve">156.6</w:t>
            </w:r>
          </w:p>
        </w:tc>
        <w:tc>
          <w:tcPr>
            <w:vAlign w:val="center"/>
          </w:tcPr>
          <w:p>
            <w:pPr>
              <w:pStyle w:val="Compact"/>
              <w:keepNext/>
              <w:jc w:val="center"/>
            </w:pPr>
            <w:r>
              <w:t xml:space="preserve">13.0</w:t>
            </w:r>
          </w:p>
        </w:tc>
        <w:tc>
          <w:tcPr>
            <w:vAlign w:val="center"/>
          </w:tcPr>
          <w:p>
            <w:pPr>
              <w:pStyle w:val="Compact"/>
              <w:keepNext/>
              <w:jc w:val="center"/>
            </w:pPr>
            <w:r>
              <w:t xml:space="preserve">4.52</w:t>
            </w:r>
          </w:p>
        </w:tc>
        <w:tc>
          <w:tcPr>
            <w:vAlign w:val="center"/>
          </w:tcPr>
          <w:p>
            <w:pPr>
              <w:pStyle w:val="Compact"/>
              <w:keepNext/>
              <w:jc w:val="center"/>
            </w:pPr>
            <w:r>
              <w:t xml:space="preserve">3.37</w:t>
            </w:r>
          </w:p>
        </w:tc>
      </w:tr>
      <w:tr>
        <w:trPr>
          <w:cantSplit/>
        </w:trPr>
        <w:tc>
          <w:tcPr>
            <w:vAlign w:val="center"/>
          </w:tcPr>
          <w:p>
            <w:pPr>
              <w:pStyle w:val="Compact"/>
              <w:keepNext/>
              <w:jc w:val="center"/>
            </w:pPr>
            <w:r>
              <w:t xml:space="preserve">T2R4</w:t>
            </w:r>
          </w:p>
        </w:tc>
        <w:tc>
          <w:tcPr>
            <w:vAlign w:val="center"/>
          </w:tcPr>
          <w:p>
            <w:pPr>
              <w:pStyle w:val="Compact"/>
              <w:keepNext/>
              <w:jc w:val="center"/>
            </w:pPr>
            <w:r>
              <w:t xml:space="preserve">54.57</w:t>
            </w:r>
          </w:p>
        </w:tc>
        <w:tc>
          <w:tcPr>
            <w:vAlign w:val="center"/>
          </w:tcPr>
          <w:p>
            <w:pPr>
              <w:pStyle w:val="Compact"/>
              <w:keepNext/>
              <w:jc w:val="center"/>
            </w:pPr>
            <w:r>
              <w:t xml:space="preserve">153.5</w:t>
            </w:r>
          </w:p>
        </w:tc>
        <w:tc>
          <w:tcPr>
            <w:vAlign w:val="center"/>
          </w:tcPr>
          <w:p>
            <w:pPr>
              <w:pStyle w:val="Compact"/>
              <w:keepNext/>
              <w:jc w:val="center"/>
            </w:pPr>
            <w:r>
              <w:t xml:space="preserve">17.1</w:t>
            </w:r>
          </w:p>
        </w:tc>
        <w:tc>
          <w:tcPr>
            <w:vAlign w:val="center"/>
          </w:tcPr>
          <w:p>
            <w:pPr>
              <w:pStyle w:val="Compact"/>
              <w:keepNext/>
              <w:jc w:val="center"/>
            </w:pPr>
            <w:r>
              <w:t xml:space="preserve">3.90</w:t>
            </w:r>
          </w:p>
        </w:tc>
        <w:tc>
          <w:tcPr>
            <w:vAlign w:val="center"/>
          </w:tcPr>
          <w:p>
            <w:pPr>
              <w:pStyle w:val="Compact"/>
              <w:keepNext/>
              <w:jc w:val="center"/>
            </w:pPr>
            <w:r>
              <w:t xml:space="preserve">2.99</w:t>
            </w:r>
          </w:p>
        </w:tc>
      </w:tr>
      <w:tr>
        <w:trPr>
          <w:cantSplit/>
        </w:trPr>
        <w:tc>
          <w:tcPr>
            <w:vAlign w:val="center"/>
          </w:tcPr>
          <w:p>
            <w:pPr>
              <w:pStyle w:val="Compact"/>
              <w:jc w:val="center"/>
            </w:pPr>
            <w:r>
              <w:t xml:space="preserve">T2R5</w:t>
            </w:r>
          </w:p>
        </w:tc>
        <w:tc>
          <w:tcPr>
            <w:vAlign w:val="center"/>
          </w:tcPr>
          <w:p>
            <w:pPr>
              <w:pStyle w:val="Compact"/>
              <w:jc w:val="center"/>
            </w:pPr>
            <w:r>
              <w:t xml:space="preserve">52.04</w:t>
            </w:r>
          </w:p>
        </w:tc>
        <w:tc>
          <w:tcPr>
            <w:vAlign w:val="center"/>
          </w:tcPr>
          <w:p>
            <w:pPr>
              <w:pStyle w:val="Compact"/>
              <w:jc w:val="center"/>
            </w:pPr>
            <w:r>
              <w:t xml:space="preserve">151.2</w:t>
            </w:r>
          </w:p>
        </w:tc>
        <w:tc>
          <w:tcPr>
            <w:vAlign w:val="center"/>
          </w:tcPr>
          <w:p>
            <w:pPr>
              <w:pStyle w:val="Compact"/>
              <w:jc w:val="center"/>
            </w:pPr>
            <w:r>
              <w:t xml:space="preserve">19.7</w:t>
            </w:r>
          </w:p>
        </w:tc>
        <w:tc>
          <w:tcPr>
            <w:vAlign w:val="center"/>
          </w:tcPr>
          <w:p>
            <w:pPr>
              <w:pStyle w:val="Compact"/>
              <w:jc w:val="center"/>
            </w:pPr>
            <w:r>
              <w:t xml:space="preserve">4.17</w:t>
            </w:r>
          </w:p>
        </w:tc>
        <w:tc>
          <w:tcPr>
            <w:vAlign w:val="center"/>
          </w:tcPr>
          <w:p>
            <w:pPr>
              <w:pStyle w:val="Compact"/>
              <w:jc w:val="center"/>
            </w:pPr>
            <w:r>
              <w:t xml:space="preserve">4.32</w:t>
            </w:r>
          </w:p>
        </w:tc>
      </w:tr>
    </w:tbl>
    <w:p>
      <w:pPr>
        <w:pStyle w:val="BodyText"/>
      </w:pPr>
      <w:r>
        <w:t xml:space="preserve">注：实测SNR为 20 次独立试验的统计平均（试验中目标RCS提高10 dB以降低统计起伏，表中已折算回原条件）。</w:t>
      </w:r>
    </w:p>
    <w:bookmarkEnd w:id="67"/>
    <w:bookmarkStart w:id="74" w:name="单站处理结果"/>
    <w:p>
      <w:pPr>
        <w:pStyle w:val="Heading2"/>
      </w:pPr>
      <w:r>
        <w:t xml:space="preserve">7.2 单站处理结果</w:t>
      </w:r>
    </w:p>
    <w:p>
      <w:pPr>
        <w:pStyle w:val="FirstParagraph"/>
      </w:pPr>
      <w:r>
        <w:t xml:space="preserve">以接收站R1对信号源T1的处理为例。参考信号经解调—再调制提纯后，与无噪声直达波的相对误差由原始参考信号的 −30.0 dB 降至 −53.8 dB。监视通道经ECA对消后，信号功率由高于热噪声 42.0 dB 降至高于热噪声 0.16 dB，直达波与多径杂波被抑制到噪声电平以下。图6为ECA对消前后的距离—多普勒图：对消前直达波及其距离—多普勒旁瓣抬高了整个平面的底噪（高出热噪声约30~40 dB），对消后底噪回到热噪声电平，仅零多普勒附近残留微弱杂波，而目标（单链路信噪比约7 dB）仍淹没在噪声起伏之中。</w:t>
      </w:r>
    </w:p>
    <w:p>
      <w:pPr>
        <w:pStyle w:val="CaptionedFigure"/>
      </w:pPr>
      <w:r>
        <w:drawing>
          <wp:inline>
            <wp:extent cx="5334000" cy="1921165"/>
            <wp:effectExtent b="0" l="0" r="0" t="0"/>
            <wp:docPr descr="图6 接收站R1对信号源T1的距离—多普勒图：(a) ECA对消前；(b) ECA对消后" title="" id="69" name="Picture"/>
            <a:graphic>
              <a:graphicData uri="http://schemas.openxmlformats.org/drawingml/2006/picture">
                <pic:pic>
                  <pic:nvPicPr>
                    <pic:cNvPr descr="figures/sig_station_eca.png" id="70" name="Picture"/>
                    <pic:cNvPicPr>
                      <a:picLocks noChangeArrowheads="1" noChangeAspect="1"/>
                    </pic:cNvPicPr>
                  </pic:nvPicPr>
                  <pic:blipFill>
                    <a:blip r:embed="rId68"/>
                    <a:stretch>
                      <a:fillRect/>
                    </a:stretch>
                  </pic:blipFill>
                  <pic:spPr bwMode="auto">
                    <a:xfrm>
                      <a:off x="0" y="0"/>
                      <a:ext cx="5334000" cy="1921165"/>
                    </a:xfrm>
                    <a:prstGeom prst="rect">
                      <a:avLst/>
                    </a:prstGeom>
                    <a:noFill/>
                    <a:ln w="9525">
                      <a:noFill/>
                      <a:headEnd/>
                      <a:tailEnd/>
                    </a:ln>
                  </pic:spPr>
                </pic:pic>
              </a:graphicData>
            </a:graphic>
          </wp:inline>
        </w:drawing>
      </w:r>
    </w:p>
    <w:p>
      <w:pPr>
        <w:pStyle w:val="ImageCaption"/>
      </w:pPr>
      <w:r>
        <w:t xml:space="preserve">图6 接收站R1对信号源T1的距离—多普勒图：(a) ECA对消前；(b) ECA对消后</w:t>
      </w:r>
    </w:p>
    <w:p>
      <w:pPr>
        <w:pStyle w:val="BodyText"/>
      </w:pPr>
      <w:r>
        <w:t xml:space="preserve">图7为10条链路在目标附近的距离—多普勒图（括号内为该链路的预测输出信噪比）。各链路的信噪比为 3.9~7.8 dB，目标在单链路图中均无法与噪声峰区分。</w:t>
      </w:r>
    </w:p>
    <w:p>
      <w:pPr>
        <w:pStyle w:val="CaptionedFigure"/>
      </w:pPr>
      <w:r>
        <w:drawing>
          <wp:inline>
            <wp:extent cx="5334000" cy="2648161"/>
            <wp:effectExtent b="0" l="0" r="0" t="0"/>
            <wp:docPr descr="图7 10条链路目标附近的距离—多普勒图（坐标原点为目标真实位置）" title="" id="72" name="Picture"/>
            <a:graphic>
              <a:graphicData uri="http://schemas.openxmlformats.org/drawingml/2006/picture">
                <pic:pic>
                  <pic:nvPicPr>
                    <pic:cNvPr descr="figures/sig_link_maps.png" id="73" name="Picture"/>
                    <pic:cNvPicPr>
                      <a:picLocks noChangeArrowheads="1" noChangeAspect="1"/>
                    </pic:cNvPicPr>
                  </pic:nvPicPr>
                  <pic:blipFill>
                    <a:blip r:embed="rId71"/>
                    <a:stretch>
                      <a:fillRect/>
                    </a:stretch>
                  </pic:blipFill>
                  <pic:spPr bwMode="auto">
                    <a:xfrm>
                      <a:off x="0" y="0"/>
                      <a:ext cx="5334000" cy="2648161"/>
                    </a:xfrm>
                    <a:prstGeom prst="rect">
                      <a:avLst/>
                    </a:prstGeom>
                    <a:noFill/>
                    <a:ln w="9525">
                      <a:noFill/>
                      <a:headEnd/>
                      <a:tailEnd/>
                    </a:ln>
                  </pic:spPr>
                </pic:pic>
              </a:graphicData>
            </a:graphic>
          </wp:inline>
        </w:drawing>
      </w:r>
    </w:p>
    <w:p>
      <w:pPr>
        <w:pStyle w:val="ImageCaption"/>
      </w:pPr>
      <w:r>
        <w:t xml:space="preserve">图7 10条链路目标附近的距离—多普勒图（坐标原点为目标真实位置）</w:t>
      </w:r>
    </w:p>
    <w:bookmarkEnd w:id="74"/>
    <w:bookmarkStart w:id="84" w:name="融合检测结果"/>
    <w:p>
      <w:pPr>
        <w:pStyle w:val="Heading2"/>
      </w:pPr>
      <w:r>
        <w:t xml:space="preserve">7.3 融合检测结果</w:t>
      </w:r>
    </w:p>
    <w:p>
      <w:pPr>
        <w:pStyle w:val="FirstParagraph"/>
      </w:pPr>
      <w:r>
        <w:t xml:space="preserve">在目标高度与速度已知的水平面内（以目标为中心±1.5 km，网格间隔10 m），分别计算单链路统计量、非相参融合统计量与“粗—精”两级相参融合统计量，并以</w:t>
      </w:r>
      <w:r>
        <w:t xml:space="preserve"> </w:t>
      </w:r>
      <m:oMath>
        <m:sSub>
          <m:e>
            <m:r>
              <m:t>P</m:t>
            </m:r>
          </m:e>
          <m:sub>
            <m:r>
              <m:t>f</m:t>
            </m:r>
            <m:r>
              <m:t>a</m:t>
            </m:r>
          </m:sub>
        </m:sSub>
        <m:r>
          <m:rPr>
            <m:sty m:val="p"/>
          </m:rPr>
          <m:t>=</m:t>
        </m:r>
        <m:sSup>
          <m:e>
            <m:r>
              <m:t>10</m:t>
            </m:r>
          </m:e>
          <m:sup>
            <m:r>
              <m:rPr>
                <m:sty m:val="p"/>
              </m:rPr>
              <m:t>−</m:t>
            </m:r>
            <m:r>
              <m:t>6</m:t>
            </m:r>
          </m:sup>
        </m:sSup>
      </m:oMath>
      <w:r>
        <w:t xml:space="preserve"> </w:t>
      </w:r>
      <w:r>
        <w:t xml:space="preserve">的检测门限归一化，结果如图8所示（红色等值线为门限）。单链路T1R1在目标处的统计量低于门限 3.9 dB，无法检测；非相参融合高出门限 1.5 dB；相参融合高出门限 3.0 dB，检测裕量最大。相参融合图的背景整体抬高，是每个10 m粗单元内对精细位置取最大值的结果，其门限已按式(28)提高（由背景统计得到每个粗单元的等效独立精细位置数约为 40）。在距目标300 m以外的背景区（约9万个单元）中，非相参融合图没有超门限单元；相参融合图有 1 个超门限单元，位于目标的非相参模糊带内（距目标约 323 m，该处非相参统计量仅比门限低 0.5 dB），是目标相参响应的栅瓣（见图10）而非噪声虚警。因此，相参检测输出应在非相参分辨单元内进行局部最大值聚类，以剔除栅瓣引起的邻近虚假检测。</w:t>
      </w:r>
    </w:p>
    <w:p>
      <w:pPr>
        <w:pStyle w:val="CaptionedFigure"/>
      </w:pPr>
      <w:r>
        <w:drawing>
          <wp:inline>
            <wp:extent cx="5334000" cy="1886249"/>
            <wp:effectExtent b="0" l="0" r="0" t="0"/>
            <wp:docPr descr="图8 目标所在水平面内的检测统计量（归一化至Pfa=10−6门限）：(a) 单链路；(b) 10链路非相参融合；(c) 10链路相参融合" title="" id="76" name="Picture"/>
            <a:graphic>
              <a:graphicData uri="http://schemas.openxmlformats.org/drawingml/2006/picture">
                <pic:pic>
                  <pic:nvPicPr>
                    <pic:cNvPr descr="figures/sig_fusion_maps.png" id="77" name="Picture"/>
                    <pic:cNvPicPr>
                      <a:picLocks noChangeArrowheads="1" noChangeAspect="1"/>
                    </pic:cNvPicPr>
                  </pic:nvPicPr>
                  <pic:blipFill>
                    <a:blip r:embed="rId75"/>
                    <a:stretch>
                      <a:fillRect/>
                    </a:stretch>
                  </pic:blipFill>
                  <pic:spPr bwMode="auto">
                    <a:xfrm>
                      <a:off x="0" y="0"/>
                      <a:ext cx="5334000" cy="1886249"/>
                    </a:xfrm>
                    <a:prstGeom prst="rect">
                      <a:avLst/>
                    </a:prstGeom>
                    <a:noFill/>
                    <a:ln w="9525">
                      <a:noFill/>
                      <a:headEnd/>
                      <a:tailEnd/>
                    </a:ln>
                  </pic:spPr>
                </pic:pic>
              </a:graphicData>
            </a:graphic>
          </wp:inline>
        </w:drawing>
      </w:r>
    </w:p>
    <w:p>
      <w:pPr>
        <w:pStyle w:val="ImageCaption"/>
      </w:pPr>
      <w:r>
        <w:t xml:space="preserve">图8 目标所在水平面内的检测统计量（归一化至Pfa=10</w:t>
      </w:r>
      <w:r>
        <w:rPr>
          <w:vertAlign w:val="superscript"/>
        </w:rPr>
        <w:t xml:space="preserve">−6</w:t>
      </w:r>
      <w:r>
        <w:t xml:space="preserve">门限）：(a) 单链路；(b) 10链路非相参融合；(c) 10链路相参融合</w:t>
      </w:r>
    </w:p>
    <w:p>
      <w:pPr>
        <w:pStyle w:val="BodyText"/>
      </w:pPr>
      <w:r>
        <w:t xml:space="preserve">图9为目标附近±25 m范围内以0.1 m间隔计算的精细融合图。非相参融合的峰沿横向展宽达数百米，相参融合则呈现以波长为尺度的干涉条纹，主峰位于 (−0.2, −0.7) m，与目标真实位置的偏差小于1 m，体现了相参处理的波长级定位能力</w:t>
      </w:r>
      <w:r>
        <w:rPr>
          <w:vertAlign w:val="superscript"/>
        </w:rPr>
        <w:t xml:space="preserve">[7]</w:t>
      </w:r>
      <w:r>
        <w:t xml:space="preserve">；若不标定通道相位</w:t>
      </w:r>
      <w:r>
        <w:t xml:space="preserve"> </w:t>
      </w:r>
      <m:oMath>
        <m:sSub>
          <m:e>
            <m:r>
              <m:t>κ</m:t>
            </m:r>
          </m:e>
          <m:sub>
            <m:r>
              <m:t>l</m:t>
            </m:r>
          </m:sub>
        </m:sSub>
      </m:oMath>
      <w:r>
        <w:t xml:space="preserve">（图9(c)），条纹结构被打乱，峰值降低并偏离目标位置。</w:t>
      </w:r>
    </w:p>
    <w:p>
      <w:pPr>
        <w:pStyle w:val="CaptionedFigure"/>
      </w:pPr>
      <w:r>
        <w:drawing>
          <wp:inline>
            <wp:extent cx="5334000" cy="1866364"/>
            <wp:effectExtent b="0" l="0" r="0" t="0"/>
            <wp:docPr descr="图9 目标附近的精细融合图：(a) 非相参融合；(b) 相参融合（已标定）；(c) 相参融合（未标定通道相位）" title="" id="79" name="Picture"/>
            <a:graphic>
              <a:graphicData uri="http://schemas.openxmlformats.org/drawingml/2006/picture">
                <pic:pic>
                  <pic:nvPicPr>
                    <pic:cNvPr descr="figures/sig_fine_maps.png" id="80" name="Picture"/>
                    <pic:cNvPicPr>
                      <a:picLocks noChangeArrowheads="1" noChangeAspect="1"/>
                    </pic:cNvPicPr>
                  </pic:nvPicPr>
                  <pic:blipFill>
                    <a:blip r:embed="rId78"/>
                    <a:stretch>
                      <a:fillRect/>
                    </a:stretch>
                  </pic:blipFill>
                  <pic:spPr bwMode="auto">
                    <a:xfrm>
                      <a:off x="0" y="0"/>
                      <a:ext cx="5334000" cy="1866364"/>
                    </a:xfrm>
                    <a:prstGeom prst="rect">
                      <a:avLst/>
                    </a:prstGeom>
                    <a:noFill/>
                    <a:ln w="9525">
                      <a:noFill/>
                      <a:headEnd/>
                      <a:tailEnd/>
                    </a:ln>
                  </pic:spPr>
                </pic:pic>
              </a:graphicData>
            </a:graphic>
          </wp:inline>
        </w:drawing>
      </w:r>
    </w:p>
    <w:p>
      <w:pPr>
        <w:pStyle w:val="ImageCaption"/>
      </w:pPr>
      <w:r>
        <w:t xml:space="preserve">图9 目标附近的精细融合图：(a) 非相参融合；(b) 相参融合（已标定）；(c) 相参融合（未标定通道相位）</w:t>
      </w:r>
    </w:p>
    <w:p>
      <w:pPr>
        <w:pStyle w:val="BodyText"/>
      </w:pPr>
      <w:r>
        <w:t xml:space="preserve">图10为点目标在本系统几何下的非相参与相参融合模糊函数。非相参融合的−3 dB主瓣面积约 12156 m²，相参融合主瓣面积仅约 11.2 m²，二者相差约 1084 倍；但由于只有10条链路且站址稀疏，相参模糊函数在非相参包络内存在大量栅瓣，最高旁瓣仅比主瓣低 2.4 dB。这说明相参融合必须与非相参包络约束（粗检测）配合使用，同时也解释了6.4节精搜索代价的来源。</w:t>
      </w:r>
    </w:p>
    <w:p>
      <w:pPr>
        <w:pStyle w:val="CaptionedFigure"/>
      </w:pPr>
      <w:r>
        <w:drawing>
          <wp:inline>
            <wp:extent cx="5334000" cy="1747388"/>
            <wp:effectExtent b="0" l="0" r="0" t="0"/>
            <wp:docPr descr="图10 点目标的融合模糊函数：(a) 非相参融合；(b) 相参融合；(c) 相参融合主瓣附近" title="" id="82" name="Picture"/>
            <a:graphic>
              <a:graphicData uri="http://schemas.openxmlformats.org/drawingml/2006/picture">
                <pic:pic>
                  <pic:nvPicPr>
                    <pic:cNvPr descr="figures/st_ambiguity.png" id="83" name="Picture"/>
                    <pic:cNvPicPr>
                      <a:picLocks noChangeArrowheads="1" noChangeAspect="1"/>
                    </pic:cNvPicPr>
                  </pic:nvPicPr>
                  <pic:blipFill>
                    <a:blip r:embed="rId81"/>
                    <a:stretch>
                      <a:fillRect/>
                    </a:stretch>
                  </pic:blipFill>
                  <pic:spPr bwMode="auto">
                    <a:xfrm>
                      <a:off x="0" y="0"/>
                      <a:ext cx="5334000" cy="1747388"/>
                    </a:xfrm>
                    <a:prstGeom prst="rect">
                      <a:avLst/>
                    </a:prstGeom>
                    <a:noFill/>
                    <a:ln w="9525">
                      <a:noFill/>
                      <a:headEnd/>
                      <a:tailEnd/>
                    </a:ln>
                  </pic:spPr>
                </pic:pic>
              </a:graphicData>
            </a:graphic>
          </wp:inline>
        </w:drawing>
      </w:r>
    </w:p>
    <w:p>
      <w:pPr>
        <w:pStyle w:val="ImageCaption"/>
      </w:pPr>
      <w:r>
        <w:t xml:space="preserve">图10 点目标的融合模糊函数：(a) 非相参融合；(b) 相参融合；(c) 相参融合主瓣附近</w:t>
      </w:r>
    </w:p>
    <w:bookmarkEnd w:id="84"/>
    <w:bookmarkStart w:id="88" w:name="信噪比增益测量"/>
    <w:p>
      <w:pPr>
        <w:pStyle w:val="Heading2"/>
      </w:pPr>
      <w:r>
        <w:t xml:space="preserve">7.4 信噪比增益测量</w:t>
      </w:r>
    </w:p>
    <w:p>
      <w:pPr>
        <w:pStyle w:val="FirstParagraph"/>
      </w:pPr>
      <w:r>
        <w:t xml:space="preserve">为降低统计起伏，将目标RCS提高10 dB，进行 20 次独立试验（每次试验的OFDM数据、信号源与接收站相位、通道相位、噪声与杂波均重新随机生成），在目标真实状态处测量各融合方式的输出信噪比，结果见表5与图11。</w:t>
      </w:r>
    </w:p>
    <w:p>
      <w:pPr>
        <w:pStyle w:val="TableCaption"/>
      </w:pPr>
      <w:r>
        <w:t xml:space="preserve">表5 输出信噪比增益测量结果（目标RCS提高10 dB）</w:t>
      </w:r>
    </w:p>
    <w:tbl>
      <w:tblPr>
        <w:tblStyle w:val="Table"/>
        <w:tblW w:w="9070" w:type="dxa"/>
        <w:jc w:val="center"/>
        <w:tblBorders>
          <w:top w:val="single" w:sz="12" w:space="0" w:color="000000"/>
          <w:left w:val="nil"/>
          <w:bottom w:val="single" w:sz="12" w:space="0" w:color="000000"/>
          <w:right w:val="nil"/>
          <w:insideH w:val="nil"/>
          <w:insideV w:val="nil"/>
        </w:tblBorders>
        <w:tblLook w:firstRow="1" w:lastRow="0" w:firstColumn="0" w:lastColumn="0" w:noHBand="0" w:noVBand="0" w:val="0020"/>
        <w:tblCaption w:val="表5 输出信噪比增益测量结果（目标RCS提高10 dB）"/>
      </w:tblPr>
      <w:tblGrid>
        <w:gridCol w:w="1980"/>
        <w:gridCol w:w="1980"/>
        <w:gridCol w:w="1980"/>
        <w:gridCol w:w="1980"/>
      </w:tblGrid>
      <w:tr>
        <w:trPr>
          <w:tblHeader w:val="true"/>
          <w:cantSplit/>
        </w:trPr>
        <w:tc>
          <w:tcPr>
            <w:tcBorders>
              <w:bottom w:val="single" w:sz="6" w:space="0" w:color="000000"/>
            </w:tcBorders>
            <w:vAlign w:val="center"/>
          </w:tcPr>
          <w:p>
            <w:pPr>
              <w:pStyle w:val="Compact"/>
              <w:keepNext/>
              <w:jc w:val="left"/>
            </w:pPr>
            <w:r>
              <w:rPr>
                <w:b/>
              </w:rPr>
              <w:t xml:space="preserve">融合方式</w:t>
            </w:r>
          </w:p>
        </w:tc>
        <w:tc>
          <w:tcPr>
            <w:tcBorders>
              <w:bottom w:val="single" w:sz="6" w:space="0" w:color="000000"/>
            </w:tcBorders>
            <w:vAlign w:val="center"/>
          </w:tcPr>
          <w:p>
            <w:pPr>
              <w:pStyle w:val="Compact"/>
              <w:keepNext/>
              <w:jc w:val="center"/>
            </w:pPr>
            <w:r>
              <w:rPr>
                <w:b/>
              </w:rPr>
              <w:t xml:space="preserve">实测输出SNR/dB</w:t>
            </w:r>
          </w:p>
        </w:tc>
        <w:tc>
          <w:tcPr>
            <w:tcBorders>
              <w:bottom w:val="single" w:sz="6" w:space="0" w:color="000000"/>
            </w:tcBorders>
            <w:vAlign w:val="center"/>
          </w:tcPr>
          <w:p>
            <w:pPr>
              <w:pStyle w:val="Compact"/>
              <w:keepNext/>
              <w:jc w:val="center"/>
            </w:pPr>
            <w:r>
              <w:rPr>
                <w:b/>
              </w:rPr>
              <w:t xml:space="preserve">理论值/dB</w:t>
            </w:r>
          </w:p>
        </w:tc>
        <w:tc>
          <w:tcPr>
            <w:tcBorders>
              <w:bottom w:val="single" w:sz="6" w:space="0" w:color="000000"/>
            </w:tcBorders>
            <w:vAlign w:val="center"/>
          </w:tcPr>
          <w:p>
            <w:pPr>
              <w:pStyle w:val="Compact"/>
              <w:keepNext/>
              <w:jc w:val="center"/>
            </w:pPr>
            <w:r>
              <w:rPr>
                <w:b/>
              </w:rPr>
              <w:t xml:space="preserve">相对单链路平均值的增益/dB</w:t>
            </w:r>
          </w:p>
        </w:tc>
      </w:tr>
      <w:tr>
        <w:trPr>
          <w:cantSplit/>
        </w:trPr>
        <w:tc>
          <w:tcPr>
            <w:vAlign w:val="center"/>
          </w:tcPr>
          <w:p>
            <w:pPr>
              <w:pStyle w:val="Compact"/>
              <w:keepNext/>
              <w:jc w:val="left"/>
            </w:pPr>
            <w:r>
              <w:t xml:space="preserve">单链路（平均）</w:t>
            </w:r>
          </w:p>
        </w:tc>
        <w:tc>
          <w:tcPr>
            <w:vAlign w:val="center"/>
          </w:tcPr>
          <w:p>
            <w:pPr>
              <w:pStyle w:val="Compact"/>
              <w:keepNext/>
              <w:jc w:val="center"/>
            </w:pPr>
            <w:r>
              <w:t xml:space="preserve">15.73</w:t>
            </w:r>
          </w:p>
        </w:tc>
        <w:tc>
          <w:tcPr>
            <w:vAlign w:val="center"/>
          </w:tcPr>
          <w:p>
            <w:pPr>
              <w:pStyle w:val="Compact"/>
              <w:keepNext/>
              <w:jc w:val="center"/>
            </w:pPr>
            <w:r>
              <w:t xml:space="preserve">—</w:t>
            </w:r>
          </w:p>
        </w:tc>
        <w:tc>
          <w:tcPr>
            <w:vAlign w:val="center"/>
          </w:tcPr>
          <w:p>
            <w:pPr>
              <w:pStyle w:val="Compact"/>
              <w:keepNext/>
              <w:jc w:val="center"/>
            </w:pPr>
            <w:r>
              <w:t xml:space="preserve">0</w:t>
            </w:r>
          </w:p>
        </w:tc>
      </w:tr>
      <w:tr>
        <w:trPr>
          <w:cantSplit/>
        </w:trPr>
        <w:tc>
          <w:tcPr>
            <w:vAlign w:val="center"/>
          </w:tcPr>
          <w:p>
            <w:pPr>
              <w:pStyle w:val="Compact"/>
              <w:keepNext/>
              <w:jc w:val="left"/>
            </w:pPr>
            <w:r>
              <w:t xml:space="preserve">最佳单链路</w:t>
            </w:r>
          </w:p>
        </w:tc>
        <w:tc>
          <w:tcPr>
            <w:vAlign w:val="center"/>
          </w:tcPr>
          <w:p>
            <w:pPr>
              <w:pStyle w:val="Compact"/>
              <w:keepNext/>
              <w:jc w:val="center"/>
            </w:pPr>
            <w:r>
              <w:t xml:space="preserve">17.34</w:t>
            </w:r>
          </w:p>
        </w:tc>
        <w:tc>
          <w:tcPr>
            <w:vAlign w:val="center"/>
          </w:tcPr>
          <w:p>
            <w:pPr>
              <w:pStyle w:val="Compact"/>
              <w:keepNext/>
              <w:jc w:val="center"/>
            </w:pPr>
            <w:r>
              <w:t xml:space="preserve">—</w:t>
            </w:r>
          </w:p>
        </w:tc>
        <w:tc>
          <w:tcPr>
            <w:vAlign w:val="center"/>
          </w:tcPr>
          <w:p>
            <w:pPr>
              <w:pStyle w:val="Compact"/>
              <w:keepNext/>
              <w:jc w:val="center"/>
            </w:pPr>
            <w:r>
              <w:t xml:space="preserve">1.61</w:t>
            </w:r>
          </w:p>
        </w:tc>
      </w:tr>
      <w:tr>
        <w:trPr>
          <w:cantSplit/>
        </w:trPr>
        <w:tc>
          <w:tcPr>
            <w:vAlign w:val="center"/>
          </w:tcPr>
          <w:p>
            <w:pPr>
              <w:pStyle w:val="Compact"/>
              <w:keepNext/>
              <w:jc w:val="left"/>
            </w:pPr>
            <w:r>
              <w:t xml:space="preserve">源间相参（R2站两源）</w:t>
            </w:r>
          </w:p>
        </w:tc>
        <w:tc>
          <w:tcPr>
            <w:vAlign w:val="center"/>
          </w:tcPr>
          <w:p>
            <w:pPr>
              <w:pStyle w:val="Compact"/>
              <w:keepNext/>
              <w:jc w:val="center"/>
            </w:pPr>
            <w:r>
              <w:t xml:space="preserve">19.05</w:t>
            </w:r>
          </w:p>
        </w:tc>
        <w:tc>
          <w:tcPr>
            <w:vAlign w:val="center"/>
          </w:tcPr>
          <w:p>
            <w:pPr>
              <w:pStyle w:val="Compact"/>
              <w:keepNext/>
              <w:jc w:val="center"/>
            </w:pPr>
            <w:r>
              <w:t xml:space="preserve">19.10</w:t>
            </w:r>
          </w:p>
        </w:tc>
        <w:tc>
          <w:tcPr>
            <w:vAlign w:val="center"/>
          </w:tcPr>
          <w:p>
            <w:pPr>
              <w:pStyle w:val="Compact"/>
              <w:keepNext/>
              <w:jc w:val="center"/>
            </w:pPr>
            <w:r>
              <w:t xml:space="preserve">3.32</w:t>
            </w:r>
          </w:p>
        </w:tc>
      </w:tr>
      <w:tr>
        <w:trPr>
          <w:cantSplit/>
        </w:trPr>
        <w:tc>
          <w:tcPr>
            <w:vAlign w:val="center"/>
          </w:tcPr>
          <w:p>
            <w:pPr>
              <w:pStyle w:val="Compact"/>
              <w:keepNext/>
              <w:jc w:val="left"/>
            </w:pPr>
            <w:r>
              <w:t xml:space="preserve">站间相参（T1五站）</w:t>
            </w:r>
          </w:p>
        </w:tc>
        <w:tc>
          <w:tcPr>
            <w:vAlign w:val="center"/>
          </w:tcPr>
          <w:p>
            <w:pPr>
              <w:pStyle w:val="Compact"/>
              <w:keepNext/>
              <w:jc w:val="center"/>
            </w:pPr>
            <w:r>
              <w:t xml:space="preserve">23.92</w:t>
            </w:r>
          </w:p>
        </w:tc>
        <w:tc>
          <w:tcPr>
            <w:vAlign w:val="center"/>
          </w:tcPr>
          <w:p>
            <w:pPr>
              <w:pStyle w:val="Compact"/>
              <w:keepNext/>
              <w:jc w:val="center"/>
            </w:pPr>
            <w:r>
              <w:t xml:space="preserve">23.98</w:t>
            </w:r>
          </w:p>
        </w:tc>
        <w:tc>
          <w:tcPr>
            <w:vAlign w:val="center"/>
          </w:tcPr>
          <w:p>
            <w:pPr>
              <w:pStyle w:val="Compact"/>
              <w:keepNext/>
              <w:jc w:val="center"/>
            </w:pPr>
            <w:r>
              <w:t xml:space="preserve">8.19</w:t>
            </w:r>
          </w:p>
        </w:tc>
      </w:tr>
      <w:tr>
        <w:trPr>
          <w:cantSplit/>
        </w:trPr>
        <w:tc>
          <w:tcPr>
            <w:vAlign w:val="center"/>
          </w:tcPr>
          <w:p>
            <w:pPr>
              <w:pStyle w:val="Compact"/>
              <w:keepNext/>
              <w:jc w:val="left"/>
            </w:pPr>
            <w:r>
              <w:t xml:space="preserve">10链路相参（MRC权）</w:t>
            </w:r>
          </w:p>
        </w:tc>
        <w:tc>
          <w:tcPr>
            <w:vAlign w:val="center"/>
          </w:tcPr>
          <w:p>
            <w:pPr>
              <w:pStyle w:val="Compact"/>
              <w:keepNext/>
              <w:jc w:val="center"/>
            </w:pPr>
            <w:r>
              <w:t xml:space="preserve">25.62</w:t>
            </w:r>
          </w:p>
        </w:tc>
        <w:tc>
          <w:tcPr>
            <w:vAlign w:val="center"/>
          </w:tcPr>
          <w:p>
            <w:pPr>
              <w:pStyle w:val="Compact"/>
              <w:keepNext/>
              <w:jc w:val="center"/>
            </w:pPr>
            <w:r>
              <w:t xml:space="preserve">25.73</w:t>
            </w:r>
          </w:p>
        </w:tc>
        <w:tc>
          <w:tcPr>
            <w:vAlign w:val="center"/>
          </w:tcPr>
          <w:p>
            <w:pPr>
              <w:pStyle w:val="Compact"/>
              <w:keepNext/>
              <w:jc w:val="center"/>
            </w:pPr>
            <w:r>
              <w:t xml:space="preserve">9.89</w:t>
            </w:r>
          </w:p>
        </w:tc>
      </w:tr>
      <w:tr>
        <w:trPr>
          <w:cantSplit/>
        </w:trPr>
        <w:tc>
          <w:tcPr>
            <w:vAlign w:val="center"/>
          </w:tcPr>
          <w:p>
            <w:pPr>
              <w:pStyle w:val="Compact"/>
              <w:keepNext/>
              <w:jc w:val="left"/>
            </w:pPr>
            <w:r>
              <w:t xml:space="preserve">10链路相参（等增益权）</w:t>
            </w:r>
          </w:p>
        </w:tc>
        <w:tc>
          <w:tcPr>
            <w:vAlign w:val="center"/>
          </w:tcPr>
          <w:p>
            <w:pPr>
              <w:pStyle w:val="Compact"/>
              <w:keepNext/>
              <w:jc w:val="center"/>
            </w:pPr>
            <w:r>
              <w:t xml:space="preserve">25.49</w:t>
            </w:r>
          </w:p>
        </w:tc>
        <w:tc>
          <w:tcPr>
            <w:vAlign w:val="center"/>
          </w:tcPr>
          <w:p>
            <w:pPr>
              <w:pStyle w:val="Compact"/>
              <w:keepNext/>
              <w:jc w:val="center"/>
            </w:pPr>
            <w:r>
              <w:t xml:space="preserve">25.59</w:t>
            </w:r>
          </w:p>
        </w:tc>
        <w:tc>
          <w:tcPr>
            <w:vAlign w:val="center"/>
          </w:tcPr>
          <w:p>
            <w:pPr>
              <w:pStyle w:val="Compact"/>
              <w:keepNext/>
              <w:jc w:val="center"/>
            </w:pPr>
            <w:r>
              <w:t xml:space="preserve">9.76</w:t>
            </w:r>
          </w:p>
        </w:tc>
      </w:tr>
      <w:tr>
        <w:trPr>
          <w:cantSplit/>
        </w:trPr>
        <w:tc>
          <w:tcPr>
            <w:vAlign w:val="center"/>
          </w:tcPr>
          <w:p>
            <w:pPr>
              <w:pStyle w:val="Compact"/>
              <w:keepNext/>
              <w:jc w:val="left"/>
            </w:pPr>
            <w:r>
              <w:t xml:space="preserve">10链路相参（未标定</w:t>
            </w:r>
            <w:r>
              <w:t xml:space="preserve"> </w:t>
            </w:r>
            <m:oMath>
              <m:sSub>
                <m:e>
                  <m:r>
                    <m:t>κ</m:t>
                  </m:r>
                </m:e>
                <m:sub>
                  <m:r>
                    <m:t>l</m:t>
                  </m:r>
                </m:sub>
              </m:sSub>
            </m:oMath>
            <w:r>
              <w:t xml:space="preserve">）</w:t>
            </w:r>
          </w:p>
        </w:tc>
        <w:tc>
          <w:tcPr>
            <w:vAlign w:val="center"/>
          </w:tcPr>
          <w:p>
            <w:pPr>
              <w:pStyle w:val="Compact"/>
              <w:keepNext/>
              <w:jc w:val="center"/>
            </w:pPr>
            <w:r>
              <w:t xml:space="preserve">16.86</w:t>
            </w:r>
          </w:p>
        </w:tc>
        <w:tc>
          <w:tcPr>
            <w:vAlign w:val="center"/>
          </w:tcPr>
          <w:p>
            <w:pPr>
              <w:pStyle w:val="Compact"/>
              <w:keepNext/>
              <w:jc w:val="center"/>
            </w:pPr>
            <w:r>
              <w:t xml:space="preserve">≈15.7</w:t>
            </w:r>
          </w:p>
        </w:tc>
        <w:tc>
          <w:tcPr>
            <w:vAlign w:val="center"/>
          </w:tcPr>
          <w:p>
            <w:pPr>
              <w:pStyle w:val="Compact"/>
              <w:keepNext/>
              <w:jc w:val="center"/>
            </w:pPr>
            <w:r>
              <w:t xml:space="preserve">1.13</w:t>
            </w:r>
          </w:p>
        </w:tc>
      </w:tr>
      <w:tr>
        <w:trPr>
          <w:cantSplit/>
        </w:trPr>
        <w:tc>
          <w:tcPr>
            <w:vAlign w:val="center"/>
          </w:tcPr>
          <w:p>
            <w:pPr>
              <w:pStyle w:val="Compact"/>
              <w:jc w:val="left"/>
            </w:pPr>
            <w:r>
              <w:t xml:space="preserve">10链路相参（参考不含直达波相位）</w:t>
            </w:r>
          </w:p>
        </w:tc>
        <w:tc>
          <w:tcPr>
            <w:vAlign w:val="center"/>
          </w:tcPr>
          <w:p>
            <w:pPr>
              <w:pStyle w:val="Compact"/>
              <w:jc w:val="center"/>
            </w:pPr>
            <w:r>
              <w:t xml:space="preserve">16.24</w:t>
            </w:r>
          </w:p>
        </w:tc>
        <w:tc>
          <w:tcPr>
            <w:vAlign w:val="center"/>
          </w:tcPr>
          <w:p>
            <w:pPr>
              <w:pStyle w:val="Compact"/>
              <w:jc w:val="center"/>
            </w:pPr>
            <w:r>
              <w:t xml:space="preserve">≈15.7</w:t>
            </w:r>
          </w:p>
        </w:tc>
        <w:tc>
          <w:tcPr>
            <w:vAlign w:val="center"/>
          </w:tcPr>
          <w:p>
            <w:pPr>
              <w:pStyle w:val="Compact"/>
              <w:jc w:val="center"/>
            </w:pPr>
            <w:r>
              <w:t xml:space="preserve">0.51</w:t>
            </w:r>
          </w:p>
        </w:tc>
      </w:tr>
    </w:tbl>
    <w:p>
      <w:pPr>
        <w:pStyle w:val="BodyText"/>
      </w:pPr>
      <w:r>
        <w:t xml:space="preserve">结果表明：</w:t>
      </w:r>
    </w:p>
    <w:p>
      <w:pPr>
        <w:pStyle w:val="BodyText"/>
      </w:pPr>
      <w:r>
        <w:t xml:space="preserve">（1）10条链路以MRC权相参融合后，输出信噪比为 25.62 dB，与各链路实测信噪比之和 25.73 dB 仅相差 0.11 dB，相对单链路平均值的增益为 9.89 dB（理论值10 dB，统计标准误差约 0.14 dB），相对最佳单链路的增益为 8.28 dB，验证了式(23)。等增益合并的增益为 9.76 dB，较MRC仅低约 0.1 dB，说明链路信噪比差异不大时可不依赖精确的链路信噪比预测；</w:t>
      </w:r>
    </w:p>
    <w:p>
      <w:pPr>
        <w:pStyle w:val="BodyText"/>
      </w:pPr>
      <w:r>
        <w:t xml:space="preserve">（2）源间相参（同一接收站两个信号源的链路）与站间相参（同一信号源五个接收站的链路）的实测输出信噪比均与相应链路信噪比之和吻合，表明两个信号源之间虽无任何同步，其回波仍可在信号层面相参合成；</w:t>
      </w:r>
    </w:p>
    <w:p>
      <w:pPr>
        <w:pStyle w:val="BodyText"/>
      </w:pPr>
      <w:r>
        <w:t xml:space="preserve">（3）若不标定通道相位</w:t>
      </w:r>
      <w:r>
        <w:t xml:space="preserve"> </w:t>
      </w:r>
      <m:oMath>
        <m:sSub>
          <m:e>
            <m:r>
              <m:t>κ</m:t>
            </m:r>
          </m:e>
          <m:sub>
            <m:r>
              <m:t>l</m:t>
            </m:r>
          </m:sub>
        </m:sSub>
      </m:oMath>
      <w:r>
        <w:t xml:space="preserve">，或提纯参考信号中不保留直达波相位（相当于不以本站直达波为相位基准），相参增益仅为 1.1 dB 与 0.5 dB，基本丧失。这从反面证明：本方案“无需信号源同步”的前提是每条链路以本站直达波为相位基准，并完成通道相位标定。</w:t>
      </w:r>
    </w:p>
    <w:p>
      <w:pPr>
        <w:pStyle w:val="CaptionedFigure"/>
      </w:pPr>
      <w:r>
        <w:drawing>
          <wp:inline>
            <wp:extent cx="5334000" cy="1919844"/>
            <wp:effectExtent b="0" l="0" r="0" t="0"/>
            <wp:docPr descr="图11 信噪比增益测量结果：(a) 各链路输出信噪比；(b) 各融合方式的输出信噪比" title="" id="86" name="Picture"/>
            <a:graphic>
              <a:graphicData uri="http://schemas.openxmlformats.org/drawingml/2006/picture">
                <pic:pic>
                  <pic:nvPicPr>
                    <pic:cNvPr descr="figures/sig_gain.png" id="87" name="Picture"/>
                    <pic:cNvPicPr>
                      <a:picLocks noChangeArrowheads="1" noChangeAspect="1"/>
                    </pic:cNvPicPr>
                  </pic:nvPicPr>
                  <pic:blipFill>
                    <a:blip r:embed="rId85"/>
                    <a:stretch>
                      <a:fillRect/>
                    </a:stretch>
                  </pic:blipFill>
                  <pic:spPr bwMode="auto">
                    <a:xfrm>
                      <a:off x="0" y="0"/>
                      <a:ext cx="5334000" cy="1919844"/>
                    </a:xfrm>
                    <a:prstGeom prst="rect">
                      <a:avLst/>
                    </a:prstGeom>
                    <a:noFill/>
                    <a:ln w="9525">
                      <a:noFill/>
                      <a:headEnd/>
                      <a:tailEnd/>
                    </a:ln>
                  </pic:spPr>
                </pic:pic>
              </a:graphicData>
            </a:graphic>
          </wp:inline>
        </w:drawing>
      </w:r>
    </w:p>
    <w:p>
      <w:pPr>
        <w:pStyle w:val="ImageCaption"/>
      </w:pPr>
      <w:r>
        <w:t xml:space="preserve">图11 信噪比增益测量结果：(a) 各链路输出信噪比；(b) 各融合方式的输出信噪比</w:t>
      </w:r>
    </w:p>
    <w:bookmarkEnd w:id="88"/>
    <w:bookmarkStart w:id="95" w:name="相参条件的验证"/>
    <w:p>
      <w:pPr>
        <w:pStyle w:val="Heading2"/>
      </w:pPr>
      <w:r>
        <w:t xml:space="preserve">7.5 相参条件的验证</w:t>
      </w:r>
    </w:p>
    <w:p>
      <w:pPr>
        <w:pStyle w:val="FirstParagraph"/>
      </w:pPr>
      <w:r>
        <w:t xml:space="preserve">图12为相参融合损失随各类同步与几何误差的变化（蒙特卡罗统计）。（a）接收站频率基准相对误差小于</w:t>
      </w:r>
      <w:r>
        <w:t xml:space="preserve"> </w:t>
      </w:r>
      <m:oMath>
        <m:sSup>
          <m:e>
            <m:r>
              <m:t>10</m:t>
            </m:r>
          </m:e>
          <m:sup>
            <m:r>
              <m:rPr>
                <m:sty m:val="p"/>
              </m:rPr>
              <m:t>−</m:t>
            </m:r>
            <m:r>
              <m:t>7</m:t>
            </m:r>
          </m:sup>
        </m:sSup>
      </m:oMath>
      <w:r>
        <w:t xml:space="preserve"> </w:t>
      </w:r>
      <w:r>
        <w:t xml:space="preserve">时损失可以忽略，相对误差为</w:t>
      </w:r>
      <w:r>
        <w:t xml:space="preserve"> </w:t>
      </w:r>
      <m:oMath>
        <m:sSup>
          <m:e>
            <m:r>
              <m:t>10</m:t>
            </m:r>
          </m:e>
          <m:sup>
            <m:r>
              <m:rPr>
                <m:sty m:val="p"/>
              </m:rPr>
              <m:t>−</m:t>
            </m:r>
            <m:r>
              <m:t>6</m:t>
            </m:r>
          </m:sup>
        </m:sSup>
      </m:oMath>
      <w:r>
        <w:t xml:space="preserve"> </w:t>
      </w:r>
      <w:r>
        <w:t xml:space="preserve">时损失约 0.6 dB，更大时迅速恶化，因此须采用GNSS驯服频率基准；（b）站间时间同步误差在百微秒量级以下时对本例目标（多普勒约155 Hz）的影响可以忽略，对多普勒1 kHz的高速目标要求约 61 μs 以内，GNSS授时的精度（约50 ns）裕量很大；（c）、（d）未标校时，接收站与信号源天线相位中心位置误差分别需小于约 1.6 cm 与 6.2 cm，对非合作信号源而言难以直接满足，需要依靠6.6节的标校。</w:t>
      </w:r>
    </w:p>
    <w:p>
      <w:pPr>
        <w:pStyle w:val="CaptionedFigure"/>
      </w:pPr>
      <w:r>
        <w:drawing>
          <wp:inline>
            <wp:extent cx="5039999" cy="3204610"/>
            <wp:effectExtent b="0" l="0" r="0" t="0"/>
            <wp:docPr descr="图12 同步与几何误差对相参融合的影响：(a) 频率基准；(b) 时间同步；(c) 接收站站址；(d) 信号源站址" title="" id="90" name="Picture"/>
            <a:graphic>
              <a:graphicData uri="http://schemas.openxmlformats.org/drawingml/2006/picture">
                <pic:pic>
                  <pic:nvPicPr>
                    <pic:cNvPr descr="figures/st_sync.png" id="91" name="Picture"/>
                    <pic:cNvPicPr>
                      <a:picLocks noChangeArrowheads="1" noChangeAspect="1"/>
                    </pic:cNvPicPr>
                  </pic:nvPicPr>
                  <pic:blipFill>
                    <a:blip r:embed="rId89"/>
                    <a:stretch>
                      <a:fillRect/>
                    </a:stretch>
                  </pic:blipFill>
                  <pic:spPr bwMode="auto">
                    <a:xfrm>
                      <a:off x="0" y="0"/>
                      <a:ext cx="5039999" cy="3204610"/>
                    </a:xfrm>
                    <a:prstGeom prst="rect">
                      <a:avLst/>
                    </a:prstGeom>
                    <a:noFill/>
                    <a:ln w="9525">
                      <a:noFill/>
                      <a:headEnd/>
                      <a:tailEnd/>
                    </a:ln>
                  </pic:spPr>
                </pic:pic>
              </a:graphicData>
            </a:graphic>
          </wp:inline>
        </w:drawing>
      </w:r>
    </w:p>
    <w:p>
      <w:pPr>
        <w:pStyle w:val="ImageCaption"/>
      </w:pPr>
      <w:r>
        <w:t xml:space="preserve">图12 同步与几何误差对相参融合的影响：(a) 频率基准；(b) 时间同步；(c) 接收站站址；(d) 信号源站址</w:t>
      </w:r>
    </w:p>
    <w:p>
      <w:pPr>
        <w:pStyle w:val="BodyText"/>
      </w:pPr>
      <w:r>
        <w:t xml:space="preserve">图13为相参融合增益随链路残余相位误差的变化，蒙特卡罗结果与式(16)的理论曲线一致：残余相位误差标准差为 21° 与 29° 时，相参增益分别下降0.5 dB与1 dB；相位误差为均匀随机分布（即未标定）时，增益趋于0 dB。</w:t>
      </w:r>
    </w:p>
    <w:p>
      <w:pPr>
        <w:pStyle w:val="CaptionedFigure"/>
      </w:pPr>
      <w:r>
        <w:drawing>
          <wp:inline>
            <wp:extent cx="3059999" cy="2156456"/>
            <wp:effectExtent b="0" l="0" r="0" t="0"/>
            <wp:docPr descr="图13 相参融合增益与残余相位误差的关系" title="" id="93" name="Picture"/>
            <a:graphic>
              <a:graphicData uri="http://schemas.openxmlformats.org/drawingml/2006/picture">
                <pic:pic>
                  <pic:nvPicPr>
                    <pic:cNvPr descr="figures/st_phase_err.png" id="94" name="Picture"/>
                    <pic:cNvPicPr>
                      <a:picLocks noChangeArrowheads="1" noChangeAspect="1"/>
                    </pic:cNvPicPr>
                  </pic:nvPicPr>
                  <pic:blipFill>
                    <a:blip r:embed="rId92"/>
                    <a:stretch>
                      <a:fillRect/>
                    </a:stretch>
                  </pic:blipFill>
                  <pic:spPr bwMode="auto">
                    <a:xfrm>
                      <a:off x="0" y="0"/>
                      <a:ext cx="3059999" cy="2156456"/>
                    </a:xfrm>
                    <a:prstGeom prst="rect">
                      <a:avLst/>
                    </a:prstGeom>
                    <a:noFill/>
                    <a:ln w="9525">
                      <a:noFill/>
                      <a:headEnd/>
                      <a:tailEnd/>
                    </a:ln>
                  </pic:spPr>
                </pic:pic>
              </a:graphicData>
            </a:graphic>
          </wp:inline>
        </w:drawing>
      </w:r>
    </w:p>
    <w:p>
      <w:pPr>
        <w:pStyle w:val="ImageCaption"/>
      </w:pPr>
      <w:r>
        <w:t xml:space="preserve">图13 相参融合增益与残余相位误差的关系</w:t>
      </w:r>
    </w:p>
    <w:p>
      <w:pPr>
        <w:pStyle w:val="BodyText"/>
      </w:pPr>
      <w:r>
        <w:t xml:space="preserve">两个信号源之间的条件已由图2给出。本例两源载频差8 MHz、对目标张角 4.6°，按式(10)计算，同一接收站两源链路之间的散射相关系数：尺寸0.35 m的目标约为 0.995，1 m的目标约为 0.96，均满足源间相参条件；3 m的目标降至约 0.69，10 m的目标仅约 0.21，源间相参的收益明显下降。</w:t>
      </w:r>
    </w:p>
    <w:bookmarkEnd w:id="95"/>
    <w:bookmarkStart w:id="99" w:name="检测性能"/>
    <w:p>
      <w:pPr>
        <w:pStyle w:val="Heading2"/>
      </w:pPr>
      <w:r>
        <w:t xml:space="preserve">7.6 检测性能</w:t>
      </w:r>
    </w:p>
    <w:p>
      <w:pPr>
        <w:pStyle w:val="FirstParagraph"/>
      </w:pPr>
      <w:r>
        <w:t xml:space="preserve">在CAF输出层进行蒙特卡罗仿真（每个信噪比点40000次），比较不同融合方式在</w:t>
      </w:r>
      <w:r>
        <w:t xml:space="preserve"> </w:t>
      </w:r>
      <m:oMath>
        <m:sSub>
          <m:e>
            <m:r>
              <m:t>P</m:t>
            </m:r>
          </m:e>
          <m:sub>
            <m:r>
              <m:t>f</m:t>
            </m:r>
            <m:r>
              <m:t>a</m:t>
            </m:r>
          </m:sub>
        </m:sSub>
        <m:r>
          <m:rPr>
            <m:sty m:val="p"/>
          </m:rPr>
          <m:t>=</m:t>
        </m:r>
        <m:sSup>
          <m:e>
            <m:r>
              <m:t>10</m:t>
            </m:r>
          </m:e>
          <m:sup>
            <m:r>
              <m:rPr>
                <m:sty m:val="p"/>
              </m:rPr>
              <m:t>−</m:t>
            </m:r>
            <m:r>
              <m:t>6</m:t>
            </m:r>
          </m:sup>
        </m:sSup>
      </m:oMath>
      <w:r>
        <w:t xml:space="preserve">（以非相参分辨单元计）下的检测概率。相参类统计量的门限按式(28)计入精搜索代价，其中等效独立单元数之比由噪声随机场仿真得到：全相参</w:t>
      </w:r>
      <w:r>
        <w:t xml:space="preserve"> </w:t>
      </w:r>
      <m:oMath>
        <m:r>
          <m:t>M</m:t>
        </m:r>
        <m:r>
          <m:rPr>
            <m:sty m:val="p"/>
          </m:rPr>
          <m:t>≈</m:t>
        </m:r>
      </m:oMath>
      <w:r>
        <w:t xml:space="preserve"> </w:t>
      </w:r>
      <w:r>
        <w:t xml:space="preserve">285，站间相参</w:t>
      </w:r>
      <w:r>
        <w:t xml:space="preserve"> </w:t>
      </w:r>
      <m:oMath>
        <m:r>
          <m:t>M</m:t>
        </m:r>
        <m:r>
          <m:rPr>
            <m:sty m:val="p"/>
          </m:rPr>
          <m:t>≈</m:t>
        </m:r>
      </m:oMath>
      <w:r>
        <w:t xml:space="preserve"> </w:t>
      </w:r>
      <w:r>
        <w:t xml:space="preserve">75，源间相参</w:t>
      </w:r>
      <w:r>
        <w:t xml:space="preserve"> </w:t>
      </w:r>
      <m:oMath>
        <m:r>
          <m:t>M</m:t>
        </m:r>
        <m:r>
          <m:rPr>
            <m:sty m:val="p"/>
          </m:rPr>
          <m:t>≈</m:t>
        </m:r>
      </m:oMath>
      <w:r>
        <w:t xml:space="preserve"> </w:t>
      </w:r>
      <w:r>
        <w:t xml:space="preserve">6.6。链路间的信噪比分布按表4。检测概率曲线如图14所示，</w:t>
      </w:r>
      <m:oMath>
        <m:sSub>
          <m:e>
            <m:r>
              <m:t>P</m:t>
            </m:r>
          </m:e>
          <m:sub>
            <m:r>
              <m:t>d</m:t>
            </m:r>
          </m:sub>
        </m:sSub>
        <m:r>
          <m:rPr>
            <m:sty m:val="p"/>
          </m:rPr>
          <m:t>=</m:t>
        </m:r>
        <m:r>
          <m:t>0.9</m:t>
        </m:r>
      </m:oMath>
      <w:r>
        <w:t xml:space="preserve"> </w:t>
      </w:r>
      <w:r>
        <w:t xml:space="preserve">所需的单链路平均信噪比见表6。</w:t>
      </w:r>
    </w:p>
    <w:p>
      <w:pPr>
        <w:pStyle w:val="CaptionedFigure"/>
      </w:pPr>
      <w:r>
        <w:drawing>
          <wp:inline>
            <wp:extent cx="5334000" cy="2382222"/>
            <wp:effectExtent b="0" l="0" r="0" t="0"/>
            <wp:docPr descr="图14 检测概率曲线（Pfa=10−6）：(a) 点目标；(b) 尺寸3 m的扩展目标" title="" id="97" name="Picture"/>
            <a:graphic>
              <a:graphicData uri="http://schemas.openxmlformats.org/drawingml/2006/picture">
                <pic:pic>
                  <pic:nvPicPr>
                    <pic:cNvPr descr="figures/st_pd.png" id="98" name="Picture"/>
                    <pic:cNvPicPr>
                      <a:picLocks noChangeArrowheads="1" noChangeAspect="1"/>
                    </pic:cNvPicPr>
                  </pic:nvPicPr>
                  <pic:blipFill>
                    <a:blip r:embed="rId96"/>
                    <a:stretch>
                      <a:fillRect/>
                    </a:stretch>
                  </pic:blipFill>
                  <pic:spPr bwMode="auto">
                    <a:xfrm>
                      <a:off x="0" y="0"/>
                      <a:ext cx="5334000" cy="2382222"/>
                    </a:xfrm>
                    <a:prstGeom prst="rect">
                      <a:avLst/>
                    </a:prstGeom>
                    <a:noFill/>
                    <a:ln w="9525">
                      <a:noFill/>
                      <a:headEnd/>
                      <a:tailEnd/>
                    </a:ln>
                  </pic:spPr>
                </pic:pic>
              </a:graphicData>
            </a:graphic>
          </wp:inline>
        </w:drawing>
      </w:r>
    </w:p>
    <w:p>
      <w:pPr>
        <w:pStyle w:val="ImageCaption"/>
      </w:pPr>
      <w:r>
        <w:t xml:space="preserve">图14 检测概率曲线（Pfa=10</w:t>
      </w:r>
      <w:r>
        <w:rPr>
          <w:vertAlign w:val="superscript"/>
        </w:rPr>
        <w:t xml:space="preserve">−6</w:t>
      </w:r>
      <w:r>
        <w:t xml:space="preserve">）：(a) 点目标；(b) 尺寸3 m的扩展目标</w:t>
      </w:r>
    </w:p>
    <w:p>
      <w:pPr>
        <w:pStyle w:val="TableCaption"/>
      </w:pPr>
      <w:r>
        <w:t xml:space="preserve">表6 Pd=0.9、Pfa=10</w:t>
      </w:r>
      <w:r>
        <w:rPr>
          <w:vertAlign w:val="superscript"/>
        </w:rPr>
        <w:t xml:space="preserve">−6</w:t>
      </w:r>
      <w:r>
        <w:t xml:space="preserve"> </w:t>
      </w:r>
      <w:r>
        <w:t xml:space="preserve">所需的单链路平均输出信噪比（dB）</w:t>
      </w:r>
    </w:p>
    <w:tbl>
      <w:tblPr>
        <w:tblStyle w:val="Table"/>
        <w:tblW w:w="9070" w:type="dxa"/>
        <w:jc w:val="center"/>
        <w:tblBorders>
          <w:top w:val="single" w:sz="12" w:space="0" w:color="000000"/>
          <w:left w:val="nil"/>
          <w:bottom w:val="single" w:sz="12" w:space="0" w:color="000000"/>
          <w:right w:val="nil"/>
          <w:insideH w:val="nil"/>
          <w:insideV w:val="nil"/>
        </w:tblBorders>
        <w:tblLook w:firstRow="1" w:lastRow="0" w:firstColumn="0" w:lastColumn="0" w:noHBand="0" w:noVBand="0" w:val="0020"/>
        <w:tblCaption w:val="表6 Pd=0.9、Pfa=10−6 所需的单链路平均输出信噪比（dB）"/>
      </w:tblPr>
      <w:tblGrid>
        <w:gridCol w:w="2640"/>
        <w:gridCol w:w="2640"/>
        <w:gridCol w:w="2640"/>
      </w:tblGrid>
      <w:tr>
        <w:trPr>
          <w:tblHeader w:val="true"/>
          <w:cantSplit/>
        </w:trPr>
        <w:tc>
          <w:tcPr>
            <w:tcBorders>
              <w:bottom w:val="single" w:sz="6" w:space="0" w:color="000000"/>
            </w:tcBorders>
            <w:vAlign w:val="center"/>
          </w:tcPr>
          <w:p>
            <w:pPr>
              <w:pStyle w:val="Compact"/>
              <w:keepNext/>
              <w:jc w:val="left"/>
            </w:pPr>
            <w:r>
              <w:rPr>
                <w:b/>
              </w:rPr>
              <w:t xml:space="preserve">融合方式</w:t>
            </w:r>
          </w:p>
        </w:tc>
        <w:tc>
          <w:tcPr>
            <w:tcBorders>
              <w:bottom w:val="single" w:sz="6" w:space="0" w:color="000000"/>
            </w:tcBorders>
            <w:vAlign w:val="center"/>
          </w:tcPr>
          <w:p>
            <w:pPr>
              <w:pStyle w:val="Compact"/>
              <w:keepNext/>
              <w:jc w:val="center"/>
            </w:pPr>
            <w:r>
              <w:rPr>
                <w:b/>
              </w:rPr>
              <w:t xml:space="preserve">点目标（非起伏）</w:t>
            </w:r>
          </w:p>
        </w:tc>
        <w:tc>
          <w:tcPr>
            <w:tcBorders>
              <w:bottom w:val="single" w:sz="6" w:space="0" w:color="000000"/>
            </w:tcBorders>
            <w:vAlign w:val="center"/>
          </w:tcPr>
          <w:p>
            <w:pPr>
              <w:pStyle w:val="Compact"/>
              <w:keepNext/>
              <w:jc w:val="center"/>
            </w:pPr>
            <w:r>
              <w:rPr>
                <w:b/>
              </w:rPr>
              <w:t xml:space="preserve">扩展目标</w:t>
            </w:r>
            <w:r>
              <w:rPr>
                <w:b/>
              </w:rPr>
              <w:t xml:space="preserve"> </w:t>
            </w:r>
            <m:oMath>
              <m:sSub>
                <m:e>
                  <m:r>
                    <m:t>L</m:t>
                  </m:r>
                </m:e>
                <m:sub>
                  <m:r>
                    <m:t>t</m:t>
                  </m:r>
                </m:sub>
              </m:sSub>
            </m:oMath>
            <w:r>
              <w:rPr>
                <w:b/>
              </w:rPr>
              <w:t xml:space="preserve">=3 m（起伏、部分相参）</w:t>
            </w:r>
          </w:p>
        </w:tc>
      </w:tr>
      <w:tr>
        <w:trPr>
          <w:cantSplit/>
        </w:trPr>
        <w:tc>
          <w:tcPr>
            <w:vAlign w:val="center"/>
          </w:tcPr>
          <w:p>
            <w:pPr>
              <w:pStyle w:val="Compact"/>
              <w:keepNext/>
              <w:jc w:val="left"/>
            </w:pPr>
            <w:r>
              <w:t xml:space="preserve">最佳单链路</w:t>
            </w:r>
          </w:p>
        </w:tc>
        <w:tc>
          <w:tcPr>
            <w:vAlign w:val="center"/>
          </w:tcPr>
          <w:p>
            <w:pPr>
              <w:pStyle w:val="Compact"/>
              <w:keepNext/>
              <w:jc w:val="center"/>
            </w:pPr>
            <w:r>
              <w:t xml:space="preserve">11.6</w:t>
            </w:r>
          </w:p>
        </w:tc>
        <w:tc>
          <w:tcPr>
            <w:vAlign w:val="center"/>
          </w:tcPr>
          <w:p>
            <w:pPr>
              <w:pStyle w:val="Compact"/>
              <w:keepNext/>
              <w:jc w:val="center"/>
            </w:pPr>
            <w:r>
              <w:t xml:space="preserve">&gt;16</w:t>
            </w:r>
          </w:p>
        </w:tc>
      </w:tr>
      <w:tr>
        <w:trPr>
          <w:cantSplit/>
        </w:trPr>
        <w:tc>
          <w:tcPr>
            <w:vAlign w:val="center"/>
          </w:tcPr>
          <w:p>
            <w:pPr>
              <w:pStyle w:val="Compact"/>
              <w:keepNext/>
              <w:jc w:val="left"/>
            </w:pPr>
            <w:r>
              <w:t xml:space="preserve">非相参融合</w:t>
            </w:r>
          </w:p>
        </w:tc>
        <w:tc>
          <w:tcPr>
            <w:vAlign w:val="center"/>
          </w:tcPr>
          <w:p>
            <w:pPr>
              <w:pStyle w:val="Compact"/>
              <w:keepNext/>
              <w:jc w:val="center"/>
            </w:pPr>
            <w:r>
              <w:t xml:space="preserve">5.3</w:t>
            </w:r>
          </w:p>
        </w:tc>
        <w:tc>
          <w:tcPr>
            <w:vAlign w:val="center"/>
          </w:tcPr>
          <w:p>
            <w:pPr>
              <w:pStyle w:val="Compact"/>
              <w:keepNext/>
              <w:jc w:val="center"/>
            </w:pPr>
            <w:r>
              <w:t xml:space="preserve">9.9</w:t>
            </w:r>
          </w:p>
        </w:tc>
      </w:tr>
      <w:tr>
        <w:trPr>
          <w:cantSplit/>
        </w:trPr>
        <w:tc>
          <w:tcPr>
            <w:vAlign w:val="center"/>
          </w:tcPr>
          <w:p>
            <w:pPr>
              <w:pStyle w:val="Compact"/>
              <w:keepNext/>
              <w:jc w:val="left"/>
            </w:pPr>
            <w:r>
              <w:t xml:space="preserve">源间相参 + 站间非相参</w:t>
            </w:r>
          </w:p>
        </w:tc>
        <w:tc>
          <w:tcPr>
            <w:vAlign w:val="center"/>
          </w:tcPr>
          <w:p>
            <w:pPr>
              <w:pStyle w:val="Compact"/>
              <w:keepNext/>
              <w:jc w:val="center"/>
            </w:pPr>
            <w:r>
              <w:t xml:space="preserve">4.9</w:t>
            </w:r>
          </w:p>
        </w:tc>
        <w:tc>
          <w:tcPr>
            <w:vAlign w:val="center"/>
          </w:tcPr>
          <w:p>
            <w:pPr>
              <w:pStyle w:val="Compact"/>
              <w:keepNext/>
              <w:jc w:val="center"/>
            </w:pPr>
            <w:r>
              <w:t xml:space="preserve">11.2</w:t>
            </w:r>
          </w:p>
        </w:tc>
      </w:tr>
      <w:tr>
        <w:trPr>
          <w:cantSplit/>
        </w:trPr>
        <w:tc>
          <w:tcPr>
            <w:vAlign w:val="center"/>
          </w:tcPr>
          <w:p>
            <w:pPr>
              <w:pStyle w:val="Compact"/>
              <w:keepNext/>
              <w:jc w:val="left"/>
            </w:pPr>
            <w:r>
              <w:t xml:space="preserve">站间相参 + 源间非相参</w:t>
            </w:r>
          </w:p>
        </w:tc>
        <w:tc>
          <w:tcPr>
            <w:vAlign w:val="center"/>
          </w:tcPr>
          <w:p>
            <w:pPr>
              <w:pStyle w:val="Compact"/>
              <w:keepNext/>
              <w:jc w:val="center"/>
            </w:pPr>
            <w:r>
              <w:t xml:space="preserve">4.6</w:t>
            </w:r>
          </w:p>
        </w:tc>
        <w:tc>
          <w:tcPr>
            <w:vAlign w:val="center"/>
          </w:tcPr>
          <w:p>
            <w:pPr>
              <w:pStyle w:val="Compact"/>
              <w:keepNext/>
              <w:jc w:val="center"/>
            </w:pPr>
            <w:r>
              <w:t xml:space="preserve">11.1</w:t>
            </w:r>
          </w:p>
        </w:tc>
      </w:tr>
      <w:tr>
        <w:trPr>
          <w:cantSplit/>
        </w:trPr>
        <w:tc>
          <w:tcPr>
            <w:vAlign w:val="center"/>
          </w:tcPr>
          <w:p>
            <w:pPr>
              <w:pStyle w:val="Compact"/>
              <w:keepNext/>
              <w:jc w:val="left"/>
            </w:pPr>
            <w:r>
              <w:t xml:space="preserve">10链路相参（含精搜索代价）</w:t>
            </w:r>
          </w:p>
        </w:tc>
        <w:tc>
          <w:tcPr>
            <w:vAlign w:val="center"/>
          </w:tcPr>
          <w:p>
            <w:pPr>
              <w:pStyle w:val="Compact"/>
              <w:keepNext/>
              <w:jc w:val="center"/>
            </w:pPr>
            <w:r>
              <w:t xml:space="preserve">4.4</w:t>
            </w:r>
          </w:p>
        </w:tc>
        <w:tc>
          <w:tcPr>
            <w:vAlign w:val="center"/>
          </w:tcPr>
          <w:p>
            <w:pPr>
              <w:pStyle w:val="Compact"/>
              <w:keepNext/>
              <w:jc w:val="center"/>
            </w:pPr>
            <w:r>
              <w:t xml:space="preserve">14.0</w:t>
            </w:r>
          </w:p>
        </w:tc>
      </w:tr>
      <w:tr>
        <w:trPr>
          <w:cantSplit/>
        </w:trPr>
        <w:tc>
          <w:tcPr>
            <w:vAlign w:val="center"/>
          </w:tcPr>
          <w:p>
            <w:pPr>
              <w:pStyle w:val="Compact"/>
              <w:keepNext/>
              <w:jc w:val="left"/>
            </w:pPr>
            <w:r>
              <w:t xml:space="preserve">10链路相参（目标位置已知至亚波长）</w:t>
            </w:r>
          </w:p>
        </w:tc>
        <w:tc>
          <w:tcPr>
            <w:vAlign w:val="center"/>
          </w:tcPr>
          <w:p>
            <w:pPr>
              <w:pStyle w:val="Compact"/>
              <w:keepNext/>
              <w:jc w:val="center"/>
            </w:pPr>
            <w:r>
              <w:t xml:space="preserve">3.2</w:t>
            </w:r>
          </w:p>
        </w:tc>
        <w:tc>
          <w:tcPr>
            <w:vAlign w:val="center"/>
          </w:tcPr>
          <w:p>
            <w:pPr>
              <w:pStyle w:val="Compact"/>
              <w:keepNext/>
              <w:jc w:val="center"/>
            </w:pPr>
            <w:r>
              <w:t xml:space="preserve">12.5</w:t>
            </w:r>
          </w:p>
        </w:tc>
      </w:tr>
      <w:tr>
        <w:trPr>
          <w:cantSplit/>
        </w:trPr>
        <w:tc>
          <w:tcPr>
            <w:vAlign w:val="center"/>
          </w:tcPr>
          <w:p>
            <w:pPr>
              <w:pStyle w:val="Compact"/>
              <w:keepNext/>
              <w:jc w:val="left"/>
            </w:pPr>
            <w:r>
              <w:t xml:space="preserve">10链路相参，残余相位误差30°</w:t>
            </w:r>
          </w:p>
        </w:tc>
        <w:tc>
          <w:tcPr>
            <w:vAlign w:val="center"/>
          </w:tcPr>
          <w:p>
            <w:pPr>
              <w:pStyle w:val="Compact"/>
              <w:keepNext/>
              <w:jc w:val="center"/>
            </w:pPr>
            <w:r>
              <w:t xml:space="preserve">5.6</w:t>
            </w:r>
          </w:p>
        </w:tc>
        <w:tc>
          <w:tcPr>
            <w:vAlign w:val="center"/>
          </w:tcPr>
          <w:p>
            <w:pPr>
              <w:pStyle w:val="Compact"/>
              <w:keepNext/>
              <w:jc w:val="center"/>
            </w:pPr>
            <w:r>
              <w:t xml:space="preserve">15.0</w:t>
            </w:r>
          </w:p>
        </w:tc>
      </w:tr>
      <w:tr>
        <w:trPr>
          <w:cantSplit/>
        </w:trPr>
        <w:tc>
          <w:tcPr>
            <w:vAlign w:val="center"/>
          </w:tcPr>
          <w:p>
            <w:pPr>
              <w:pStyle w:val="Compact"/>
              <w:jc w:val="left"/>
            </w:pPr>
            <w:r>
              <w:t xml:space="preserve">相参/非相参双支路</w:t>
            </w:r>
          </w:p>
        </w:tc>
        <w:tc>
          <w:tcPr>
            <w:vAlign w:val="center"/>
          </w:tcPr>
          <w:p>
            <w:pPr>
              <w:pStyle w:val="Compact"/>
              <w:jc w:val="center"/>
            </w:pPr>
            <w:r>
              <w:t xml:space="preserve">4.5</w:t>
            </w:r>
          </w:p>
        </w:tc>
        <w:tc>
          <w:tcPr>
            <w:vAlign w:val="center"/>
          </w:tcPr>
          <w:p>
            <w:pPr>
              <w:pStyle w:val="Compact"/>
              <w:jc w:val="center"/>
            </w:pPr>
            <w:r>
              <w:t xml:space="preserve">10.0</w:t>
            </w:r>
          </w:p>
        </w:tc>
      </w:tr>
    </w:tbl>
    <w:p>
      <w:pPr>
        <w:pStyle w:val="BodyText"/>
      </w:pPr>
      <w:r>
        <w:t xml:space="preserve">由图14和表6可得：</w:t>
      </w:r>
    </w:p>
    <w:p>
      <w:pPr>
        <w:pStyle w:val="BodyText"/>
      </w:pPr>
      <w:r>
        <w:t xml:space="preserve">（1）对点目标，10链路相参融合所需信噪比比最佳单链路检测低 7.2 dB，比非相参融合低 0.8 dB；以目标位置已知至亚波长量级（不需精搜索）为理想上限，还可再降低约 1.3 dB，相对非相参融合的优势为 2.1 dB。理想相参融合相对非相参融合的优势本质上来自非相参积累损失，在本例</w:t>
      </w:r>
      <w:r>
        <w:t xml:space="preserve"> </w:t>
      </w:r>
      <m:oMath>
        <m:r>
          <m:t>L</m:t>
        </m:r>
        <m:r>
          <m:rPr>
            <m:sty m:val="p"/>
          </m:rPr>
          <m:t>=</m:t>
        </m:r>
        <m:r>
          <m:t>10</m:t>
        </m:r>
      </m:oMath>
      <w:r>
        <w:t xml:space="preserve"> </w:t>
      </w:r>
      <w:r>
        <w:t xml:space="preserve">时约为2 dB，链路数或与时域积累组合后的积累数越多，优势越大（7.8节）；</w:t>
      </w:r>
    </w:p>
    <w:p>
      <w:pPr>
        <w:pStyle w:val="BodyText"/>
      </w:pPr>
      <w:r>
        <w:t xml:space="preserve">（2）残余相位误差30°时，相参融合的优势基本消失（5.6 dB，劣于非相参融合），再次说明通道标定的重要性；</w:t>
      </w:r>
    </w:p>
    <w:p>
      <w:pPr>
        <w:pStyle w:val="BodyText"/>
      </w:pPr>
      <w:r>
        <w:t xml:space="preserve">（3）对尺寸3 m的扩展目标，链路间散射部分去相关，10链路相参融合所需信噪比反而比非相参融合高 4.1 dB，非相参融合因获得空间分集而最优；</w:t>
      </w:r>
    </w:p>
    <w:p>
      <w:pPr>
        <w:pStyle w:val="BodyText"/>
      </w:pPr>
      <w:r>
        <w:t xml:space="preserve">（4）相参/非相参双支路检测在两种情况下所需信噪比分别为 4.5 dB 与 10.0 dB，与两者中的较优者相差不超过 0.1 dB，是目标尺寸未知时的稳健选择。</w:t>
      </w:r>
    </w:p>
    <w:bookmarkEnd w:id="99"/>
    <w:bookmarkStart w:id="106" w:name="目标尺寸与布站尺度的影响"/>
    <w:p>
      <w:pPr>
        <w:pStyle w:val="Heading2"/>
      </w:pPr>
      <w:r>
        <w:t xml:space="preserve">7.7 目标尺寸与布站尺度的影响</w:t>
      </w:r>
    </w:p>
    <w:p>
      <w:pPr>
        <w:pStyle w:val="FirstParagraph"/>
      </w:pPr>
      <w:r>
        <w:t xml:space="preserve">图15(a)为10链路相参融合的平均输出信噪比增益随目标尺寸的变化：尺寸不超过约0.7 m时增益保持在9.9 dB以上，尺寸1 m时为 9.8 dB，3 m时为 8.7 dB，10 m时仅为 3.4 dB。图15(b)为起伏目标在</w:t>
      </w:r>
      <w:r>
        <w:t xml:space="preserve"> </w:t>
      </w:r>
      <m:oMath>
        <m:sSub>
          <m:e>
            <m:r>
              <m:t>P</m:t>
            </m:r>
          </m:e>
          <m:sub>
            <m:r>
              <m:t>d</m:t>
            </m:r>
          </m:sub>
        </m:sSub>
        <m:r>
          <m:rPr>
            <m:sty m:val="p"/>
          </m:rPr>
          <m:t>=</m:t>
        </m:r>
        <m:r>
          <m:t>0.9</m:t>
        </m:r>
      </m:oMath>
      <w:r>
        <w:t xml:space="preserve">、</w:t>
      </w:r>
      <m:oMath>
        <m:sSub>
          <m:e>
            <m:r>
              <m:t>P</m:t>
            </m:r>
          </m:e>
          <m:sub>
            <m:r>
              <m:t>f</m:t>
            </m:r>
            <m:r>
              <m:t>a</m:t>
            </m:r>
          </m:sub>
        </m:sSub>
        <m:r>
          <m:rPr>
            <m:sty m:val="p"/>
          </m:rPr>
          <m:t>=</m:t>
        </m:r>
        <m:sSup>
          <m:e>
            <m:r>
              <m:t>10</m:t>
            </m:r>
          </m:e>
          <m:sup>
            <m:r>
              <m:rPr>
                <m:sty m:val="p"/>
              </m:rPr>
              <m:t>−</m:t>
            </m:r>
            <m:r>
              <m:t>6</m:t>
            </m:r>
          </m:sup>
        </m:sSup>
      </m:oMath>
      <w:r>
        <w:t xml:space="preserve"> </w:t>
      </w:r>
      <w:r>
        <w:t xml:space="preserve">下所需的单链路平均信噪比：尺寸小于约0.7 m时全相参融合所需信噪比最低（与站间相参相当，如0.35 m时全相参、站间相参与非相参分别需 12.8 dB、12.9 dB 与 13.4 dB），由于此时各链路随目标起伏同步衰落，非相参融合无法获得分集增益；尺寸约1 m时二者相当；尺寸更大时非相参融合因空间分集而明显占优（10 m时全相参与非相参分别需 20.0 dB 与 7.5 dB）；源间相参与站间相参介于二者之间；双支路检测始终接近两者中的较优者。</w:t>
      </w:r>
    </w:p>
    <w:p>
      <w:pPr>
        <w:pStyle w:val="CaptionedFigure"/>
      </w:pPr>
      <w:r>
        <w:drawing>
          <wp:inline>
            <wp:extent cx="5334000" cy="2231571"/>
            <wp:effectExtent b="0" l="0" r="0" t="0"/>
            <wp:docPr descr="图15 目标尺寸的影响：(a) 相参融合平均增益；(b) 检测所需单链路平均信噪比" title="" id="101" name="Picture"/>
            <a:graphic>
              <a:graphicData uri="http://schemas.openxmlformats.org/drawingml/2006/picture">
                <pic:pic>
                  <pic:nvPicPr>
                    <pic:cNvPr descr="figures/st_size.png" id="102" name="Picture"/>
                    <pic:cNvPicPr>
                      <a:picLocks noChangeArrowheads="1" noChangeAspect="1"/>
                    </pic:cNvPicPr>
                  </pic:nvPicPr>
                  <pic:blipFill>
                    <a:blip r:embed="rId100"/>
                    <a:stretch>
                      <a:fillRect/>
                    </a:stretch>
                  </pic:blipFill>
                  <pic:spPr bwMode="auto">
                    <a:xfrm>
                      <a:off x="0" y="0"/>
                      <a:ext cx="5334000" cy="2231571"/>
                    </a:xfrm>
                    <a:prstGeom prst="rect">
                      <a:avLst/>
                    </a:prstGeom>
                    <a:noFill/>
                    <a:ln w="9525">
                      <a:noFill/>
                      <a:headEnd/>
                      <a:tailEnd/>
                    </a:ln>
                  </pic:spPr>
                </pic:pic>
              </a:graphicData>
            </a:graphic>
          </wp:inline>
        </w:drawing>
      </w:r>
    </w:p>
    <w:p>
      <w:pPr>
        <w:pStyle w:val="ImageCaption"/>
      </w:pPr>
      <w:r>
        <w:t xml:space="preserve">图15 目标尺寸的影响：(a) 相参融合平均增益；(b) 检测所需单链路平均信噪比</w:t>
      </w:r>
    </w:p>
    <w:p>
      <w:pPr>
        <w:pStyle w:val="BodyText"/>
      </w:pPr>
      <w:r>
        <w:t xml:space="preserve">图16为布站尺度的影响：保持目标位置不变，将接收站群和两信号源间距同比例缩放。本例布站（接收站分布范围约 3.1 km）下，0.35 m、1 m、3 m目标的相参平均增益分别为 10.0 dB、9.8 dB 与 8.7 dB；布站尺度扩大到4倍（约 12 km）时，分别降为 9.7 dB、8.1 dB 与 3.1 dB。因此，若以小型无人机为主要探测对象并追求10链路全相参，接收站群应相对紧凑（相对目标的张角不超过数度），两信号源宜同址或近址；若布站分散以追求定位几何与覆盖，则应以非相参或分组相参为主。</w:t>
      </w:r>
    </w:p>
    <w:p>
      <w:pPr>
        <w:pStyle w:val="CaptionedFigure"/>
      </w:pPr>
      <w:r>
        <w:drawing>
          <wp:inline>
            <wp:extent cx="3059999" cy="2118680"/>
            <wp:effectExtent b="0" l="0" r="0" t="0"/>
            <wp:docPr descr="图16 布站尺度对10链路相参融合增益的影响" title="" id="104" name="Picture"/>
            <a:graphic>
              <a:graphicData uri="http://schemas.openxmlformats.org/drawingml/2006/picture">
                <pic:pic>
                  <pic:nvPicPr>
                    <pic:cNvPr descr="figures/st_layout.png" id="105" name="Picture"/>
                    <pic:cNvPicPr>
                      <a:picLocks noChangeArrowheads="1" noChangeAspect="1"/>
                    </pic:cNvPicPr>
                  </pic:nvPicPr>
                  <pic:blipFill>
                    <a:blip r:embed="rId103"/>
                    <a:stretch>
                      <a:fillRect/>
                    </a:stretch>
                  </pic:blipFill>
                  <pic:spPr bwMode="auto">
                    <a:xfrm>
                      <a:off x="0" y="0"/>
                      <a:ext cx="3059999" cy="2118680"/>
                    </a:xfrm>
                    <a:prstGeom prst="rect">
                      <a:avLst/>
                    </a:prstGeom>
                    <a:noFill/>
                    <a:ln w="9525">
                      <a:noFill/>
                      <a:headEnd/>
                      <a:tailEnd/>
                    </a:ln>
                  </pic:spPr>
                </pic:pic>
              </a:graphicData>
            </a:graphic>
          </wp:inline>
        </w:drawing>
      </w:r>
    </w:p>
    <w:p>
      <w:pPr>
        <w:pStyle w:val="ImageCaption"/>
      </w:pPr>
      <w:r>
        <w:t xml:space="preserve">图16 布站尺度对10链路相参融合增益的影响</w:t>
      </w:r>
    </w:p>
    <w:bookmarkEnd w:id="106"/>
    <w:bookmarkStart w:id="107" w:name="三维相参组合增益"/>
    <w:p>
      <w:pPr>
        <w:pStyle w:val="Heading2"/>
      </w:pPr>
      <w:r>
        <w:t xml:space="preserve">7.8 三维相参组合增益</w:t>
      </w:r>
    </w:p>
    <w:p>
      <w:pPr>
        <w:pStyle w:val="FirstParagraph"/>
      </w:pPr>
      <w:r>
        <w:t xml:space="preserve">设总积累时间划分为</w:t>
      </w:r>
      <w:r>
        <w:t xml:space="preserve"> </w:t>
      </w:r>
      <m:oMath>
        <m:r>
          <m:t>K</m:t>
        </m:r>
        <m:r>
          <m:rPr>
            <m:sty m:val="p"/>
          </m:rPr>
          <m:t>=</m:t>
        </m:r>
        <m:r>
          <m:t>4</m:t>
        </m:r>
      </m:oMath>
      <w:r>
        <w:t xml:space="preserve"> </w:t>
      </w:r>
      <w:r>
        <w:t xml:space="preserve">个子CPI，与</w:t>
      </w:r>
      <w:r>
        <w:t xml:space="preserve"> </w:t>
      </w:r>
      <m:oMath>
        <m:r>
          <m:t>L</m:t>
        </m:r>
        <m:r>
          <m:rPr>
            <m:sty m:val="p"/>
          </m:rPr>
          <m:t>=</m:t>
        </m:r>
        <m:r>
          <m:t>10</m:t>
        </m:r>
      </m:oMath>
      <w:r>
        <w:t xml:space="preserve"> </w:t>
      </w:r>
      <w:r>
        <w:t xml:space="preserve">条链路共构成40个“基本积累单元”。按时域、源间、站间三个维度分别采用相参或非相参累加，点目标在</w:t>
      </w:r>
      <w:r>
        <w:t xml:space="preserve"> </w:t>
      </w:r>
      <m:oMath>
        <m:sSub>
          <m:e>
            <m:r>
              <m:t>P</m:t>
            </m:r>
          </m:e>
          <m:sub>
            <m:r>
              <m:t>d</m:t>
            </m:r>
          </m:sub>
        </m:sSub>
        <m:r>
          <m:rPr>
            <m:sty m:val="p"/>
          </m:rPr>
          <m:t>=</m:t>
        </m:r>
        <m:r>
          <m:t>0.9</m:t>
        </m:r>
      </m:oMath>
      <w:r>
        <w:t xml:space="preserve">、</w:t>
      </w:r>
      <m:oMath>
        <m:sSub>
          <m:e>
            <m:r>
              <m:t>P</m:t>
            </m:r>
          </m:e>
          <m:sub>
            <m:r>
              <m:t>f</m:t>
            </m:r>
            <m:r>
              <m:t>a</m:t>
            </m:r>
          </m:sub>
        </m:sSub>
        <m:r>
          <m:rPr>
            <m:sty m:val="p"/>
          </m:rPr>
          <m:t>=</m:t>
        </m:r>
        <m:sSup>
          <m:e>
            <m:r>
              <m:t>10</m:t>
            </m:r>
          </m:e>
          <m:sup>
            <m:r>
              <m:rPr>
                <m:sty m:val="p"/>
              </m:rPr>
              <m:t>−</m:t>
            </m:r>
            <m:r>
              <m:t>6</m:t>
            </m:r>
          </m:sup>
        </m:sSup>
      </m:oMath>
      <w:r>
        <w:t xml:space="preserve"> </w:t>
      </w:r>
      <w:r>
        <w:t xml:space="preserve">下所需的基本单元信噪比及相对单个单元（所需 13.2 dB）的检测增益见表7。</w:t>
      </w:r>
    </w:p>
    <w:p>
      <w:pPr>
        <w:pStyle w:val="TableCaption"/>
      </w:pPr>
      <w:r>
        <w:t xml:space="preserve">表7 时域×源×站三维相参组合的检测增益（K=4，L=10，点目标，不计精搜索代价）</w:t>
      </w:r>
    </w:p>
    <w:tbl>
      <w:tblPr>
        <w:tblStyle w:val="Table"/>
        <w:tblW w:w="9070" w:type="dxa"/>
        <w:jc w:val="center"/>
        <w:tblBorders>
          <w:top w:val="single" w:sz="12" w:space="0" w:color="000000"/>
          <w:left w:val="nil"/>
          <w:bottom w:val="single" w:sz="12" w:space="0" w:color="000000"/>
          <w:right w:val="nil"/>
          <w:insideH w:val="nil"/>
          <w:insideV w:val="nil"/>
        </w:tblBorders>
        <w:tblLook w:firstRow="1" w:lastRow="0" w:firstColumn="0" w:lastColumn="0" w:noHBand="0" w:noVBand="0" w:val="0020"/>
        <w:tblCaption w:val="表7 时域×源×站三维相参组合的检测增益（K=4，L=10，点目标，不计精搜索代价）"/>
      </w:tblPr>
      <w:tblGrid>
        <w:gridCol w:w="1788"/>
        <w:gridCol w:w="1532"/>
        <w:gridCol w:w="1532"/>
        <w:gridCol w:w="1532"/>
        <w:gridCol w:w="1532"/>
      </w:tblGrid>
      <w:tr>
        <w:trPr>
          <w:tblHeader w:val="true"/>
          <w:cantSplit/>
        </w:trPr>
        <w:tc>
          <w:tcPr>
            <w:tcBorders>
              <w:bottom w:val="single" w:sz="6" w:space="0" w:color="000000"/>
            </w:tcBorders>
            <w:vAlign w:val="center"/>
          </w:tcPr>
          <w:p>
            <w:pPr>
              <w:pStyle w:val="Compact"/>
              <w:keepNext/>
              <w:jc w:val="left"/>
            </w:pPr>
            <w:r>
              <w:rPr>
                <w:b/>
              </w:rPr>
              <w:t xml:space="preserve">组合方式</w:t>
            </w:r>
          </w:p>
        </w:tc>
        <w:tc>
          <w:tcPr>
            <w:tcBorders>
              <w:bottom w:val="single" w:sz="6" w:space="0" w:color="000000"/>
            </w:tcBorders>
            <w:vAlign w:val="center"/>
          </w:tcPr>
          <w:p>
            <w:pPr>
              <w:pStyle w:val="Compact"/>
              <w:keepNext/>
              <w:jc w:val="center"/>
            </w:pPr>
            <w:r>
              <w:rPr>
                <w:b/>
              </w:rPr>
              <w:t xml:space="preserve">非相参累加项数</w:t>
            </w:r>
          </w:p>
        </w:tc>
        <w:tc>
          <w:tcPr>
            <w:tcBorders>
              <w:bottom w:val="single" w:sz="6" w:space="0" w:color="000000"/>
            </w:tcBorders>
            <w:vAlign w:val="center"/>
          </w:tcPr>
          <w:p>
            <w:pPr>
              <w:pStyle w:val="Compact"/>
              <w:keepNext/>
              <w:jc w:val="center"/>
            </w:pPr>
            <w:r>
              <w:rPr>
                <w:b/>
              </w:rPr>
              <w:t xml:space="preserve">每项相参单元数</w:t>
            </w:r>
          </w:p>
        </w:tc>
        <w:tc>
          <w:tcPr>
            <w:tcBorders>
              <w:bottom w:val="single" w:sz="6" w:space="0" w:color="000000"/>
            </w:tcBorders>
            <w:vAlign w:val="center"/>
          </w:tcPr>
          <w:p>
            <w:pPr>
              <w:pStyle w:val="Compact"/>
              <w:keepNext/>
              <w:jc w:val="center"/>
            </w:pPr>
            <w:r>
              <w:rPr>
                <w:b/>
              </w:rPr>
              <w:t xml:space="preserve">所需单元SNR/dB</w:t>
            </w:r>
          </w:p>
        </w:tc>
        <w:tc>
          <w:tcPr>
            <w:tcBorders>
              <w:bottom w:val="single" w:sz="6" w:space="0" w:color="000000"/>
            </w:tcBorders>
            <w:vAlign w:val="center"/>
          </w:tcPr>
          <w:p>
            <w:pPr>
              <w:pStyle w:val="Compact"/>
              <w:keepNext/>
              <w:jc w:val="center"/>
            </w:pPr>
            <w:r>
              <w:rPr>
                <w:b/>
              </w:rPr>
              <w:t xml:space="preserve">检测增益/dB</w:t>
            </w:r>
          </w:p>
        </w:tc>
      </w:tr>
      <w:tr>
        <w:trPr>
          <w:cantSplit/>
        </w:trPr>
        <w:tc>
          <w:tcPr>
            <w:vAlign w:val="center"/>
          </w:tcPr>
          <w:p>
            <w:pPr>
              <w:pStyle w:val="Compact"/>
              <w:keepNext/>
              <w:jc w:val="left"/>
            </w:pPr>
            <w:r>
              <w:t xml:space="preserve">全部非相参</w:t>
            </w:r>
          </w:p>
        </w:tc>
        <w:tc>
          <w:tcPr>
            <w:vAlign w:val="center"/>
          </w:tcPr>
          <w:p>
            <w:pPr>
              <w:pStyle w:val="Compact"/>
              <w:keepNext/>
              <w:jc w:val="center"/>
            </w:pPr>
            <w:r>
              <w:t xml:space="preserve">40</w:t>
            </w:r>
          </w:p>
        </w:tc>
        <w:tc>
          <w:tcPr>
            <w:vAlign w:val="center"/>
          </w:tcPr>
          <w:p>
            <w:pPr>
              <w:pStyle w:val="Compact"/>
              <w:keepNext/>
              <w:jc w:val="center"/>
            </w:pPr>
            <w:r>
              <w:t xml:space="preserve">1</w:t>
            </w:r>
          </w:p>
        </w:tc>
        <w:tc>
          <w:tcPr>
            <w:vAlign w:val="center"/>
          </w:tcPr>
          <w:p>
            <w:pPr>
              <w:pStyle w:val="Compact"/>
              <w:keepNext/>
              <w:jc w:val="center"/>
            </w:pPr>
            <w:r>
              <w:t xml:space="preserve">1.20</w:t>
            </w:r>
          </w:p>
        </w:tc>
        <w:tc>
          <w:tcPr>
            <w:vAlign w:val="center"/>
          </w:tcPr>
          <w:p>
            <w:pPr>
              <w:pStyle w:val="Compact"/>
              <w:keepNext/>
              <w:jc w:val="center"/>
            </w:pPr>
            <w:r>
              <w:t xml:space="preserve">11.99</w:t>
            </w:r>
          </w:p>
        </w:tc>
      </w:tr>
      <w:tr>
        <w:trPr>
          <w:cantSplit/>
        </w:trPr>
        <w:tc>
          <w:tcPr>
            <w:vAlign w:val="center"/>
          </w:tcPr>
          <w:p>
            <w:pPr>
              <w:pStyle w:val="Compact"/>
              <w:keepNext/>
              <w:jc w:val="left"/>
            </w:pPr>
            <w:r>
              <w:t xml:space="preserve">仅时域相参</w:t>
            </w:r>
          </w:p>
        </w:tc>
        <w:tc>
          <w:tcPr>
            <w:vAlign w:val="center"/>
          </w:tcPr>
          <w:p>
            <w:pPr>
              <w:pStyle w:val="Compact"/>
              <w:keepNext/>
              <w:jc w:val="center"/>
            </w:pPr>
            <w:r>
              <w:t xml:space="preserve">10</w:t>
            </w:r>
          </w:p>
        </w:tc>
        <w:tc>
          <w:tcPr>
            <w:vAlign w:val="center"/>
          </w:tcPr>
          <w:p>
            <w:pPr>
              <w:pStyle w:val="Compact"/>
              <w:keepNext/>
              <w:jc w:val="center"/>
            </w:pPr>
            <w:r>
              <w:t xml:space="preserve">4</w:t>
            </w:r>
          </w:p>
        </w:tc>
        <w:tc>
          <w:tcPr>
            <w:vAlign w:val="center"/>
          </w:tcPr>
          <w:p>
            <w:pPr>
              <w:pStyle w:val="Compact"/>
              <w:keepNext/>
              <w:jc w:val="center"/>
            </w:pPr>
            <w:r>
              <w:t xml:space="preserve">−0.75</w:t>
            </w:r>
          </w:p>
        </w:tc>
        <w:tc>
          <w:tcPr>
            <w:vAlign w:val="center"/>
          </w:tcPr>
          <w:p>
            <w:pPr>
              <w:pStyle w:val="Compact"/>
              <w:keepNext/>
              <w:jc w:val="center"/>
            </w:pPr>
            <w:r>
              <w:t xml:space="preserve">13.94</w:t>
            </w:r>
          </w:p>
        </w:tc>
      </w:tr>
      <w:tr>
        <w:trPr>
          <w:cantSplit/>
        </w:trPr>
        <w:tc>
          <w:tcPr>
            <w:vAlign w:val="center"/>
          </w:tcPr>
          <w:p>
            <w:pPr>
              <w:pStyle w:val="Compact"/>
              <w:keepNext/>
              <w:jc w:val="left"/>
            </w:pPr>
            <w:r>
              <w:t xml:space="preserve">仅源间相参</w:t>
            </w:r>
          </w:p>
        </w:tc>
        <w:tc>
          <w:tcPr>
            <w:vAlign w:val="center"/>
          </w:tcPr>
          <w:p>
            <w:pPr>
              <w:pStyle w:val="Compact"/>
              <w:keepNext/>
              <w:jc w:val="center"/>
            </w:pPr>
            <w:r>
              <w:t xml:space="preserve">20</w:t>
            </w:r>
          </w:p>
        </w:tc>
        <w:tc>
          <w:tcPr>
            <w:vAlign w:val="center"/>
          </w:tcPr>
          <w:p>
            <w:pPr>
              <w:pStyle w:val="Compact"/>
              <w:keepNext/>
              <w:jc w:val="center"/>
            </w:pPr>
            <w:r>
              <w:t xml:space="preserve">2</w:t>
            </w:r>
          </w:p>
        </w:tc>
        <w:tc>
          <w:tcPr>
            <w:vAlign w:val="center"/>
          </w:tcPr>
          <w:p>
            <w:pPr>
              <w:pStyle w:val="Compact"/>
              <w:keepNext/>
              <w:jc w:val="center"/>
            </w:pPr>
            <w:r>
              <w:t xml:space="preserve">0.16</w:t>
            </w:r>
          </w:p>
        </w:tc>
        <w:tc>
          <w:tcPr>
            <w:vAlign w:val="center"/>
          </w:tcPr>
          <w:p>
            <w:pPr>
              <w:pStyle w:val="Compact"/>
              <w:keepNext/>
              <w:jc w:val="center"/>
            </w:pPr>
            <w:r>
              <w:t xml:space="preserve">13.02</w:t>
            </w:r>
          </w:p>
        </w:tc>
      </w:tr>
      <w:tr>
        <w:trPr>
          <w:cantSplit/>
        </w:trPr>
        <w:tc>
          <w:tcPr>
            <w:vAlign w:val="center"/>
          </w:tcPr>
          <w:p>
            <w:pPr>
              <w:pStyle w:val="Compact"/>
              <w:keepNext/>
              <w:jc w:val="left"/>
            </w:pPr>
            <w:r>
              <w:t xml:space="preserve">仅站间相参</w:t>
            </w:r>
          </w:p>
        </w:tc>
        <w:tc>
          <w:tcPr>
            <w:vAlign w:val="center"/>
          </w:tcPr>
          <w:p>
            <w:pPr>
              <w:pStyle w:val="Compact"/>
              <w:keepNext/>
              <w:jc w:val="center"/>
            </w:pPr>
            <w:r>
              <w:t xml:space="preserve">8</w:t>
            </w:r>
          </w:p>
        </w:tc>
        <w:tc>
          <w:tcPr>
            <w:vAlign w:val="center"/>
          </w:tcPr>
          <w:p>
            <w:pPr>
              <w:pStyle w:val="Compact"/>
              <w:keepNext/>
              <w:jc w:val="center"/>
            </w:pPr>
            <w:r>
              <w:t xml:space="preserve">5</w:t>
            </w:r>
          </w:p>
        </w:tc>
        <w:tc>
          <w:tcPr>
            <w:vAlign w:val="center"/>
          </w:tcPr>
          <w:p>
            <w:pPr>
              <w:pStyle w:val="Compact"/>
              <w:keepNext/>
              <w:jc w:val="center"/>
            </w:pPr>
            <w:r>
              <w:t xml:space="preserve">−1.02</w:t>
            </w:r>
          </w:p>
        </w:tc>
        <w:tc>
          <w:tcPr>
            <w:vAlign w:val="center"/>
          </w:tcPr>
          <w:p>
            <w:pPr>
              <w:pStyle w:val="Compact"/>
              <w:keepNext/>
              <w:jc w:val="center"/>
            </w:pPr>
            <w:r>
              <w:t xml:space="preserve">14.20</w:t>
            </w:r>
          </w:p>
        </w:tc>
      </w:tr>
      <w:tr>
        <w:trPr>
          <w:cantSplit/>
        </w:trPr>
        <w:tc>
          <w:tcPr>
            <w:vAlign w:val="center"/>
          </w:tcPr>
          <w:p>
            <w:pPr>
              <w:pStyle w:val="Compact"/>
              <w:keepNext/>
              <w:jc w:val="left"/>
            </w:pPr>
            <w:r>
              <w:t xml:space="preserve">10链路相参，时域非相参</w:t>
            </w:r>
          </w:p>
        </w:tc>
        <w:tc>
          <w:tcPr>
            <w:vAlign w:val="center"/>
          </w:tcPr>
          <w:p>
            <w:pPr>
              <w:pStyle w:val="Compact"/>
              <w:keepNext/>
              <w:jc w:val="center"/>
            </w:pPr>
            <w:r>
              <w:t xml:space="preserve">4</w:t>
            </w:r>
          </w:p>
        </w:tc>
        <w:tc>
          <w:tcPr>
            <w:vAlign w:val="center"/>
          </w:tcPr>
          <w:p>
            <w:pPr>
              <w:pStyle w:val="Compact"/>
              <w:keepNext/>
              <w:jc w:val="center"/>
            </w:pPr>
            <w:r>
              <w:t xml:space="preserve">10</w:t>
            </w:r>
          </w:p>
        </w:tc>
        <w:tc>
          <w:tcPr>
            <w:vAlign w:val="center"/>
          </w:tcPr>
          <w:p>
            <w:pPr>
              <w:pStyle w:val="Compact"/>
              <w:keepNext/>
              <w:jc w:val="center"/>
            </w:pPr>
            <w:r>
              <w:t xml:space="preserve">−1.75</w:t>
            </w:r>
          </w:p>
        </w:tc>
        <w:tc>
          <w:tcPr>
            <w:vAlign w:val="center"/>
          </w:tcPr>
          <w:p>
            <w:pPr>
              <w:pStyle w:val="Compact"/>
              <w:keepNext/>
              <w:jc w:val="center"/>
            </w:pPr>
            <w:r>
              <w:t xml:space="preserve">14.94</w:t>
            </w:r>
          </w:p>
        </w:tc>
      </w:tr>
      <w:tr>
        <w:trPr>
          <w:cantSplit/>
        </w:trPr>
        <w:tc>
          <w:tcPr>
            <w:vAlign w:val="center"/>
          </w:tcPr>
          <w:p>
            <w:pPr>
              <w:pStyle w:val="Compact"/>
              <w:keepNext/>
              <w:jc w:val="left"/>
            </w:pPr>
            <w:r>
              <w:t xml:space="preserve">时域+源间相参</w:t>
            </w:r>
          </w:p>
        </w:tc>
        <w:tc>
          <w:tcPr>
            <w:vAlign w:val="center"/>
          </w:tcPr>
          <w:p>
            <w:pPr>
              <w:pStyle w:val="Compact"/>
              <w:keepNext/>
              <w:jc w:val="center"/>
            </w:pPr>
            <w:r>
              <w:t xml:space="preserve">5</w:t>
            </w:r>
          </w:p>
        </w:tc>
        <w:tc>
          <w:tcPr>
            <w:vAlign w:val="center"/>
          </w:tcPr>
          <w:p>
            <w:pPr>
              <w:pStyle w:val="Compact"/>
              <w:keepNext/>
              <w:jc w:val="center"/>
            </w:pPr>
            <w:r>
              <w:t xml:space="preserve">8</w:t>
            </w:r>
          </w:p>
        </w:tc>
        <w:tc>
          <w:tcPr>
            <w:vAlign w:val="center"/>
          </w:tcPr>
          <w:p>
            <w:pPr>
              <w:pStyle w:val="Compact"/>
              <w:keepNext/>
              <w:jc w:val="center"/>
            </w:pPr>
            <w:r>
              <w:t xml:space="preserve">−1.53</w:t>
            </w:r>
          </w:p>
        </w:tc>
        <w:tc>
          <w:tcPr>
            <w:vAlign w:val="center"/>
          </w:tcPr>
          <w:p>
            <w:pPr>
              <w:pStyle w:val="Compact"/>
              <w:keepNext/>
              <w:jc w:val="center"/>
            </w:pPr>
            <w:r>
              <w:t xml:space="preserve">14.72</w:t>
            </w:r>
          </w:p>
        </w:tc>
      </w:tr>
      <w:tr>
        <w:trPr>
          <w:cantSplit/>
        </w:trPr>
        <w:tc>
          <w:tcPr>
            <w:vAlign w:val="center"/>
          </w:tcPr>
          <w:p>
            <w:pPr>
              <w:pStyle w:val="Compact"/>
              <w:keepNext/>
              <w:jc w:val="left"/>
            </w:pPr>
            <w:r>
              <w:t xml:space="preserve">时域+站间相参</w:t>
            </w:r>
          </w:p>
        </w:tc>
        <w:tc>
          <w:tcPr>
            <w:vAlign w:val="center"/>
          </w:tcPr>
          <w:p>
            <w:pPr>
              <w:pStyle w:val="Compact"/>
              <w:keepNext/>
              <w:jc w:val="center"/>
            </w:pPr>
            <w:r>
              <w:t xml:space="preserve">2</w:t>
            </w:r>
          </w:p>
        </w:tc>
        <w:tc>
          <w:tcPr>
            <w:vAlign w:val="center"/>
          </w:tcPr>
          <w:p>
            <w:pPr>
              <w:pStyle w:val="Compact"/>
              <w:keepNext/>
              <w:jc w:val="center"/>
            </w:pPr>
            <w:r>
              <w:t xml:space="preserve">20</w:t>
            </w:r>
          </w:p>
        </w:tc>
        <w:tc>
          <w:tcPr>
            <w:vAlign w:val="center"/>
          </w:tcPr>
          <w:p>
            <w:pPr>
              <w:pStyle w:val="Compact"/>
              <w:keepNext/>
              <w:jc w:val="center"/>
            </w:pPr>
            <w:r>
              <w:t xml:space="preserve">−2.36</w:t>
            </w:r>
          </w:p>
        </w:tc>
        <w:tc>
          <w:tcPr>
            <w:vAlign w:val="center"/>
          </w:tcPr>
          <w:p>
            <w:pPr>
              <w:pStyle w:val="Compact"/>
              <w:keepNext/>
              <w:jc w:val="center"/>
            </w:pPr>
            <w:r>
              <w:t xml:space="preserve">15.54</w:t>
            </w:r>
          </w:p>
        </w:tc>
      </w:tr>
      <w:tr>
        <w:trPr>
          <w:cantSplit/>
        </w:trPr>
        <w:tc>
          <w:tcPr>
            <w:vAlign w:val="center"/>
          </w:tcPr>
          <w:p>
            <w:pPr>
              <w:pStyle w:val="Compact"/>
              <w:jc w:val="left"/>
            </w:pPr>
            <w:r>
              <w:t xml:space="preserve">三维全相参</w:t>
            </w:r>
          </w:p>
        </w:tc>
        <w:tc>
          <w:tcPr>
            <w:vAlign w:val="center"/>
          </w:tcPr>
          <w:p>
            <w:pPr>
              <w:pStyle w:val="Compact"/>
              <w:jc w:val="center"/>
            </w:pPr>
            <w:r>
              <w:t xml:space="preserve">1</w:t>
            </w:r>
          </w:p>
        </w:tc>
        <w:tc>
          <w:tcPr>
            <w:vAlign w:val="center"/>
          </w:tcPr>
          <w:p>
            <w:pPr>
              <w:pStyle w:val="Compact"/>
              <w:jc w:val="center"/>
            </w:pPr>
            <w:r>
              <w:t xml:space="preserve">40</w:t>
            </w:r>
          </w:p>
        </w:tc>
        <w:tc>
          <w:tcPr>
            <w:vAlign w:val="center"/>
          </w:tcPr>
          <w:p>
            <w:pPr>
              <w:pStyle w:val="Compact"/>
              <w:jc w:val="center"/>
            </w:pPr>
            <w:r>
              <w:t xml:space="preserve">−2.84</w:t>
            </w:r>
          </w:p>
        </w:tc>
        <w:tc>
          <w:tcPr>
            <w:vAlign w:val="center"/>
          </w:tcPr>
          <w:p>
            <w:pPr>
              <w:pStyle w:val="Compact"/>
              <w:jc w:val="center"/>
            </w:pPr>
            <w:r>
              <w:t xml:space="preserve">16.02</w:t>
            </w:r>
          </w:p>
        </w:tc>
      </w:tr>
    </w:tbl>
    <w:p>
      <w:pPr>
        <w:pStyle w:val="BodyText"/>
      </w:pPr>
      <w:r>
        <w:t xml:space="preserve">全部非相参时检测增益为 12.0 dB，比三维全相参的理论值 16.0 dB 低约 4.0 dB；在时域非相参（如目标机动导致子CPI间无法相参）的情况下，10链路相参融合仍可将检测增益提高到 14.9 dB。可见，非相参累加项数越多，链路间相参融合带来的收益越大；在三个维度中优先保证条件最容易满足的维度相参（一般首先是时域，其次是相对目标张角较小的源间或站间维度），是逐步实现“三维相参融合”的可行途径。</w:t>
      </w:r>
    </w:p>
    <w:bookmarkEnd w:id="107"/>
    <w:bookmarkEnd w:id="108"/>
    <w:bookmarkStart w:id="109" w:name="结论与工程实施建议"/>
    <w:p>
      <w:pPr>
        <w:pStyle w:val="Heading1"/>
      </w:pPr>
      <w:r>
        <w:t xml:space="preserve">8 结论与工程实施建议</w:t>
      </w:r>
    </w:p>
    <w:p>
      <w:pPr>
        <w:pStyle w:val="FirstParagraph"/>
      </w:pPr>
      <w:r>
        <w:t xml:space="preserve">本文以被动MIMO雷达网络集中式检测与空间相参多基地检测理论为依据，提出了2发5收分布式探测系统10条链路的相参融合检测方案，主要结论如下：</w:t>
      </w:r>
    </w:p>
    <w:p>
      <w:pPr>
        <w:pStyle w:val="BodyText"/>
      </w:pPr>
      <w:r>
        <w:t xml:space="preserve">（1）</w:t>
      </w:r>
      <w:r>
        <w:rPr>
          <w:b/>
          <w:bCs/>
        </w:rPr>
        <w:t xml:space="preserve">两个信号源之间无需时间同步与相位锁定。</w:t>
      </w:r>
      <w:r>
        <w:t xml:space="preserve">各接收站以本站接收的该信号源直达波为相位基准完成互模糊处理，信号源的初相、载频偏差、相位噪声以及接收机本振相位均自动抵消。两信号源需要满足的是：同时、连续照射；宽带类噪声、带宽相近、可分离且直达波可获取；CPI内相位连续；载频差与两源相对目标的视角差满足式(12)、式(13)的散射相参条件（宜选同址或近址、相邻信道的信号源）。</w:t>
      </w:r>
    </w:p>
    <w:p>
      <w:pPr>
        <w:pStyle w:val="BodyText"/>
      </w:pPr>
      <w:r>
        <w:t xml:space="preserve">（2）</w:t>
      </w:r>
      <w:r>
        <w:rPr>
          <w:b/>
          <w:bCs/>
        </w:rPr>
        <w:t xml:space="preserve">接收站侧的关键条件</w:t>
      </w:r>
      <w:r>
        <w:t xml:space="preserve">是GNSS驯服的频率基准（相对误差远小于</w:t>
      </w:r>
      <w:r>
        <w:t xml:space="preserve"> </w:t>
      </w:r>
      <m:oMath>
        <m:sSup>
          <m:e>
            <m:r>
              <m:t>10</m:t>
            </m:r>
          </m:e>
          <m:sup>
            <m:r>
              <m:rPr>
                <m:sty m:val="p"/>
              </m:rPr>
              <m:t>−</m:t>
            </m:r>
            <m:r>
              <m:t>6</m:t>
            </m:r>
          </m:sup>
        </m:sSup>
      </m:oMath>
      <w:r>
        <w:t xml:space="preserve">）、统一的CPI中心时刻（GNSS授时即可满足）、参考与监视通道同源本振与时钟、天线相位中心的厘米级站址精度以及残余相位误差不超过约20°的通道相位标定；非合作信号源的站址误差须通过合作目标标校消除。</w:t>
      </w:r>
    </w:p>
    <w:p>
      <w:pPr>
        <w:pStyle w:val="BodyText"/>
      </w:pPr>
      <w:r>
        <w:t xml:space="preserve">（3）</w:t>
      </w:r>
      <w:r>
        <w:rPr>
          <w:b/>
          <w:bCs/>
        </w:rPr>
        <w:t xml:space="preserve">各站处理流程</w:t>
      </w:r>
      <w:r>
        <w:t xml:space="preserve">为：同步采样与时间标记→多源分离与参数估计→保留直达波相位的参考信号提纯→双边抽头ECA对消→以CPI中心为相位基准的批处理互模糊函数→通道相位标定与噪声归一化→上报复数距离—多普勒图。</w:t>
      </w:r>
    </w:p>
    <w:p>
      <w:pPr>
        <w:pStyle w:val="BodyText"/>
      </w:pPr>
      <w:r>
        <w:t xml:space="preserve">（4）</w:t>
      </w:r>
      <w:r>
        <w:rPr>
          <w:b/>
          <w:bCs/>
        </w:rPr>
        <w:t xml:space="preserve">融合算法</w:t>
      </w:r>
      <w:r>
        <w:t xml:space="preserve">在目标状态空间先非相参粗检测、再相位补偿与亚波长精搜索，按目标散射相参性选择全相参、分组相参或非相参融合，或采用相参/非相参双支路检测。仿真表明10链路相参融合的输出信噪比增益为 9.89 dB（理论10 dB），对点状小目标的检测灵敏度优于非相参融合，并具有波长级定位能力；对尺寸较大的目标非相参融合更优，双支路检测在各种情况下均接近最优。</w:t>
      </w:r>
    </w:p>
    <w:p>
      <w:pPr>
        <w:pStyle w:val="BodyText"/>
      </w:pPr>
      <w:r>
        <w:t xml:space="preserve">工程实施建议：</w:t>
      </w:r>
    </w:p>
    <w:p>
      <w:pPr>
        <w:pStyle w:val="BodyText"/>
      </w:pPr>
      <w:r>
        <w:t xml:space="preserve">（1）选择信号源时，优先选用同一发射塔的相邻信道或从监视区看去方位相近的信号源，避免节目切换和相位跳变；</w:t>
      </w:r>
    </w:p>
    <w:p>
      <w:pPr>
        <w:pStyle w:val="BodyText"/>
      </w:pPr>
      <w:r>
        <w:t xml:space="preserve">（2）接收站统一配置GNSS驯服铷钟或恒温晶振，参考与监视通道严格同源，并以RTK测量天线相位中心；</w:t>
      </w:r>
    </w:p>
    <w:p>
      <w:pPr>
        <w:pStyle w:val="BodyText"/>
      </w:pPr>
      <w:r>
        <w:t xml:space="preserve">（3）建立“注入校准 + 直达波泄漏监测 + 合作无人机标校 + 强目标自校准”的分级相位标定体系，标校时联合估计非合作信号源的站址误差；</w:t>
      </w:r>
    </w:p>
    <w:p>
      <w:pPr>
        <w:pStyle w:val="BodyText"/>
      </w:pPr>
      <w:r>
        <w:t xml:space="preserve">（4）以小型无人机为主要对象时，接收站群相对目标的张角宜控制在数度以内；需要兼顾大尺寸目标时，采用双支路或分组相参融合；</w:t>
      </w:r>
    </w:p>
    <w:p>
      <w:pPr>
        <w:pStyle w:val="BodyText"/>
      </w:pPr>
      <w:r>
        <w:t xml:space="preserve">（5）后续应利用实测数据验证链路间散射相参性与标定稳定性，并研究单频网同频信号源、低轨卫星等运动信号源（波长更短、相参条件更严格）以及跟踪辅助的长时间三维相参积累。</w:t>
      </w:r>
    </w:p>
    <w:bookmarkEnd w:id="109"/>
    <w:bookmarkStart w:id="110" w:name="参考文献"/>
    <w:p>
      <w:pPr>
        <w:pStyle w:val="Heading1"/>
      </w:pPr>
      <w:r>
        <w:t xml:space="preserve">参考文献</w:t>
      </w:r>
    </w:p>
    <w:p>
      <w:pPr>
        <w:pStyle w:val="CanKao"/>
      </w:pPr>
      <w:r>
        <w:t xml:space="preserve">[1] Hack D E, Patton L K, Himed B, Saville M A. Detection in passive MIMO radar networks[J]. IEEE Transactions on Signal Processing, 2014, 62(11): 2999-3012.</w:t>
      </w:r>
    </w:p>
    <w:p>
      <w:pPr>
        <w:pStyle w:val="CanKao"/>
      </w:pPr>
      <w:r>
        <w:t xml:space="preserve">[2] Hack D E, Patton L K, Himed B, Saville M A. Centralized passive MIMO radar detection without direct-path reference signals[J]. IEEE Transactions on Signal Processing, 2014, 62(11): 3013-3023.</w:t>
      </w:r>
    </w:p>
    <w:p>
      <w:pPr>
        <w:pStyle w:val="CanKao"/>
      </w:pPr>
      <w:r>
        <w:t xml:space="preserve">[3] Liu J, Li H, Himed B. Two target detection algorithms for passive multistatic radar[J]. IEEE Transactions on Signal Processing, 2014, 62(22): 5930-5939.</w:t>
      </w:r>
    </w:p>
    <w:p>
      <w:pPr>
        <w:pStyle w:val="CanKao"/>
      </w:pPr>
      <w:r>
        <w:t xml:space="preserve">[4] Derham T E, Doughty S, Baker C J, Woodbridge K. Ambiguity functions for spatially coherent and incoherent multistatic radar[J]. IEEE Transactions on Aerospace and Electronic Systems, 2010, 46(1): 230-245.</w:t>
      </w:r>
    </w:p>
    <w:p>
      <w:pPr>
        <w:pStyle w:val="CanKao"/>
      </w:pPr>
      <w:r>
        <w:t xml:space="preserve">[5] Fishler E, Haimovich A, Blum R S, Cimini L J, Chizhik D, Valenzuela R A. Spatial diversity in radars—models and detection performance[J]. IEEE Transactions on Signal Processing, 2006, 54(3): 823-838.</w:t>
      </w:r>
    </w:p>
    <w:p>
      <w:pPr>
        <w:pStyle w:val="CanKao"/>
      </w:pPr>
      <w:r>
        <w:t xml:space="preserve">[6] Haimovich A M, Blum R S, Cimini L J. MIMO radar with widely separated antennas[J]. IEEE Signal Processing Magazine, 2008, 25(1): 116-129.</w:t>
      </w:r>
    </w:p>
    <w:p>
      <w:pPr>
        <w:pStyle w:val="CanKao"/>
      </w:pPr>
      <w:r>
        <w:t xml:space="preserve">[7] Godrich H, Haimovich A M, Blum R S. Target localization accuracy gain in MIMO radar-based systems[J]. IEEE Transactions on Information Theory, 2010, 56(6): 2783-2803.</w:t>
      </w:r>
    </w:p>
    <w:p>
      <w:pPr>
        <w:pStyle w:val="CanKao"/>
      </w:pPr>
      <w:r>
        <w:t xml:space="preserve">[8] Godrich H, Haimovich A M, Poor H V. An analysis of phase synchronization mismatch sensitivity for coherent MIMO radar systems[C]//Proceedings of the 3rd IEEE International Workshop on Computational Advances in Multi-Sensor Adaptive Processing (CAMSAP). Aruba, 2009.</w:t>
      </w:r>
    </w:p>
    <w:p>
      <w:pPr>
        <w:pStyle w:val="CanKao"/>
      </w:pPr>
      <w:r>
        <w:t xml:space="preserve">[9] Gogineni S, Rangaswamy M, Rigling B D, Nehorai A. Ambiguity function analysis for UMTS-based passive multistatic radar[J]. IEEE Transactions on Signal Processing, 2014, 62(11): 2945-2957.</w:t>
      </w:r>
    </w:p>
    <w:p>
      <w:pPr>
        <w:pStyle w:val="CanKao"/>
      </w:pPr>
      <w:r>
        <w:t xml:space="preserve">[10] Coutts S, Cuomo K, McHarg J, Robey F, Weikle D. Distributed coherent aperture measurements for next generation BMD radar[C]//Fourth IEEE Workshop on Sensor Array and Multichannel Processing. Waltham, MA, 2006: 390-393.</w:t>
      </w:r>
    </w:p>
    <w:p>
      <w:pPr>
        <w:pStyle w:val="CanKao"/>
      </w:pPr>
      <w:r>
        <w:t xml:space="preserve">[11] 周宝亮, 周东明, 高红卫, 杨杰. 分布式孔径相参合成雷达联合天线增益分析[J]. 雷达学报, 2017, 6(4): 332-339.</w:t>
      </w:r>
    </w:p>
    <w:p>
      <w:pPr>
        <w:pStyle w:val="CanKao"/>
      </w:pPr>
      <w:r>
        <w:t xml:space="preserve">[12] 万显荣, 孙绪望, 易建新, 吕敏, 饶云华. 分布式数字广播电视外辐射源雷达系统同步设计与测试[J]. 雷达学报, 2017, 6(1): 65-72.</w:t>
      </w:r>
    </w:p>
    <w:p>
      <w:pPr>
        <w:pStyle w:val="CanKao"/>
      </w:pPr>
      <w:r>
        <w:t xml:space="preserve">[13] Zheng Y, Zhang Z, Feng L, Zhu P, Zhou F. Enhanced passive GNSS-based radar imaging based on coherent integrated multi-satellite signals[J]. Sensors, 2020, 20(3): 842.</w:t>
      </w:r>
    </w:p>
    <w:p>
      <w:pPr>
        <w:pStyle w:val="CanKao"/>
      </w:pPr>
      <w:r>
        <w:t xml:space="preserve">[14] Colone F, O’Hagan D W, Lombardo P, Baker C J. A multistage processing algorithm for disturbance removal and target detection in passive bistatic radar[J]. IEEE Transactions on Aerospace and Electronic Systems, 2009, 45(2): 698-722.</w:t>
      </w:r>
    </w:p>
    <w:p>
      <w:pPr>
        <w:pStyle w:val="CanKao"/>
      </w:pPr>
      <w:r>
        <w:t xml:space="preserve">[15] Palmer J E, Harms H A, Searle S J, Davis L M. DVB-T passive radar signal processing[J]. IEEE Transactions on Signal Processing, 2013, 61(8): 2116-2126.</w:t>
      </w:r>
    </w:p>
    <w:p>
      <w:pPr>
        <w:pStyle w:val="CanKao"/>
      </w:pPr>
      <w:r>
        <w:t xml:space="preserve">[16] Xu J, Yu J, Peng Y N, Xia X G. Radon-Fourier transform for radar target detection, I: generalized Doppler filter bank[J]. IEEE Transactions on Aerospace and Electronic Systems, 2011, 47(2): 1186-1202.</w:t>
      </w:r>
    </w:p>
    <w:p>
      <w:pPr>
        <w:pStyle w:val="CanKao"/>
      </w:pPr>
      <w:r>
        <w:t xml:space="preserve">[17] Malanowski M, Kulpa K. Two methods for target localization in multistatic passive radar[J]. IEEE Transactions on Aerospace and Electronic Systems, 2012, 48(1): 572-580.</w:t>
      </w:r>
    </w:p>
    <w:p>
      <w:pPr>
        <w:pStyle w:val="CanKao"/>
      </w:pPr>
      <w:r>
        <w:t xml:space="preserve">[18] Griffiths H D, Baker C J. Passive coherent location radar systems. Part 1: performance prediction[J]. IEE Proceedings - Radar, Sonar and Navigation, 2005, 152(3): 153-159.</w:t>
      </w:r>
    </w:p>
    <w:p>
      <w:pPr>
        <w:pStyle w:val="CanKao"/>
      </w:pPr>
      <w:r>
        <w:t xml:space="preserve">[19] Kay S M. Fundamentals of statistical signal processing, volume II: detection theory[M]. Upper Saddle River, NJ: Prentice Hall, 1998.</w:t>
      </w:r>
    </w:p>
    <w:p>
      <w:pPr>
        <w:pStyle w:val="CanKao"/>
      </w:pPr>
      <w:r>
        <w:t xml:space="preserve">[20] Richards M A. Fundamentals of radar signal processing[M]. 2nd ed. New York: McGraw-Hill, 2014.</w:t>
      </w:r>
    </w:p>
    <w:p>
      <w:pPr>
        <w:pStyle w:val="CanKao"/>
      </w:pPr>
      <w:r>
        <w:t xml:space="preserve">[21] Willis N J. Bistatic radar[M]. 2nd ed. Raleigh, NC: SciTech Publishing, 2005.</w:t>
      </w:r>
    </w:p>
    <w:p>
      <w:pPr>
        <w:pStyle w:val="CanKao"/>
      </w:pPr>
      <w:r>
        <w:t xml:space="preserve">[22] 本项目技术说明. 信号源参数精确估计技术——基于低轨卫星OFDM信号盲识别的原理与验证[R]. 2026.</w:t>
      </w:r>
    </w:p>
    <w:bookmarkEnd w:id="110"/>
    <w:sectPr>
      <w:footerReference w:type="default" r:id="rIdFooter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w="http://schemas.openxmlformats.org/wordprocessingml/2006/main" xmlns:r="http://schemas.openxmlformats.org/officeDocument/2006/relationships" xmlns:m="http://schemas.openxmlformats.org/officeDocument/2006/math">
  <w:p>
    <w:pPr>
      <w:jc w:val="center"/>
    </w:pPr>
    <w:r>
      <w:rPr>
        <w:sz w:val="18"/>
      </w:rPr>
      <w:fldChar w:fldCharType="begin"/>
    </w:r>
    <w:r>
      <w:rPr>
        <w:sz w:val="18"/>
      </w:rPr>
      <w:instrText xml:space="preserve"> PAGE </w:instrText>
    </w:r>
    <w:r>
      <w:rPr>
        <w:sz w:val="18"/>
      </w:rPr>
      <w:fldChar w:fldCharType="separate"/>
    </w:r>
    <w:r>
      <w:rPr>
        <w:sz w:val="18"/>
      </w:rPr>
      <w:t>1</w:t>
    </w:r>
    <w:r>
      <w:rPr>
        <w:sz w:val="18"/>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w="http://schemas.openxmlformats.org/wordprocessingml/2006/main" xmlns:r="http://schemas.openxmlformats.org/officeDocument/2006/relationships" xmlns:m="http://schemas.openxmlformats.org/officeDocument/2006/math">
  <w:zoom w:percent="100"/>
  <w:proofState w:spelling="clean" w:grammar="clean"/>
  <w:defaultTabStop w:val="420"/>
  <w:characterSpacingControl w:val="compressPunctuation"/>
  <w:footnotePr>
    <w:footnote w:id="-1"/>
    <w:footnote w:id="0"/>
  </w:footnotePr>
  <w:compat>
    <w:compatSetting w:name="compatibilityMode" w:uri="http://schemas.microsoft.com/office/word" w:val="15"/>
  </w:compat>
  <m:mathPr>
    <m:mathFont m:val="Cambria Math"/>
    <m:brkBin m:val="before"/>
    <m:brkBinSub m:val="--"/>
    <m:smallFrac m:val="0"/>
    <m:dispDef/>
    <m:lMargin m:val="0"/>
    <m:rMargin m:val="0"/>
    <m:defJc m:val="centerGroup"/>
    <m:wrapIndent m:val="1440"/>
    <m:intLim m:val="subSup"/>
    <m:naryLim m:val="undOvr"/>
  </m:mathPr>
  <w:themeFontLang w:val="en-US" w:eastAsia="zh-CN"/>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cs="Times New Roman" w:eastAsia="宋体" w:hAnsi="Times New Roman"/>
        <w:sz w:val="21"/>
        <w:szCs w:val="21"/>
        <w:lang w:bidi="ar-SA" w:eastAsia="zh-CN" w:val="en-US"/>
      </w:rPr>
    </w:rPrDefault>
    <w:pPrDefault>
      <w:pPr>
        <w:spacing w:after="0" w:line="276" w:lineRule="auto"/>
      </w:pPr>
    </w:pPrDefault>
  </w:docDefaults>
  <w:latentStyles w:count="276" w:defLockedState="0" w:defQFormat="0" w:defSemiHidden="0" w:defUIPriority="0" w:defUnhideWhenUsed="0"/>
  <w:style w:default="1" w:styleId="Normal" w:type="paragraph">
    <w:name w:val="Normal"/>
    <w:qFormat/>
    <w:pPr>
      <w:widowControl w:val="0"/>
      <w:jc w:val="both"/>
    </w:pPr>
    <w:rPr>
      <w:rFonts w:ascii="Times New Roman" w:cs="Times New Roman" w:eastAsia="宋体" w:hAnsi="Times New Roman"/>
      <w:sz w:val="21"/>
      <w:szCs w:val="21"/>
    </w:rPr>
  </w:style>
  <w:style w:styleId="BodyText" w:type="paragraph">
    <w:name w:val="Body Text"/>
    <w:basedOn w:val="Normal"/>
    <w:qFormat/>
    <w:pPr>
      <w:spacing w:after="0" w:before="0"/>
      <w:ind w:firstLine="420" w:firstLineChars="200"/>
    </w:pPr>
    <w:rPr/>
  </w:style>
  <w:style w:customStyle="1" w:styleId="FirstParagraph" w:type="paragraph">
    <w:name w:val="First Paragraph"/>
    <w:basedOn w:val="BodyText"/>
    <w:next w:val="BodyText"/>
    <w:qFormat/>
    <w:pPr/>
    <w:rPr/>
  </w:style>
  <w:style w:customStyle="1" w:styleId="Compact" w:type="paragraph">
    <w:name w:val="Compact"/>
    <w:basedOn w:val="Normal"/>
    <w:qFormat/>
    <w:pPr>
      <w:spacing w:after="24" w:before="24" w:line="240" w:lineRule="auto"/>
      <w:jc w:val="center"/>
    </w:pPr>
    <w:rPr>
      <w:sz w:val="18"/>
      <w:szCs w:val="18"/>
    </w:rPr>
  </w:style>
  <w:style w:styleId="Title" w:type="paragraph">
    <w:name w:val="Title"/>
    <w:basedOn w:val="Normal"/>
    <w:next w:val="BodyText"/>
    <w:qFormat/>
    <w:pPr>
      <w:keepNext/>
      <w:spacing w:after="80" w:before="120" w:line="240" w:lineRule="auto"/>
      <w:jc w:val="center"/>
    </w:pPr>
    <w:rPr>
      <w:rFonts w:ascii="Times New Roman" w:cs="Times New Roman" w:eastAsia="黑体" w:hAnsi="Times New Roman"/>
      <w:b/>
      <w:sz w:val="32"/>
      <w:szCs w:val="32"/>
    </w:rPr>
  </w:style>
  <w:style w:styleId="Subtitle" w:type="paragraph">
    <w:name w:val="Subtitle"/>
    <w:basedOn w:val="Normal"/>
    <w:next w:val="BodyText"/>
    <w:qFormat/>
    <w:pPr>
      <w:spacing w:after="240" w:before="0" w:line="240" w:lineRule="auto"/>
      <w:jc w:val="center"/>
    </w:pPr>
    <w:rPr>
      <w:rFonts w:ascii="Times New Roman" w:cs="Times New Roman" w:eastAsia="楷体" w:hAnsi="Times New Roman"/>
      <w:sz w:val="24"/>
      <w:szCs w:val="24"/>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qFormat/>
    <w:pPr>
      <w:keepNext/>
      <w:keepLines/>
      <w:spacing w:after="120" w:before="240"/>
      <w:jc w:val="left"/>
      <w:outlineLvl w:val="0"/>
    </w:pPr>
    <w:rPr>
      <w:rFonts w:ascii="Times New Roman" w:cs="Times New Roman" w:eastAsia="黑体" w:hAnsi="Times New Roman"/>
      <w:color w:val="000000"/>
      <w:sz w:val="28"/>
      <w:szCs w:val="28"/>
    </w:rPr>
  </w:style>
  <w:style w:styleId="Heading2" w:type="paragraph">
    <w:name w:val="heading 2"/>
    <w:basedOn w:val="Normal"/>
    <w:next w:val="BodyText"/>
    <w:qFormat/>
    <w:pPr>
      <w:keepNext/>
      <w:keepLines/>
      <w:spacing w:after="60" w:before="120"/>
      <w:jc w:val="left"/>
      <w:outlineLvl w:val="1"/>
    </w:pPr>
    <w:rPr>
      <w:rFonts w:ascii="Times New Roman" w:cs="Times New Roman" w:eastAsia="黑体" w:hAnsi="Times New Roman"/>
      <w:color w:val="000000"/>
      <w:sz w:val="24"/>
      <w:szCs w:val="24"/>
    </w:rPr>
  </w:style>
  <w:style w:styleId="Heading3" w:type="paragraph">
    <w:name w:val="heading 3"/>
    <w:basedOn w:val="Normal"/>
    <w:next w:val="BodyText"/>
    <w:qFormat/>
    <w:pPr>
      <w:keepNext/>
      <w:keepLines/>
      <w:spacing w:after="60" w:before="120"/>
      <w:outlineLvl w:val="2"/>
    </w:pPr>
    <w:rPr>
      <w:rFonts w:ascii="Times New Roman" w:cs="Times New Roman" w:eastAsia="黑体" w:hAnsi="Times New Roman"/>
      <w:color w:val="000000"/>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qFormat/>
    <w:pPr>
      <w:spacing w:after="120" w:before="60" w:line="240" w:lineRule="auto"/>
      <w:jc w:val="center"/>
    </w:pPr>
    <w:rPr>
      <w:sz w:val="18"/>
      <w:szCs w:val="18"/>
    </w:rPr>
  </w:style>
  <w:style w:customStyle="1" w:styleId="TableCaption" w:type="paragraph">
    <w:name w:val="Table Caption"/>
    <w:basedOn w:val="Caption"/>
    <w:qFormat/>
    <w:pPr>
      <w:keepNext/>
      <w:spacing w:after="60" w:before="160"/>
    </w:pPr>
    <w:rPr/>
  </w:style>
  <w:style w:customStyle="1" w:styleId="ImageCaption" w:type="paragraph">
    <w:name w:val="Image Caption"/>
    <w:basedOn w:val="Caption"/>
    <w:qFormat/>
    <w:pPr>
      <w:spacing w:after="200" w:before="40"/>
    </w:pPr>
    <w:rPr/>
  </w:style>
  <w:style w:customStyle="1" w:styleId="Figure" w:type="paragraph">
    <w:name w:val="Figure"/>
    <w:basedOn w:val="Normal"/>
    <w:qFormat/>
    <w:pPr>
      <w:keepNext/>
      <w:spacing w:after="0" w:before="120" w:line="240" w:lineRule="auto"/>
      <w:jc w:val="center"/>
    </w:pPr>
    <w:rPr/>
  </w:style>
  <w:style w:customStyle="1" w:styleId="CaptionedFigure" w:type="paragraph">
    <w:name w:val="Captioned Figure"/>
    <w:basedOn w:val="Figure"/>
    <w:qFormat/>
    <w:pPr>
      <w:keepNext/>
    </w:pPr>
    <w:r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TiYao" w:type="paragraph">
    <w:name w:val="提要"/>
    <w:basedOn w:val="Normal"/>
    <w:qFormat/>
    <w:pPr>
      <w:spacing w:after="240" w:before="60" w:line="288" w:lineRule="auto"/>
      <w:ind w:firstLine="360" w:firstLineChars="200" w:left="420" w:right="420"/>
    </w:pPr>
    <w:rPr>
      <w:rFonts w:ascii="Times New Roman" w:cs="Times New Roman" w:eastAsia="楷体" w:hAnsi="Times New Roman"/>
      <w:sz w:val="18"/>
      <w:szCs w:val="18"/>
    </w:rPr>
  </w:style>
  <w:style w:customStyle="1" w:styleId="CanKao" w:type="paragraph">
    <w:name w:val="参考文献"/>
    <w:basedOn w:val="Normal"/>
    <w:qFormat/>
    <w:pPr>
      <w:spacing w:after="40" w:before="0" w:line="276" w:lineRule="auto"/>
      <w:ind w:hanging="420" w:left="420"/>
    </w:pPr>
    <w:rPr>
      <w:sz w:val="18"/>
      <w:szCs w:val="18"/>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45" Target="media/rId45.png" /><Relationship Type="http://schemas.openxmlformats.org/officeDocument/2006/relationships/image" Id="rId20" Target="media/rId20.png" /><Relationship Type="http://schemas.openxmlformats.org/officeDocument/2006/relationships/image" Id="rId57" Target="media/rId57.png" /><Relationship Type="http://schemas.openxmlformats.org/officeDocument/2006/relationships/image" Id="rId78" Target="media/rId78.png" /><Relationship Type="http://schemas.openxmlformats.org/officeDocument/2006/relationships/image" Id="rId75" Target="media/rId75.png" /><Relationship Type="http://schemas.openxmlformats.org/officeDocument/2006/relationships/image" Id="rId85" Target="media/rId85.png" /><Relationship Type="http://schemas.openxmlformats.org/officeDocument/2006/relationships/image" Id="rId71" Target="media/rId71.png" /><Relationship Type="http://schemas.openxmlformats.org/officeDocument/2006/relationships/image" Id="rId68" Target="media/rId68.png" /><Relationship Type="http://schemas.openxmlformats.org/officeDocument/2006/relationships/image" Id="rId81" Target="media/rId81.png" /><Relationship Type="http://schemas.openxmlformats.org/officeDocument/2006/relationships/image" Id="rId40" Target="media/rId40.png" /><Relationship Type="http://schemas.openxmlformats.org/officeDocument/2006/relationships/image" Id="rId103" Target="media/rId103.png" /><Relationship Type="http://schemas.openxmlformats.org/officeDocument/2006/relationships/image" Id="rId96" Target="media/rId96.png" /><Relationship Type="http://schemas.openxmlformats.org/officeDocument/2006/relationships/image" Id="rId92" Target="media/rId92.png" /><Relationship Type="http://schemas.openxmlformats.org/officeDocument/2006/relationships/image" Id="rId100" Target="media/rId100.png" /><Relationship Type="http://schemas.openxmlformats.org/officeDocument/2006/relationships/image" Id="rId89" Target="media/rId89.png" /><Relationship Type="http://schemas.openxmlformats.org/officeDocument/2006/relationships/image" Id="rId35" Target="media/rId35.png" /><Relationship Id="rIdFooter1" Type="http://schemas.openxmlformats.org/officeDocument/2006/relationships/footer" Target="footer1.xml"/></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2发5收分布式探测系统相参融合检测算法方案</dc:title>
  <dc:creator/>
  <cp:keywords/>
  <dcterms:created xsi:type="dcterms:W3CDTF">2026-10-14T13:17:09Z</dcterms:created>
  <dcterms:modified xsi:type="dcterms:W3CDTF">2026-10-14T13:17:09Z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——基于被动MIMO雷达与空间相参多基地检测理论的10链路信号级融合</vt:lpwstr>
  </property>
</Properties>
</file>