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pPr>
      <w:r>
        <w:rPr>
          <w:rFonts w:ascii="Arial" w:cs="Arial" w:eastAsia="Arial" w:hAnsi="Arial"/>
          <w:b/>
          <w:bCs/>
          <w:color w:val="02C39A"/>
          <w:spacing w:val="80"/>
          <w:sz w:val="20"/>
          <w:szCs w:val="20"/>
        </w:rPr>
        <w:t xml:space="preserve">PRODUCT SPECIFICATION</w:t>
      </w:r>
    </w:p>
    <w:p>
      <w:pPr>
        <w:spacing w:before="0" w:after="120"/>
      </w:pPr>
      <w:r>
        <w:rPr>
          <w:rFonts w:ascii="Arial" w:cs="Arial" w:eastAsia="Arial" w:hAnsi="Arial"/>
          <w:b/>
          <w:bCs/>
          <w:color w:val="065A82"/>
          <w:sz w:val="72"/>
          <w:szCs w:val="72"/>
        </w:rPr>
        <w:t xml:space="preserve">MediScan</w:t>
      </w:r>
    </w:p>
    <w:p>
      <w:pPr>
        <w:spacing w:before="0" w:after="200"/>
      </w:pPr>
      <w:r>
        <w:rPr>
          <w:rFonts w:ascii="Arial" w:cs="Arial" w:eastAsia="Arial" w:hAnsi="Arial"/>
          <w:i/>
          <w:iCs/>
          <w:color w:val="64748B"/>
          <w:sz w:val="30"/>
          <w:szCs w:val="30"/>
        </w:rPr>
        <w:t xml:space="preserve">AI-Powered Medicine Identifier &amp; Medication Tracker</w:t>
      </w:r>
    </w:p>
    <w:p>
      <w:pPr>
        <w:pBdr>
          <w:bottom w:val="single" w:color="02C39A" w:sz="12" w:space="1"/>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b/>
                <w:bCs/>
                <w:color w:val="1A2332"/>
                <w:sz w:val="20"/>
                <w:szCs w:val="20"/>
              </w:rPr>
              <w:t xml:space="preserve">Version</w:t>
            </w:r>
          </w:p>
        </w:tc>
        <w:tc>
          <w:tcPr>
            <w:tcW w:type="dxa" w:w="656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color w:val="1A2332"/>
                <w:sz w:val="20"/>
                <w:szCs w:val="20"/>
              </w:rPr>
              <w:t xml:space="preserve">1.0  —  Draft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332"/>
                <w:sz w:val="20"/>
                <w:szCs w:val="20"/>
              </w:rPr>
              <w:t xml:space="preserve">March 2026</w:t>
            </w:r>
          </w:p>
        </w:tc>
      </w:tr>
      <w:tr>
        <w:tc>
          <w:tcPr>
            <w:tcW w:type="dxa" w:w="280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b/>
                <w:bCs/>
                <w:color w:val="1A2332"/>
                <w:sz w:val="20"/>
                <w:szCs w:val="20"/>
              </w:rPr>
              <w:t xml:space="preserve">Platform</w:t>
            </w:r>
          </w:p>
        </w:tc>
        <w:tc>
          <w:tcPr>
            <w:tcW w:type="dxa" w:w="656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color w:val="1A2332"/>
                <w:sz w:val="20"/>
                <w:szCs w:val="20"/>
              </w:rPr>
              <w:t xml:space="preserve">iOS &amp; Android (React Native + Expo)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Target Users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332"/>
                <w:sz w:val="20"/>
                <w:szCs w:val="20"/>
              </w:rPr>
              <w:t xml:space="preserve">General public — all regions</w:t>
            </w:r>
          </w:p>
        </w:tc>
      </w:tr>
      <w:tr>
        <w:tc>
          <w:tcPr>
            <w:tcW w:type="dxa" w:w="280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b/>
                <w:bCs/>
                <w:color w:val="1A2332"/>
                <w:sz w:val="20"/>
                <w:szCs w:val="20"/>
              </w:rPr>
              <w:t xml:space="preserve">Status</w:t>
            </w:r>
          </w:p>
        </w:tc>
        <w:tc>
          <w:tcPr>
            <w:tcW w:type="dxa" w:w="6560"/>
            <w:tcBorders>
              <w:top w:val="single" w:color="DDDDDD" w:sz="1"/>
              <w:left w:val="single" w:color="DDDDDD" w:sz="1"/>
              <w:bottom w:val="single" w:color="DDDDDD" w:sz="1"/>
              <w:right w:val="single" w:color="DDDDDD" w:sz="1"/>
            </w:tcBorders>
            <w:shd w:fill="EBF5FA" w:val="clear"/>
            <w:tcMar>
              <w:top w:type="dxa" w:w="80"/>
              <w:left w:type="dxa" w:w="120"/>
              <w:bottom w:type="dxa" w:w="80"/>
              <w:right w:type="dxa" w:w="120"/>
            </w:tcMar>
          </w:tcPr>
          <w:p>
            <w:r>
              <w:rPr>
                <w:rFonts w:ascii="Arial" w:cs="Arial" w:eastAsia="Arial" w:hAnsi="Arial"/>
                <w:color w:val="1A2332"/>
                <w:sz w:val="20"/>
                <w:szCs w:val="20"/>
              </w:rPr>
              <w:t xml:space="preserve">Pre-development</w:t>
            </w:r>
          </w:p>
        </w:tc>
      </w:tr>
    </w:tbl>
    <w:p>
      <w:pPr>
        <w:spacing w:before="400" w:after="0"/>
      </w:pPr>
      <w:r>
        <w:t xml:space="preserve"/>
      </w:r>
    </w:p>
    <w:p>
      <w:r>
        <w:br w:type="page"/>
      </w:r>
    </w:p>
    <w:p>
      <w:pPr>
        <w:pStyle w:val="Heading1"/>
        <w:spacing w:before="360" w:after="120"/>
      </w:pPr>
      <w:r>
        <w:rPr>
          <w:rFonts w:ascii="Arial" w:cs="Arial" w:eastAsia="Arial" w:hAnsi="Arial"/>
          <w:b/>
          <w:bCs/>
          <w:color w:val="065A8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065A82"/>
          <w:sz w:val="32"/>
          <w:szCs w:val="32"/>
        </w:rPr>
        <w:t xml:space="preserve">1. Overview</w:t>
      </w:r>
    </w:p>
    <w:p>
      <w:pPr>
        <w:pBdr>
          <w:bottom w:val="single" w:color="065A82" w:sz="8" w:space="1"/>
        </w:pBdr>
        <w:spacing w:before="120" w:after="120"/>
      </w:pPr>
      <w:r>
        <w:t xml:space="preserve"/>
      </w:r>
    </w:p>
    <w:p>
      <w:pPr>
        <w:spacing w:before="60" w:after="100"/>
      </w:pPr>
      <w:r>
        <w:rPr>
          <w:rFonts w:ascii="Arial" w:cs="Arial" w:eastAsia="Arial" w:hAnsi="Arial"/>
          <w:color w:val="1A2332"/>
          <w:sz w:val="22"/>
          <w:szCs w:val="22"/>
        </w:rPr>
        <w:t xml:space="preserve">MediScan is a cross-platform mobile app that lets anyone point their phone camera at a medicine — a box, blister pack, bottle, or loose pill — and instantly learn what it is, what it treats, its benefits, and its risks. On top of identification, users can schedule their medications and receive smart reminders so they never miss a dose.</w:t>
      </w:r>
    </w:p>
    <w:p>
      <w:pPr>
        <w:spacing w:before="80" w:after="0"/>
      </w:pPr>
      <w:r>
        <w:t xml:space="preserve"/>
      </w:r>
    </w:p>
    <w:p>
      <w:pPr>
        <w:spacing w:before="60" w:after="100"/>
      </w:pPr>
      <w:r>
        <w:rPr>
          <w:rFonts w:ascii="Arial" w:cs="Arial" w:eastAsia="Arial" w:hAnsi="Arial"/>
          <w:color w:val="1A2332"/>
          <w:sz w:val="22"/>
          <w:szCs w:val="22"/>
        </w:rPr>
        <w:t xml:space="preserve">The app is designed to be globally useful from day one. Rather than relying on US-only drug registries, MediScan uses a layered database strategy combining free global sources to show both the generic drug name and the local brand name used in the user’s country.</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1.1 Problem Statement</w:t>
      </w:r>
    </w:p>
    <w:p>
      <w:pPr>
        <w:spacing w:before="60" w:after="100"/>
      </w:pPr>
      <w:r>
        <w:rPr>
          <w:rFonts w:ascii="Arial" w:cs="Arial" w:eastAsia="Arial" w:hAnsi="Arial"/>
          <w:color w:val="1A2332"/>
          <w:sz w:val="22"/>
          <w:szCs w:val="22"/>
        </w:rPr>
        <w:t xml:space="preserve">Medicine packaging varies enormously across countries. Labels can be hard to read, brand names differ by region, and patients often do not know what a drug actually does or what side effects to expect. For elderly users, caregivers, and travellers, this creates real risk. Existing solutions are either US-centric, require expensive subscriptions, or lack reminder functionality.</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1.2 Solution Summary</w:t>
      </w:r>
    </w:p>
    <w:p>
      <w:pPr>
        <w:spacing w:before="60" w:after="100"/>
      </w:pPr>
      <w:r>
        <w:rPr>
          <w:rFonts w:ascii="Arial" w:cs="Arial" w:eastAsia="Arial" w:hAnsi="Arial"/>
          <w:color w:val="1A2332"/>
          <w:sz w:val="22"/>
          <w:szCs w:val="22"/>
        </w:rPr>
        <w:t xml:space="preserve">MediScan solves this with three integrated capabilities:</w:t>
      </w:r>
    </w:p>
    <w:p>
      <w:pPr>
        <w:pStyle w:val="ListParagraph"/>
        <w:numPr>
          <w:ilvl w:val="0"/>
          <w:numId w:val="2"/>
        </w:numPr>
        <w:spacing w:before="40" w:after="40"/>
      </w:pPr>
      <w:r>
        <w:rPr>
          <w:rFonts w:ascii="Arial" w:cs="Arial" w:eastAsia="Arial" w:hAnsi="Arial"/>
          <w:b/>
          <w:bCs/>
          <w:color w:val="1A2332"/>
          <w:sz w:val="22"/>
          <w:szCs w:val="22"/>
        </w:rPr>
        <w:t xml:space="preserve">Camera + OCR: </w:t>
      </w:r>
      <w:r>
        <w:rPr>
          <w:rFonts w:ascii="Arial" w:cs="Arial" w:eastAsia="Arial" w:hAnsi="Arial"/>
          <w:color w:val="1A2332"/>
          <w:sz w:val="22"/>
          <w:szCs w:val="22"/>
        </w:rPr>
        <w:t xml:space="preserve">Scan &amp; Identify</w:t>
      </w:r>
    </w:p>
    <w:p>
      <w:pPr>
        <w:pStyle w:val="ListParagraph"/>
        <w:numPr>
          <w:ilvl w:val="0"/>
          <w:numId w:val="3"/>
        </w:numPr>
        <w:spacing w:before="30" w:after="30"/>
      </w:pPr>
      <w:r>
        <w:rPr>
          <w:rFonts w:ascii="Arial" w:cs="Arial" w:eastAsia="Arial" w:hAnsi="Arial"/>
          <w:color w:val="64748B"/>
          <w:sz w:val="20"/>
          <w:szCs w:val="20"/>
        </w:rPr>
        <w:t xml:space="preserve">Read text from packaging (Google ML Kit, free, on-device)</w:t>
      </w:r>
    </w:p>
    <w:p>
      <w:pPr>
        <w:pStyle w:val="ListParagraph"/>
        <w:numPr>
          <w:ilvl w:val="0"/>
          <w:numId w:val="3"/>
        </w:numPr>
        <w:spacing w:before="30" w:after="30"/>
      </w:pPr>
      <w:r>
        <w:rPr>
          <w:rFonts w:ascii="Arial" w:cs="Arial" w:eastAsia="Arial" w:hAnsi="Arial"/>
          <w:color w:val="64748B"/>
          <w:sz w:val="20"/>
          <w:szCs w:val="20"/>
        </w:rPr>
        <w:t xml:space="preserve">Identify unmarked pills by shape, colour, imprint (NLM RxImage API, free)</w:t>
      </w:r>
    </w:p>
    <w:p>
      <w:pPr>
        <w:pStyle w:val="ListParagraph"/>
        <w:numPr>
          <w:ilvl w:val="0"/>
          <w:numId w:val="2"/>
        </w:numPr>
        <w:spacing w:before="40" w:after="40"/>
      </w:pPr>
      <w:r>
        <w:rPr>
          <w:rFonts w:ascii="Arial" w:cs="Arial" w:eastAsia="Arial" w:hAnsi="Arial"/>
          <w:b/>
          <w:bCs/>
          <w:color w:val="1A2332"/>
          <w:sz w:val="22"/>
          <w:szCs w:val="22"/>
        </w:rPr>
        <w:t xml:space="preserve">Structured information from free global databases (PubChem, ChEMBL, Wikidata) showing uses, benefits, side effects, and drug interactions </w:t>
      </w:r>
      <w:r>
        <w:rPr>
          <w:rFonts w:ascii="Arial" w:cs="Arial" w:eastAsia="Arial" w:hAnsi="Arial"/>
          <w:color w:val="1A2332"/>
          <w:sz w:val="22"/>
          <w:szCs w:val="22"/>
        </w:rPr>
        <w:t xml:space="preserve">Drug Info Card:</w:t>
      </w:r>
    </w:p>
    <w:p>
      <w:pPr>
        <w:pStyle w:val="ListParagraph"/>
        <w:numPr>
          <w:ilvl w:val="0"/>
          <w:numId w:val="2"/>
        </w:numPr>
        <w:spacing w:before="40" w:after="40"/>
      </w:pPr>
      <w:r>
        <w:rPr>
          <w:rFonts w:ascii="Arial" w:cs="Arial" w:eastAsia="Arial" w:hAnsi="Arial"/>
          <w:b/>
          <w:bCs/>
          <w:color w:val="1A2332"/>
          <w:sz w:val="22"/>
          <w:szCs w:val="22"/>
        </w:rPr>
        <w:t xml:space="preserve">Detect the user’s country from device locale and show the local brand name prominently alongside the generic name </w:t>
      </w:r>
      <w:r>
        <w:rPr>
          <w:rFonts w:ascii="Arial" w:cs="Arial" w:eastAsia="Arial" w:hAnsi="Arial"/>
          <w:color w:val="1A2332"/>
          <w:sz w:val="22"/>
          <w:szCs w:val="22"/>
        </w:rPr>
        <w:t xml:space="preserve">Regional Brand Names:</w:t>
      </w:r>
    </w:p>
    <w:p>
      <w:pPr>
        <w:pStyle w:val="ListParagraph"/>
        <w:numPr>
          <w:ilvl w:val="0"/>
          <w:numId w:val="2"/>
        </w:numPr>
        <w:spacing w:before="40" w:after="40"/>
      </w:pPr>
      <w:r>
        <w:rPr>
          <w:rFonts w:ascii="Arial" w:cs="Arial" w:eastAsia="Arial" w:hAnsi="Arial"/>
          <w:b/>
          <w:bCs/>
          <w:color w:val="1A2332"/>
          <w:sz w:val="22"/>
          <w:szCs w:val="22"/>
        </w:rPr>
        <w:t xml:space="preserve">Add medicines to a personal schedule with dose frequency and receive push notification reminders </w:t>
      </w:r>
      <w:r>
        <w:rPr>
          <w:rFonts w:ascii="Arial" w:cs="Arial" w:eastAsia="Arial" w:hAnsi="Arial"/>
          <w:color w:val="1A2332"/>
          <w:sz w:val="22"/>
          <w:szCs w:val="22"/>
        </w:rPr>
        <w:t xml:space="preserve">Medication Scheduler:</w:t>
      </w:r>
    </w:p>
    <w:p>
      <w:pPr>
        <w:spacing w:before="120" w:after="0"/>
      </w:pPr>
      <w:r>
        <w:t xml:space="preserve"/>
      </w:r>
    </w:p>
    <w:p>
      <w:r>
        <w:br w:type="page"/>
      </w:r>
    </w:p>
    <w:p>
      <w:pPr>
        <w:pStyle w:val="Heading1"/>
        <w:spacing w:before="360" w:after="120"/>
      </w:pPr>
      <w:r>
        <w:rPr>
          <w:rFonts w:ascii="Arial" w:cs="Arial" w:eastAsia="Arial" w:hAnsi="Arial"/>
          <w:b/>
          <w:bCs/>
          <w:color w:val="065A82"/>
          <w:sz w:val="32"/>
          <w:szCs w:val="32"/>
        </w:rPr>
        <w:t xml:space="preserve">2. Feature Specification</w:t>
      </w:r>
    </w:p>
    <w:p>
      <w:pPr>
        <w:pBdr>
          <w:bottom w:val="single" w:color="065A82" w:sz="8" w:space="1"/>
        </w:pBdr>
        <w:spacing w:before="120" w:after="120"/>
      </w:pPr>
      <w:r>
        <w:t xml:space="preserve"/>
      </w:r>
    </w:p>
    <w:p>
      <w:pPr>
        <w:pStyle w:val="Heading2"/>
        <w:spacing w:before="280" w:after="100"/>
      </w:pPr>
      <w:r>
        <w:rPr>
          <w:rFonts w:ascii="Arial" w:cs="Arial" w:eastAsia="Arial" w:hAnsi="Arial"/>
          <w:b/>
          <w:bCs/>
          <w:color w:val="065A82"/>
          <w:sz w:val="26"/>
          <w:szCs w:val="26"/>
        </w:rPr>
        <w:t xml:space="preserve">2.1 Medicine Scanner</w:t>
      </w:r>
    </w:p>
    <w:p>
      <w:pPr>
        <w:spacing w:before="60" w:after="100"/>
      </w:pPr>
      <w:r>
        <w:rPr>
          <w:rFonts w:ascii="Arial" w:cs="Arial" w:eastAsia="Arial" w:hAnsi="Arial"/>
          <w:color w:val="1A2332"/>
          <w:sz w:val="22"/>
          <w:szCs w:val="22"/>
        </w:rPr>
        <w:t xml:space="preserve">The app opens the device camera. The user can either capture a still photo or use live scan mode. Two parallel processes run:</w:t>
      </w:r>
    </w:p>
    <w:p>
      <w:pPr>
        <w:pStyle w:val="ListParagraph"/>
        <w:numPr>
          <w:ilvl w:val="0"/>
          <w:numId w:val="2"/>
        </w:numPr>
        <w:spacing w:before="40" w:after="40"/>
      </w:pPr>
      <w:r>
        <w:rPr>
          <w:rFonts w:ascii="Arial" w:cs="Arial" w:eastAsia="Arial" w:hAnsi="Arial"/>
          <w:color w:val="1A2332"/>
          <w:sz w:val="22"/>
          <w:szCs w:val="22"/>
        </w:rPr>
        <w:t xml:space="preserve">On-device OCR (Google ML Kit) reads visible text — drug name, active ingredient, dosage, manufacturer</w:t>
      </w:r>
    </w:p>
    <w:p>
      <w:pPr>
        <w:pStyle w:val="ListParagraph"/>
        <w:numPr>
          <w:ilvl w:val="0"/>
          <w:numId w:val="2"/>
        </w:numPr>
        <w:spacing w:before="40" w:after="40"/>
      </w:pPr>
      <w:r>
        <w:rPr>
          <w:rFonts w:ascii="Arial" w:cs="Arial" w:eastAsia="Arial" w:hAnsi="Arial"/>
          <w:color w:val="1A2332"/>
          <w:sz w:val="22"/>
          <w:szCs w:val="22"/>
        </w:rPr>
        <w:t xml:space="preserve">For unlabelled or partially-obscured pills, the NLM RxImage API identifies by imprint code, shape, and colour</w:t>
      </w:r>
    </w:p>
    <w:p>
      <w:pPr>
        <w:spacing w:before="60" w:after="100"/>
      </w:pPr>
      <w:r>
        <w:rPr>
          <w:rFonts w:ascii="Arial" w:cs="Arial" w:eastAsia="Arial" w:hAnsi="Arial"/>
          <w:color w:val="1A2332"/>
          <w:sz w:val="22"/>
          <w:szCs w:val="22"/>
        </w:rPr>
        <w:t xml:space="preserve">Once a candidate drug name is found, the app queries the drug database chain (see Section 4) to retrieve full drug information.</w:t>
      </w:r>
    </w:p>
    <w:p>
      <w:pPr>
        <w:spacing w:before="80" w:after="0"/>
      </w:pPr>
      <w:r>
        <w:t xml:space="preserve"/>
      </w:r>
    </w:p>
    <w:p>
      <w:pPr>
        <w:spacing w:before="60" w:after="100"/>
      </w:pPr>
      <w:r>
        <w:rPr>
          <w:rFonts w:ascii="Arial" w:cs="Arial" w:eastAsia="Arial" w:hAnsi="Arial"/>
          <w:i/>
          <w:iCs/>
          <w:color w:val="1A2332"/>
          <w:sz w:val="22"/>
          <w:szCs w:val="22"/>
        </w:rPr>
        <w:t xml:space="preserve">The scanner must handle:</w:t>
      </w:r>
    </w:p>
    <w:p>
      <w:pPr>
        <w:pStyle w:val="ListParagraph"/>
        <w:numPr>
          <w:ilvl w:val="0"/>
          <w:numId w:val="2"/>
        </w:numPr>
        <w:spacing w:before="40" w:after="40"/>
      </w:pPr>
      <w:r>
        <w:rPr>
          <w:rFonts w:ascii="Arial" w:cs="Arial" w:eastAsia="Arial" w:hAnsi="Arial"/>
          <w:color w:val="1A2332"/>
          <w:sz w:val="22"/>
          <w:szCs w:val="22"/>
        </w:rPr>
        <w:t xml:space="preserve">Printed packaging (box, label, blister pack)</w:t>
      </w:r>
    </w:p>
    <w:p>
      <w:pPr>
        <w:pStyle w:val="ListParagraph"/>
        <w:numPr>
          <w:ilvl w:val="0"/>
          <w:numId w:val="2"/>
        </w:numPr>
        <w:spacing w:before="40" w:after="40"/>
      </w:pPr>
      <w:r>
        <w:rPr>
          <w:rFonts w:ascii="Arial" w:cs="Arial" w:eastAsia="Arial" w:hAnsi="Arial"/>
          <w:color w:val="1A2332"/>
          <w:sz w:val="22"/>
          <w:szCs w:val="22"/>
        </w:rPr>
        <w:t xml:space="preserve">Handwritten or printed prescription slips</w:t>
      </w:r>
    </w:p>
    <w:p>
      <w:pPr>
        <w:pStyle w:val="ListParagraph"/>
        <w:numPr>
          <w:ilvl w:val="0"/>
          <w:numId w:val="2"/>
        </w:numPr>
        <w:spacing w:before="40" w:after="40"/>
      </w:pPr>
      <w:r>
        <w:rPr>
          <w:rFonts w:ascii="Arial" w:cs="Arial" w:eastAsia="Arial" w:hAnsi="Arial"/>
          <w:color w:val="1A2332"/>
          <w:sz w:val="22"/>
          <w:szCs w:val="22"/>
        </w:rPr>
        <w:t xml:space="preserve">Loose pills with visible imprint codes</w:t>
      </w:r>
    </w:p>
    <w:p>
      <w:pPr>
        <w:pStyle w:val="ListParagraph"/>
        <w:numPr>
          <w:ilvl w:val="0"/>
          <w:numId w:val="2"/>
        </w:numPr>
        <w:spacing w:before="40" w:after="40"/>
      </w:pPr>
      <w:r>
        <w:rPr>
          <w:rFonts w:ascii="Arial" w:cs="Arial" w:eastAsia="Arial" w:hAnsi="Arial"/>
          <w:color w:val="1A2332"/>
          <w:sz w:val="22"/>
          <w:szCs w:val="22"/>
        </w:rPr>
        <w:t xml:space="preserve">Partially obscured or damaged packaging — with a graceful “could not identify” fallback and manual search option</w:t>
      </w:r>
    </w:p>
    <w:p>
      <w:pPr>
        <w:spacing w:before="120" w:after="0"/>
      </w:pPr>
      <w:r>
        <w:t xml:space="preserve"/>
      </w:r>
    </w:p>
    <w:p>
      <w:pPr>
        <w:pStyle w:val="Heading2"/>
        <w:spacing w:before="280" w:after="100"/>
      </w:pPr>
      <w:r>
        <w:rPr>
          <w:rFonts w:ascii="Arial" w:cs="Arial" w:eastAsia="Arial" w:hAnsi="Arial"/>
          <w:b/>
          <w:bCs/>
          <w:color w:val="065A82"/>
          <w:sz w:val="26"/>
          <w:szCs w:val="26"/>
        </w:rPr>
        <w:t xml:space="preserve">2.2 Drug Information Card</w:t>
      </w:r>
    </w:p>
    <w:p>
      <w:pPr>
        <w:spacing w:before="60" w:after="100"/>
      </w:pPr>
      <w:r>
        <w:rPr>
          <w:rFonts w:ascii="Arial" w:cs="Arial" w:eastAsia="Arial" w:hAnsi="Arial"/>
          <w:color w:val="1A2332"/>
          <w:sz w:val="22"/>
          <w:szCs w:val="22"/>
        </w:rPr>
        <w:t xml:space="preserve">When a medicine is identified, the app displays a clean card with the following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Generic name</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International non-proprietary name (INN), e.g. Paracetamol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Local brand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Brand name used in the user’s detected country (e.g. Panadol in Malaysia)</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Other brand names</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Secondary list of brand names in other regions, collapsed by default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Drug class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Therapeutic class, e.g. Analgesic / Antipyretic</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Used for</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Conditions and symptoms the drug treats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Dosage guidance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Standard dose ranges for adults and children</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Key benefits</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Primary therapeutic outcomes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Side effects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Common and serious adverse effects</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Drug interactions</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Notable interactions to watch for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Warnings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Contraindications, allergy alerts</w:t>
            </w:r>
          </w:p>
        </w:tc>
      </w:tr>
      <w:tr>
        <w:tc>
          <w:tcPr>
            <w:tcW w:type="dxa" w:w="2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Prescription required?</w:t>
            </w:r>
          </w:p>
        </w:tc>
        <w:tc>
          <w:tcPr>
            <w:tcW w:type="dxa" w:w="65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Yes / No / Varies by country</w:t>
            </w:r>
          </w:p>
        </w:tc>
      </w:tr>
    </w:tbl>
    <w:p>
      <w:pPr>
        <w:spacing w:before="100" w:after="0"/>
      </w:pPr>
      <w:r>
        <w:t xml:space="preserve"/>
      </w:r>
    </w:p>
    <w:p>
      <w:pPr>
        <w:spacing w:before="60" w:after="100"/>
      </w:pPr>
      <w:r>
        <w:rPr>
          <w:rFonts w:ascii="Arial" w:cs="Arial" w:eastAsia="Arial" w:hAnsi="Arial"/>
          <w:color w:val="1A2332"/>
          <w:sz w:val="22"/>
          <w:szCs w:val="22"/>
        </w:rPr>
        <w:t xml:space="preserve">A medical disclaimer is displayed at the bottom of every card: “This information is for reference only and is not a substitute for professional medical advice. Always consult a qualified healthcare provider.”</w:t>
      </w:r>
    </w:p>
    <w:p>
      <w:pPr>
        <w:spacing w:before="120" w:after="0"/>
      </w:pPr>
      <w:r>
        <w:t xml:space="preserve"/>
      </w:r>
    </w:p>
    <w:p>
      <w:pPr>
        <w:pStyle w:val="Heading2"/>
        <w:spacing w:before="280" w:after="100"/>
      </w:pPr>
      <w:r>
        <w:rPr>
          <w:rFonts w:ascii="Arial" w:cs="Arial" w:eastAsia="Arial" w:hAnsi="Arial"/>
          <w:b/>
          <w:bCs/>
          <w:color w:val="065A82"/>
          <w:sz w:val="26"/>
          <w:szCs w:val="26"/>
        </w:rPr>
        <w:t xml:space="preserve">2.3 Regional Brand Name Display</w:t>
      </w:r>
    </w:p>
    <w:p>
      <w:pPr>
        <w:spacing w:before="60" w:after="100"/>
      </w:pPr>
      <w:r>
        <w:rPr>
          <w:rFonts w:ascii="Arial" w:cs="Arial" w:eastAsia="Arial" w:hAnsi="Arial"/>
          <w:color w:val="1A2332"/>
          <w:sz w:val="22"/>
          <w:szCs w:val="22"/>
        </w:rPr>
        <w:t xml:space="preserve">Brand names for the same active ingredient differ significantly by country. MediScan displays brand names in a region-aware way:</w:t>
      </w:r>
    </w:p>
    <w:p>
      <w:pPr>
        <w:spacing w:before="60" w:after="0"/>
      </w:pPr>
      <w:r>
        <w:t xml:space="preserve"/>
      </w:r>
    </w:p>
    <w:p>
      <w:pPr>
        <w:pStyle w:val="ListParagraph"/>
        <w:numPr>
          <w:ilvl w:val="0"/>
          <w:numId w:val="2"/>
        </w:numPr>
        <w:spacing w:before="40" w:after="40"/>
      </w:pPr>
      <w:r>
        <w:rPr>
          <w:rFonts w:ascii="Arial" w:cs="Arial" w:eastAsia="Arial" w:hAnsi="Arial"/>
          <w:color w:val="1A2332"/>
          <w:sz w:val="22"/>
          <w:szCs w:val="22"/>
        </w:rPr>
        <w:t xml:space="preserve">The user’s country is detected silently using device locale (e.g. en-MY → Malaysia) via Expo Localization — no permission required</w:t>
      </w:r>
    </w:p>
    <w:p>
      <w:pPr>
        <w:pStyle w:val="ListParagraph"/>
        <w:numPr>
          <w:ilvl w:val="0"/>
          <w:numId w:val="2"/>
        </w:numPr>
        <w:spacing w:before="40" w:after="40"/>
      </w:pPr>
      <w:r>
        <w:rPr>
          <w:rFonts w:ascii="Arial" w:cs="Arial" w:eastAsia="Arial" w:hAnsi="Arial"/>
          <w:color w:val="1A2332"/>
          <w:sz w:val="22"/>
          <w:szCs w:val="22"/>
        </w:rPr>
        <w:t xml:space="preserve">The local brand name for that country is shown prominently next to the generic name</w:t>
      </w:r>
    </w:p>
    <w:p>
      <w:pPr>
        <w:pStyle w:val="ListParagraph"/>
        <w:numPr>
          <w:ilvl w:val="0"/>
          <w:numId w:val="2"/>
        </w:numPr>
        <w:spacing w:before="40" w:after="40"/>
      </w:pPr>
      <w:r>
        <w:rPr>
          <w:rFonts w:ascii="Arial" w:cs="Arial" w:eastAsia="Arial" w:hAnsi="Arial"/>
          <w:color w:val="1A2332"/>
          <w:sz w:val="22"/>
          <w:szCs w:val="22"/>
        </w:rPr>
        <w:t xml:space="preserve">Other regional brand names are listed in a collapsible section below</w:t>
      </w:r>
    </w:p>
    <w:p>
      <w:pPr>
        <w:spacing w:before="80" w:after="0"/>
      </w:pPr>
      <w:r>
        <w:t xml:space="preserve"/>
      </w:r>
    </w:p>
    <w:p>
      <w:pPr>
        <w:spacing w:before="60" w:after="100"/>
      </w:pPr>
      <w:r>
        <w:rPr>
          <w:rFonts w:ascii="Arial" w:cs="Arial" w:eastAsia="Arial" w:hAnsi="Arial"/>
          <w:color w:val="1A2332"/>
          <w:sz w:val="22"/>
          <w:szCs w:val="22"/>
        </w:rPr>
        <w:t xml:space="preserve">Example display for a user in Malaysia scanning Panadol:</w:t>
      </w:r>
    </w:p>
    <w:p>
      <w:pPr>
        <w:spacing w:before="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2C39A" w:sz="1"/>
              <w:left w:val="single" w:color="02C39A" w:sz="1"/>
              <w:bottom w:val="single" w:color="02C39A" w:sz="1"/>
              <w:right w:val="single" w:color="02C39A" w:sz="1"/>
            </w:tcBorders>
            <w:shd w:fill="EBF5FA" w:val="clear"/>
            <w:tcMar>
              <w:top w:type="dxa" w:w="120"/>
              <w:left w:type="dxa" w:w="160"/>
              <w:bottom w:type="dxa" w:w="120"/>
              <w:right w:type="dxa" w:w="160"/>
            </w:tcMar>
          </w:tcPr>
          <w:p>
            <w:r>
              <w:rPr>
                <w:rFonts w:ascii="Arial" w:cs="Arial" w:eastAsia="Arial" w:hAnsi="Arial"/>
                <w:b/>
                <w:bCs/>
                <w:color w:val="065A82"/>
                <w:sz w:val="24"/>
                <w:szCs w:val="24"/>
              </w:rPr>
              <w:t xml:space="preserve">Paracetamol  (Panadol in Malaysia)</w:t>
            </w:r>
          </w:p>
          <w:p>
            <w:pPr>
              <w:spacing w:before="60" w:after="0"/>
            </w:pPr>
            <w:r>
              <w:rPr>
                <w:rFonts w:ascii="Arial" w:cs="Arial" w:eastAsia="Arial" w:hAnsi="Arial"/>
                <w:color w:val="64748B"/>
                <w:sz w:val="19"/>
                <w:szCs w:val="19"/>
              </w:rPr>
              <w:t xml:space="preserve">Also known as:  Tylenol (US)  ·  Calpol (UK)  ·  Efferalgan (France)</w:t>
            </w:r>
          </w:p>
        </w:tc>
      </w:tr>
    </w:tbl>
    <w:p>
      <w:pPr>
        <w:spacing w:before="120" w:after="0"/>
      </w:pPr>
      <w:r>
        <w:t xml:space="preserve"/>
      </w:r>
    </w:p>
    <w:p>
      <w:pPr>
        <w:pStyle w:val="Heading2"/>
        <w:spacing w:before="280" w:after="100"/>
      </w:pPr>
      <w:r>
        <w:rPr>
          <w:rFonts w:ascii="Arial" w:cs="Arial" w:eastAsia="Arial" w:hAnsi="Arial"/>
          <w:b/>
          <w:bCs/>
          <w:color w:val="065A82"/>
          <w:sz w:val="26"/>
          <w:szCs w:val="26"/>
        </w:rPr>
        <w:t xml:space="preserve">2.4 Medication Scheduler &amp; Reminders</w:t>
      </w:r>
    </w:p>
    <w:p>
      <w:pPr>
        <w:spacing w:before="60" w:after="100"/>
      </w:pPr>
      <w:r>
        <w:rPr>
          <w:rFonts w:ascii="Arial" w:cs="Arial" w:eastAsia="Arial" w:hAnsi="Arial"/>
          <w:color w:val="1A2332"/>
          <w:sz w:val="22"/>
          <w:szCs w:val="22"/>
        </w:rPr>
        <w:t xml:space="preserve">After identifying a medicine, the user can add it to “My Medications” with:</w:t>
      </w:r>
    </w:p>
    <w:p>
      <w:pPr>
        <w:pStyle w:val="ListParagraph"/>
        <w:numPr>
          <w:ilvl w:val="0"/>
          <w:numId w:val="2"/>
        </w:numPr>
        <w:spacing w:before="40" w:after="40"/>
      </w:pPr>
      <w:r>
        <w:rPr>
          <w:rFonts w:ascii="Arial" w:cs="Arial" w:eastAsia="Arial" w:hAnsi="Arial"/>
          <w:color w:val="1A2332"/>
          <w:sz w:val="22"/>
          <w:szCs w:val="22"/>
        </w:rPr>
        <w:t xml:space="preserve">Dose amount (e.g. 500 mg, 1 tablet)</w:t>
      </w:r>
    </w:p>
    <w:p>
      <w:pPr>
        <w:pStyle w:val="ListParagraph"/>
        <w:numPr>
          <w:ilvl w:val="0"/>
          <w:numId w:val="2"/>
        </w:numPr>
        <w:spacing w:before="40" w:after="40"/>
      </w:pPr>
      <w:r>
        <w:rPr>
          <w:rFonts w:ascii="Arial" w:cs="Arial" w:eastAsia="Arial" w:hAnsi="Arial"/>
          <w:color w:val="1A2332"/>
          <w:sz w:val="22"/>
          <w:szCs w:val="22"/>
        </w:rPr>
        <w:t xml:space="preserve">Frequency (once daily, twice daily, every 8 hours, as needed, custom)</w:t>
      </w:r>
    </w:p>
    <w:p>
      <w:pPr>
        <w:pStyle w:val="ListParagraph"/>
        <w:numPr>
          <w:ilvl w:val="0"/>
          <w:numId w:val="2"/>
        </w:numPr>
        <w:spacing w:before="40" w:after="40"/>
      </w:pPr>
      <w:r>
        <w:rPr>
          <w:rFonts w:ascii="Arial" w:cs="Arial" w:eastAsia="Arial" w:hAnsi="Arial"/>
          <w:color w:val="1A2332"/>
          <w:sz w:val="22"/>
          <w:szCs w:val="22"/>
        </w:rPr>
        <w:t xml:space="preserve">Start and optional end date</w:t>
      </w:r>
    </w:p>
    <w:p>
      <w:pPr>
        <w:pStyle w:val="ListParagraph"/>
        <w:numPr>
          <w:ilvl w:val="0"/>
          <w:numId w:val="2"/>
        </w:numPr>
        <w:spacing w:before="40" w:after="40"/>
      </w:pPr>
      <w:r>
        <w:rPr>
          <w:rFonts w:ascii="Arial" w:cs="Arial" w:eastAsia="Arial" w:hAnsi="Arial"/>
          <w:color w:val="1A2332"/>
          <w:sz w:val="22"/>
          <w:szCs w:val="22"/>
        </w:rPr>
        <w:t xml:space="preserve">Notes (e.g. “take with food”)</w:t>
      </w:r>
    </w:p>
    <w:p>
      <w:pPr>
        <w:spacing w:before="60" w:after="0"/>
      </w:pPr>
      <w:r>
        <w:t xml:space="preserve"/>
      </w:r>
    </w:p>
    <w:p>
      <w:pPr>
        <w:spacing w:before="60" w:after="100"/>
      </w:pPr>
      <w:r>
        <w:rPr>
          <w:rFonts w:ascii="Arial" w:cs="Arial" w:eastAsia="Arial" w:hAnsi="Arial"/>
          <w:color w:val="1A2332"/>
          <w:sz w:val="22"/>
          <w:szCs w:val="22"/>
        </w:rPr>
        <w:t xml:space="preserve">The scheduler generates push notifications at the configured times using Expo Notifications (free, wraps iOS APNs and Android FCM). A dose log tracks each dose as taken, skipped, or missed.</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2.5 Medicine Cabinet</w:t>
      </w:r>
    </w:p>
    <w:p>
      <w:pPr>
        <w:spacing w:before="60" w:after="100"/>
      </w:pPr>
      <w:r>
        <w:rPr>
          <w:rFonts w:ascii="Arial" w:cs="Arial" w:eastAsia="Arial" w:hAnsi="Arial"/>
          <w:color w:val="1A2332"/>
          <w:sz w:val="22"/>
          <w:szCs w:val="22"/>
        </w:rPr>
        <w:t xml:space="preserve">A persistent list of all medicines the user has added — useful for people managing multiple prescriptions or caregivers overseeing a family member’s medications. Each entry shows the last scanned date, current schedule status, and a quick link back to the drug info card.</w:t>
      </w:r>
    </w:p>
    <w:p>
      <w:pPr>
        <w:spacing w:before="120" w:after="0"/>
      </w:pPr>
      <w:r>
        <w:t xml:space="preserve"/>
      </w:r>
    </w:p>
    <w:p>
      <w:r>
        <w:br w:type="page"/>
      </w:r>
    </w:p>
    <w:p>
      <w:pPr>
        <w:pStyle w:val="Heading1"/>
        <w:spacing w:before="360" w:after="120"/>
      </w:pPr>
      <w:r>
        <w:rPr>
          <w:rFonts w:ascii="Arial" w:cs="Arial" w:eastAsia="Arial" w:hAnsi="Arial"/>
          <w:b/>
          <w:bCs/>
          <w:color w:val="065A82"/>
          <w:sz w:val="32"/>
          <w:szCs w:val="32"/>
        </w:rPr>
        <w:t xml:space="preserve">3. Technology Stack</w:t>
      </w:r>
    </w:p>
    <w:p>
      <w:pPr>
        <w:pBdr>
          <w:bottom w:val="single" w:color="065A82" w:sz="8" w:space="1"/>
        </w:pBdr>
        <w:spacing w:before="120" w:after="120"/>
      </w:pPr>
      <w:r>
        <w:t xml:space="preserve"/>
      </w:r>
    </w:p>
    <w:p>
      <w:pPr>
        <w:spacing w:before="60" w:after="100"/>
      </w:pPr>
      <w:r>
        <w:rPr>
          <w:rFonts w:ascii="Arial" w:cs="Arial" w:eastAsia="Arial" w:hAnsi="Arial"/>
          <w:color w:val="1A2332"/>
          <w:sz w:val="22"/>
          <w:szCs w:val="22"/>
        </w:rPr>
        <w:t xml:space="preserve">The stack is chosen to maximise free-tier usage and minimise running costs, particularly for early-stage deployment. All core functionality is achievable with zero monthly API spend at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36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Mobile framework</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React Native + Expo</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open source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On-device OCR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Google ML Kit (text recognition)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runs on-device</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Pill identification</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NLM RxImage API (NIH)</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no key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AI fallback scan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Google Gemini Flash Vision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~$0.0001/image</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Drug data — primary</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PubChem REST API (NIH)</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no rate limit for fair use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Drug data — indications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ChEMBL REST API (EMBL-EBI)</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open access</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Brand names (global)</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Wikidata SPARQL API</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open license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Region detection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Expo Localization (device locale)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no network call</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Local storage</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Expo SQLite</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Backend + auth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Supabase (free tier)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up to 50,000 MAU</w:t>
            </w:r>
          </w:p>
        </w:tc>
      </w:tr>
      <w:tr>
        <w:tc>
          <w:tcPr>
            <w:tcW w:type="dxa" w:w="2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Expo Notifications</w:t>
            </w:r>
          </w:p>
        </w:tc>
        <w:tc>
          <w:tcPr>
            <w:tcW w:type="dxa" w:w="37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App distribution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Apple App Store + Google Play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$99/yr + $25 one-time</w:t>
            </w:r>
          </w:p>
        </w:tc>
      </w:tr>
    </w:tbl>
    <w:p>
      <w:pPr>
        <w:spacing w:before="120" w:after="0"/>
      </w:pPr>
      <w:r>
        <w:t xml:space="preserve"/>
      </w:r>
    </w:p>
    <w:p>
      <w:r>
        <w:br w:type="page"/>
      </w:r>
    </w:p>
    <w:p>
      <w:pPr>
        <w:pStyle w:val="Heading1"/>
        <w:spacing w:before="360" w:after="120"/>
      </w:pPr>
      <w:r>
        <w:rPr>
          <w:rFonts w:ascii="Arial" w:cs="Arial" w:eastAsia="Arial" w:hAnsi="Arial"/>
          <w:b/>
          <w:bCs/>
          <w:color w:val="065A82"/>
          <w:sz w:val="32"/>
          <w:szCs w:val="32"/>
        </w:rPr>
        <w:t xml:space="preserve">4. Global Database Strategy</w:t>
      </w:r>
    </w:p>
    <w:p>
      <w:pPr>
        <w:pBdr>
          <w:bottom w:val="single" w:color="065A82" w:sz="8" w:space="1"/>
        </w:pBdr>
        <w:spacing w:before="120" w:after="120"/>
      </w:pPr>
      <w:r>
        <w:t xml:space="preserve"/>
      </w:r>
    </w:p>
    <w:p>
      <w:pPr>
        <w:spacing w:before="60" w:after="100"/>
      </w:pPr>
      <w:r>
        <w:rPr>
          <w:rFonts w:ascii="Arial" w:cs="Arial" w:eastAsia="Arial" w:hAnsi="Arial"/>
          <w:color w:val="1A2332"/>
          <w:sz w:val="22"/>
          <w:szCs w:val="22"/>
        </w:rPr>
        <w:t xml:space="preserve">No single free database covers every country’s medicines and brand names. MediScan solves this by chaining three complementary free databases, each covering a different dimension of drug data.</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4.1 The Three-Layer Database Chain</w:t>
      </w:r>
    </w:p>
    <w:p>
      <w:pPr>
        <w:pStyle w:val="Heading3"/>
        <w:spacing w:before="200" w:after="80"/>
      </w:pPr>
      <w:r>
        <w:rPr>
          <w:rFonts w:ascii="Arial" w:cs="Arial" w:eastAsia="Arial" w:hAnsi="Arial"/>
          <w:b/>
          <w:bCs/>
          <w:color w:val="21295C"/>
          <w:sz w:val="22"/>
          <w:szCs w:val="22"/>
        </w:rPr>
        <w:t xml:space="preserve">Layer 1 — PubChem (Global, Primary)</w:t>
      </w:r>
    </w:p>
    <w:p>
      <w:pPr>
        <w:spacing w:before="60" w:after="100"/>
      </w:pPr>
      <w:r>
        <w:rPr>
          <w:rFonts w:ascii="Arial" w:cs="Arial" w:eastAsia="Arial" w:hAnsi="Arial"/>
          <w:color w:val="1A2332"/>
          <w:sz w:val="22"/>
          <w:szCs w:val="22"/>
        </w:rPr>
        <w:t xml:space="preserve">Maintained by the US National Institutes of Health, PubChem is the world’s largest freely accessible chemical and drug database — 96 million+ compounds, contributed by sources from 40+ countries. Because it indexes by active ingredient rather than by country of approval, virtually every approved medicine worldwide is present. A simple name lookup returns compound ID, description, synonyms, and safety data.</w:t>
      </w:r>
    </w:p>
    <w:p>
      <w:pPr>
        <w:spacing w:before="40" w:after="0"/>
      </w:pPr>
      <w:r>
        <w:t xml:space="preserve"/>
      </w:r>
    </w:p>
    <w:p>
      <w:pPr>
        <w:spacing w:before="60" w:after="100"/>
      </w:pPr>
      <w:r>
        <w:rPr>
          <w:rFonts w:ascii="Arial" w:cs="Arial" w:eastAsia="Arial" w:hAnsi="Arial"/>
          <w:b/>
          <w:bCs/>
          <w:color w:val="1A2332"/>
          <w:sz w:val="22"/>
          <w:szCs w:val="22"/>
        </w:rPr>
        <w:t xml:space="preserve">Example call:</w:t>
      </w:r>
    </w:p>
    <w:p>
      <w:pPr>
        <w:shd w:fill="F0F4F8" w:val="clear"/>
        <w:spacing w:before="40" w:after="60"/>
      </w:pPr>
      <w:r>
        <w:rPr>
          <w:rFonts w:ascii="Courier New" w:cs="Courier New" w:eastAsia="Courier New" w:hAnsi="Courier New"/>
          <w:color w:val="21295C"/>
          <w:sz w:val="18"/>
          <w:szCs w:val="18"/>
        </w:rPr>
        <w:t xml:space="preserve">GET https://pubchem.ncbi.nlm.nih.gov/rest/pug/compound/name/{drug_name}/JSON</w:t>
      </w:r>
    </w:p>
    <w:p>
      <w:pPr>
        <w:pStyle w:val="Heading3"/>
        <w:spacing w:before="200" w:after="80"/>
      </w:pPr>
      <w:r>
        <w:rPr>
          <w:rFonts w:ascii="Arial" w:cs="Arial" w:eastAsia="Arial" w:hAnsi="Arial"/>
          <w:b/>
          <w:bCs/>
          <w:color w:val="21295C"/>
          <w:sz w:val="22"/>
          <w:szCs w:val="22"/>
        </w:rPr>
        <w:t xml:space="preserve">Layer 2 — ChEMBL (Indications &amp; Side Effects)</w:t>
      </w:r>
    </w:p>
    <w:p>
      <w:pPr>
        <w:spacing w:before="60" w:after="100"/>
      </w:pPr>
      <w:r>
        <w:rPr>
          <w:rFonts w:ascii="Arial" w:cs="Arial" w:eastAsia="Arial" w:hAnsi="Arial"/>
          <w:color w:val="1A2332"/>
          <w:sz w:val="22"/>
          <w:szCs w:val="22"/>
        </w:rPr>
        <w:t xml:space="preserve">Maintained by EMBL-EBI in Europe, ChEMBL covers 17,500+ approved drugs worldwide with structured data on therapeutic indications (what conditions they treat), mechanism of action, and safety information. It fills the clinical detail that PubChem does not always provide.</w:t>
      </w:r>
    </w:p>
    <w:p>
      <w:pPr>
        <w:spacing w:before="40" w:after="0"/>
      </w:pPr>
      <w:r>
        <w:t xml:space="preserve"/>
      </w:r>
    </w:p>
    <w:p>
      <w:pPr>
        <w:spacing w:before="60" w:after="100"/>
      </w:pPr>
      <w:r>
        <w:rPr>
          <w:rFonts w:ascii="Arial" w:cs="Arial" w:eastAsia="Arial" w:hAnsi="Arial"/>
          <w:b/>
          <w:bCs/>
          <w:color w:val="1A2332"/>
          <w:sz w:val="22"/>
          <w:szCs w:val="22"/>
        </w:rPr>
        <w:t xml:space="preserve">Example call:</w:t>
      </w:r>
    </w:p>
    <w:p>
      <w:pPr>
        <w:shd w:fill="F0F4F8" w:val="clear"/>
        <w:spacing w:before="40" w:after="60"/>
      </w:pPr>
      <w:r>
        <w:rPr>
          <w:rFonts w:ascii="Courier New" w:cs="Courier New" w:eastAsia="Courier New" w:hAnsi="Courier New"/>
          <w:color w:val="21295C"/>
          <w:sz w:val="18"/>
          <w:szCs w:val="18"/>
        </w:rPr>
        <w:t xml:space="preserve">GET https://www.ebi.ac.uk/chembl/api/data/molecule/?pref_name={drug_name}&amp;format=json</w:t>
      </w:r>
    </w:p>
    <w:p>
      <w:pPr>
        <w:pStyle w:val="Heading3"/>
        <w:spacing w:before="200" w:after="80"/>
      </w:pPr>
      <w:r>
        <w:rPr>
          <w:rFonts w:ascii="Arial" w:cs="Arial" w:eastAsia="Arial" w:hAnsi="Arial"/>
          <w:b/>
          <w:bCs/>
          <w:color w:val="21295C"/>
          <w:sz w:val="22"/>
          <w:szCs w:val="22"/>
        </w:rPr>
        <w:t xml:space="preserve">Layer 3 — Wikidata (Brand Names, Global + Multilingual)</w:t>
      </w:r>
    </w:p>
    <w:p>
      <w:pPr>
        <w:spacing w:before="60" w:after="100"/>
      </w:pPr>
      <w:r>
        <w:rPr>
          <w:rFonts w:ascii="Arial" w:cs="Arial" w:eastAsia="Arial" w:hAnsi="Arial"/>
          <w:color w:val="1A2332"/>
          <w:sz w:val="22"/>
          <w:szCs w:val="22"/>
        </w:rPr>
        <w:t xml:space="preserve">Wikidata is the structured data layer behind Wikipedia, with an open license and free SPARQL query API. It has comprehensive brand name coverage for common medicines across all regions via property P3780 (brand name) with country tags. This is the primary source for showing regional brand name variations and is especially strong for Southeast Asia, where no dedicated free API exists.</w:t>
      </w:r>
    </w:p>
    <w:p>
      <w:pPr>
        <w:spacing w:before="40" w:after="0"/>
      </w:pPr>
      <w:r>
        <w:t xml:space="preserve"/>
      </w:r>
    </w:p>
    <w:p>
      <w:pPr>
        <w:spacing w:before="60" w:after="100"/>
      </w:pPr>
      <w:r>
        <w:rPr>
          <w:rFonts w:ascii="Arial" w:cs="Arial" w:eastAsia="Arial" w:hAnsi="Arial"/>
          <w:b/>
          <w:bCs/>
          <w:color w:val="1A2332"/>
          <w:sz w:val="22"/>
          <w:szCs w:val="22"/>
        </w:rPr>
        <w:t xml:space="preserve">Example SPARQL query (paracetamol brand names by country):</w:t>
      </w:r>
    </w:p>
    <w:p>
      <w:pPr>
        <w:shd w:fill="F0F4F8" w:val="clear"/>
        <w:spacing w:before="40" w:after="60"/>
      </w:pPr>
      <w:r>
        <w:rPr>
          <w:rFonts w:ascii="Courier New" w:cs="Courier New" w:eastAsia="Courier New" w:hAnsi="Courier New"/>
          <w:color w:val="21295C"/>
          <w:sz w:val="18"/>
          <w:szCs w:val="18"/>
        </w:rPr>
        <w:t xml:space="preserve">SELECT ?brandName ?countryLabel WHERE { wd:Q57055 wdt:P3780 ?brandName . OPTIONAL { ?brandName wdt:P17 ?country . SERVICE wikibase:label { bd:serviceParam wikibase:language "en" } } }</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4.2 Regional Brand Name Sources</w:t>
      </w:r>
    </w:p>
    <w:p>
      <w:pPr>
        <w:spacing w:before="60" w:after="100"/>
      </w:pPr>
      <w:r>
        <w:rPr>
          <w:rFonts w:ascii="Arial" w:cs="Arial" w:eastAsia="Arial" w:hAnsi="Arial"/>
          <w:color w:val="1A2332"/>
          <w:sz w:val="22"/>
          <w:szCs w:val="22"/>
        </w:rPr>
        <w:t xml:space="preserve">For the highest-traffic regions, dedicated free sources supplement Wikidata with more complete brand name coverage: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United States</w:t>
            </w:r>
          </w:p>
        </w:tc>
        <w:tc>
          <w:tcPr>
            <w:tcW w:type="dxa" w:w="35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OpenFDA (brand/generic mapping)</w:t>
            </w:r>
          </w:p>
        </w:tc>
        <w:tc>
          <w:tcPr>
            <w:tcW w:type="dxa" w:w="36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European Union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EMA (European Medicines Agency)</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United Kingdom</w:t>
            </w:r>
          </w:p>
        </w:tc>
        <w:tc>
          <w:tcPr>
            <w:tcW w:type="dxa" w:w="35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NHS dm+d API</w:t>
            </w:r>
          </w:p>
        </w:tc>
        <w:tc>
          <w:tcPr>
            <w:tcW w:type="dxa" w:w="36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India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GitHub: junioralive/Indian-Medicine-Dataset (60,000+ medicines)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open source</w:t>
            </w:r>
          </w:p>
        </w:tc>
      </w:tr>
      <w:tr>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Australia</w:t>
            </w:r>
          </w:p>
        </w:tc>
        <w:tc>
          <w:tcPr>
            <w:tcW w:type="dxa" w:w="35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TGA Public Register</w:t>
            </w:r>
          </w:p>
        </w:tc>
        <w:tc>
          <w:tcPr>
            <w:tcW w:type="dxa" w:w="36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Southeast Asia + all other regions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Wikidata SPARQL (global fallback)</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w:t>
            </w:r>
          </w:p>
        </w:tc>
      </w:tr>
    </w:tbl>
    <w:p>
      <w:pPr>
        <w:spacing w:before="80" w:after="0"/>
      </w:pPr>
      <w:r>
        <w:t xml:space="preserve"/>
      </w:r>
    </w:p>
    <w:p>
      <w:pPr>
        <w:pStyle w:val="Heading2"/>
        <w:spacing w:before="280" w:after="100"/>
      </w:pPr>
      <w:r>
        <w:rPr>
          <w:rFonts w:ascii="Arial" w:cs="Arial" w:eastAsia="Arial" w:hAnsi="Arial"/>
          <w:b/>
          <w:bCs/>
          <w:color w:val="065A82"/>
          <w:sz w:val="26"/>
          <w:szCs w:val="26"/>
        </w:rPr>
        <w:t xml:space="preserve">4.3 Full Data Flow</w:t>
      </w:r>
    </w:p>
    <w:p>
      <w:pPr>
        <w:spacing w:before="60" w:after="100"/>
      </w:pPr>
      <w:r>
        <w:rPr>
          <w:rFonts w:ascii="Arial" w:cs="Arial" w:eastAsia="Arial" w:hAnsi="Arial"/>
          <w:color w:val="1A2332"/>
          <w:sz w:val="22"/>
          <w:szCs w:val="22"/>
        </w:rPr>
        <w:t xml:space="preserve">The complete pipeline from camera tap to information card:</w:t>
      </w:r>
    </w:p>
    <w:p>
      <w:pPr>
        <w:spacing w:before="60" w:after="0"/>
      </w:pPr>
      <w:r>
        <w:t xml:space="preserve"/>
      </w:r>
    </w:p>
    <w:p>
      <w:pPr>
        <w:pStyle w:val="ListParagraph"/>
        <w:numPr>
          <w:ilvl w:val="0"/>
          <w:numId w:val="2"/>
        </w:numPr>
        <w:spacing w:before="40" w:after="40"/>
      </w:pPr>
      <w:r>
        <w:rPr>
          <w:rFonts w:ascii="Arial" w:cs="Arial" w:eastAsia="Arial" w:hAnsi="Arial"/>
          <w:color w:val="1A2332"/>
          <w:sz w:val="22"/>
          <w:szCs w:val="22"/>
        </w:rPr>
        <w:t xml:space="preserve">User taps scan — camera opens</w:t>
      </w:r>
    </w:p>
    <w:p>
      <w:pPr>
        <w:pStyle w:val="ListParagraph"/>
        <w:numPr>
          <w:ilvl w:val="0"/>
          <w:numId w:val="2"/>
        </w:numPr>
        <w:spacing w:before="40" w:after="40"/>
      </w:pPr>
      <w:r>
        <w:rPr>
          <w:rFonts w:ascii="Arial" w:cs="Arial" w:eastAsia="Arial" w:hAnsi="Arial"/>
          <w:color w:val="1A2332"/>
          <w:sz w:val="22"/>
          <w:szCs w:val="22"/>
        </w:rPr>
        <w:t xml:space="preserve">Google ML Kit OCR extracts drug name/active ingredient from label (on-device, free)</w:t>
      </w:r>
    </w:p>
    <w:p>
      <w:pPr>
        <w:pStyle w:val="ListParagraph"/>
        <w:numPr>
          <w:ilvl w:val="0"/>
          <w:numId w:val="2"/>
        </w:numPr>
        <w:spacing w:before="40" w:after="40"/>
      </w:pPr>
      <w:r>
        <w:rPr>
          <w:rFonts w:ascii="Arial" w:cs="Arial" w:eastAsia="Arial" w:hAnsi="Arial"/>
          <w:color w:val="1A2332"/>
          <w:sz w:val="22"/>
          <w:szCs w:val="22"/>
        </w:rPr>
        <w:t xml:space="preserve">If no readable text: NLM RxImage API identifies pill by imprint + shape + colour (free)</w:t>
      </w:r>
    </w:p>
    <w:p>
      <w:pPr>
        <w:pStyle w:val="ListParagraph"/>
        <w:numPr>
          <w:ilvl w:val="0"/>
          <w:numId w:val="2"/>
        </w:numPr>
        <w:spacing w:before="40" w:after="40"/>
      </w:pPr>
      <w:r>
        <w:rPr>
          <w:rFonts w:ascii="Arial" w:cs="Arial" w:eastAsia="Arial" w:hAnsi="Arial"/>
          <w:color w:val="1A2332"/>
          <w:sz w:val="22"/>
          <w:szCs w:val="22"/>
        </w:rPr>
        <w:t xml:space="preserve">If both fail: Gemini Flash Vision API analyses the image (~$0.0001 per call)</w:t>
      </w:r>
    </w:p>
    <w:p>
      <w:pPr>
        <w:pStyle w:val="ListParagraph"/>
        <w:numPr>
          <w:ilvl w:val="0"/>
          <w:numId w:val="2"/>
        </w:numPr>
        <w:spacing w:before="40" w:after="40"/>
      </w:pPr>
      <w:r>
        <w:rPr>
          <w:rFonts w:ascii="Arial" w:cs="Arial" w:eastAsia="Arial" w:hAnsi="Arial"/>
          <w:color w:val="1A2332"/>
          <w:sz w:val="22"/>
          <w:szCs w:val="22"/>
        </w:rPr>
        <w:t xml:space="preserve">Identified generic name is queried against PubChem → returns compound ID + basic info</w:t>
      </w:r>
    </w:p>
    <w:p>
      <w:pPr>
        <w:pStyle w:val="ListParagraph"/>
        <w:numPr>
          <w:ilvl w:val="0"/>
          <w:numId w:val="2"/>
        </w:numPr>
        <w:spacing w:before="40" w:after="40"/>
      </w:pPr>
      <w:r>
        <w:rPr>
          <w:rFonts w:ascii="Arial" w:cs="Arial" w:eastAsia="Arial" w:hAnsi="Arial"/>
          <w:color w:val="1A2332"/>
          <w:sz w:val="22"/>
          <w:szCs w:val="22"/>
        </w:rPr>
        <w:t xml:space="preserve">Same name queried against ChEMBL → returns indications + side effects</w:t>
      </w:r>
    </w:p>
    <w:p>
      <w:pPr>
        <w:pStyle w:val="ListParagraph"/>
        <w:numPr>
          <w:ilvl w:val="0"/>
          <w:numId w:val="2"/>
        </w:numPr>
        <w:spacing w:before="40" w:after="40"/>
      </w:pPr>
      <w:r>
        <w:rPr>
          <w:rFonts w:ascii="Arial" w:cs="Arial" w:eastAsia="Arial" w:hAnsi="Arial"/>
          <w:color w:val="1A2332"/>
          <w:sz w:val="22"/>
          <w:szCs w:val="22"/>
        </w:rPr>
        <w:t xml:space="preserve">Device locale detected (e.g. en-MY) → region mapped to country code (e.g. MY)</w:t>
      </w:r>
    </w:p>
    <w:p>
      <w:pPr>
        <w:pStyle w:val="ListParagraph"/>
        <w:numPr>
          <w:ilvl w:val="0"/>
          <w:numId w:val="2"/>
        </w:numPr>
        <w:spacing w:before="40" w:after="40"/>
      </w:pPr>
      <w:r>
        <w:rPr>
          <w:rFonts w:ascii="Arial" w:cs="Arial" w:eastAsia="Arial" w:hAnsi="Arial"/>
          <w:color w:val="1A2332"/>
          <w:sz w:val="22"/>
          <w:szCs w:val="22"/>
        </w:rPr>
        <w:t xml:space="preserve">Wikidata SPARQL queried for brand names by country → local brand name highlighted</w:t>
      </w:r>
    </w:p>
    <w:p>
      <w:pPr>
        <w:pStyle w:val="ListParagraph"/>
        <w:numPr>
          <w:ilvl w:val="0"/>
          <w:numId w:val="2"/>
        </w:numPr>
        <w:spacing w:before="40" w:after="40"/>
      </w:pPr>
      <w:r>
        <w:rPr>
          <w:rFonts w:ascii="Arial" w:cs="Arial" w:eastAsia="Arial" w:hAnsi="Arial"/>
          <w:color w:val="1A2332"/>
          <w:sz w:val="22"/>
          <w:szCs w:val="22"/>
        </w:rPr>
        <w:t xml:space="preserve">Regional source queried if country has dedicated database (US, EU, UK, IN, AU)</w:t>
      </w:r>
    </w:p>
    <w:p>
      <w:pPr>
        <w:pStyle w:val="ListParagraph"/>
        <w:numPr>
          <w:ilvl w:val="0"/>
          <w:numId w:val="2"/>
        </w:numPr>
        <w:spacing w:before="40" w:after="40"/>
      </w:pPr>
      <w:r>
        <w:rPr>
          <w:rFonts w:ascii="Arial" w:cs="Arial" w:eastAsia="Arial" w:hAnsi="Arial"/>
          <w:color w:val="1A2332"/>
          <w:sz w:val="22"/>
          <w:szCs w:val="22"/>
        </w:rPr>
        <w:t xml:space="preserve">All results merged into a single Drug Info Card and displayed to the user</w:t>
      </w:r>
    </w:p>
    <w:p>
      <w:pPr>
        <w:spacing w:before="120" w:after="0"/>
      </w:pPr>
      <w:r>
        <w:t xml:space="preserve"/>
      </w:r>
    </w:p>
    <w:p>
      <w:r>
        <w:br w:type="page"/>
      </w:r>
    </w:p>
    <w:p>
      <w:pPr>
        <w:pStyle w:val="Heading1"/>
        <w:spacing w:before="360" w:after="120"/>
      </w:pPr>
      <w:r>
        <w:rPr>
          <w:rFonts w:ascii="Arial" w:cs="Arial" w:eastAsia="Arial" w:hAnsi="Arial"/>
          <w:b/>
          <w:bCs/>
          <w:color w:val="065A82"/>
          <w:sz w:val="32"/>
          <w:szCs w:val="32"/>
        </w:rPr>
        <w:t xml:space="preserve">5. Build Phases &amp; Timeline</w:t>
      </w:r>
    </w:p>
    <w:p>
      <w:pPr>
        <w:pBdr>
          <w:bottom w:val="single" w:color="065A82" w:sz="8" w:space="1"/>
        </w:pBdr>
        <w:spacing w:before="120" w:after="12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Phase 1 — Core Scanner</w:t>
            </w:r>
          </w:p>
        </w:tc>
        <w:tc>
          <w:tcPr>
            <w:tcW w:type="dxa" w:w="1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Weeks 1–4</w:t>
            </w:r>
          </w:p>
        </w:tc>
        <w:tc>
          <w:tcPr>
            <w:tcW w:type="dxa" w:w="61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Expo project setup, camera + ML Kit OCR, PubChem + ChEMBL query, basic Drug Info Card UI, medical disclaimer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Phase 2 — Brand Names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Weeks 5–6</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Wikidata SPARQL integration, device locale detection, regional source connectors (US/EU/UK/IN/AU), local brand name display</w:t>
            </w:r>
          </w:p>
        </w:tc>
      </w:tr>
      <w:tr>
        <w:tc>
          <w:tcPr>
            <w:tcW w:type="dxa" w:w="1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Phase 3 — Scheduler</w:t>
            </w:r>
          </w:p>
        </w:tc>
        <w:tc>
          <w:tcPr>
            <w:tcW w:type="dxa" w:w="1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Weeks 7–9</w:t>
            </w:r>
          </w:p>
        </w:tc>
        <w:tc>
          <w:tcPr>
            <w:tcW w:type="dxa" w:w="61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Medication schedule UI, dose frequency settings, local push notifications (Expo Notifications), dose history log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Phase 4 — Accounts + Sync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Weeks 10–11</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Supabase auth, cloud sync of medicine cabinet + schedule, multi-device access</w:t>
            </w:r>
          </w:p>
        </w:tc>
      </w:tr>
      <w:tr>
        <w:tc>
          <w:tcPr>
            <w:tcW w:type="dxa" w:w="18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Phase 5 — Polish + Launch</w:t>
            </w:r>
          </w:p>
        </w:tc>
        <w:tc>
          <w:tcPr>
            <w:tcW w:type="dxa" w:w="14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Weeks 12–13</w:t>
            </w:r>
          </w:p>
        </w:tc>
        <w:tc>
          <w:tcPr>
            <w:tcW w:type="dxa" w:w="61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Onboarding flow, App Store + Google Play submission, TestFlight/beta, first production release</w:t>
            </w:r>
          </w:p>
        </w:tc>
      </w:tr>
    </w:tbl>
    <w:p>
      <w:pPr>
        <w:spacing w:before="80" w:after="0"/>
      </w:pPr>
      <w:r>
        <w:t xml:space="preserve"/>
      </w:r>
    </w:p>
    <w:p>
      <w:pPr>
        <w:spacing w:before="60" w:after="100"/>
      </w:pPr>
      <w:r>
        <w:rPr>
          <w:rFonts w:ascii="Arial" w:cs="Arial" w:eastAsia="Arial" w:hAnsi="Arial"/>
          <w:color w:val="1A2332"/>
          <w:sz w:val="22"/>
          <w:szCs w:val="22"/>
        </w:rPr>
        <w:t xml:space="preserve">Total estimated timeline to launch: 13 weeks from start of development.</w:t>
      </w:r>
    </w:p>
    <w:p>
      <w:pPr>
        <w:spacing w:before="120" w:after="0"/>
      </w:pPr>
      <w:r>
        <w:t xml:space="preserve"/>
      </w:r>
    </w:p>
    <w:p>
      <w:pPr>
        <w:pStyle w:val="Heading1"/>
        <w:spacing w:before="360" w:after="120"/>
      </w:pPr>
      <w:r>
        <w:rPr>
          <w:rFonts w:ascii="Arial" w:cs="Arial" w:eastAsia="Arial" w:hAnsi="Arial"/>
          <w:b/>
          <w:bCs/>
          <w:color w:val="065A82"/>
          <w:sz w:val="32"/>
          <w:szCs w:val="32"/>
        </w:rPr>
        <w:t xml:space="preserve">6. Cost Breakdown</w:t>
      </w:r>
    </w:p>
    <w:p>
      <w:pPr>
        <w:pBdr>
          <w:bottom w:val="single" w:color="065A82" w:sz="8" w:space="1"/>
        </w:pBdr>
        <w:spacing w:before="120" w:after="120"/>
      </w:pPr>
      <w:r>
        <w:t xml:space="preserve"/>
      </w:r>
    </w:p>
    <w:p>
      <w:pPr>
        <w:pStyle w:val="Heading2"/>
        <w:spacing w:before="280" w:after="100"/>
      </w:pPr>
      <w:r>
        <w:rPr>
          <w:rFonts w:ascii="Arial" w:cs="Arial" w:eastAsia="Arial" w:hAnsi="Arial"/>
          <w:b/>
          <w:bCs/>
          <w:color w:val="065A82"/>
          <w:sz w:val="26"/>
          <w:szCs w:val="26"/>
        </w:rPr>
        <w:t xml:space="preserve">6.1 Monthly Running Costs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6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PubChem API</w:t>
            </w:r>
          </w:p>
        </w:tc>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no rate limit for fair use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ChEMBL API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 open access</w:t>
            </w:r>
          </w:p>
        </w:tc>
      </w:tr>
      <w:tr>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Wikidata SPARQL</w:t>
            </w:r>
          </w:p>
        </w:tc>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open license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NLM RxImage API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Google ML Kit (OCR)</w:t>
            </w:r>
          </w:p>
        </w:tc>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on-device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Gemini Flash (AI fallback)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~$0 – $5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Only for unreadable labels; ~$0.0001/call</w:t>
            </w:r>
          </w:p>
        </w:tc>
      </w:tr>
      <w:tr>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Supabase</w:t>
            </w:r>
          </w:p>
        </w:tc>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Free up to 50,000 MAU, 500 MB DB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Expo Notifications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Free</w:t>
            </w:r>
          </w:p>
        </w:tc>
      </w:tr>
      <w:tr>
        <w:tc>
          <w:tcPr>
            <w:tcW w:type="dxa" w:w="3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Total at launch</w:t>
            </w:r>
          </w:p>
        </w:tc>
        <w:tc>
          <w:tcPr>
            <w:tcW w:type="dxa" w:w="22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$0 – $5 / month</w:t>
            </w:r>
          </w:p>
        </w:tc>
        <w:tc>
          <w:tcPr>
            <w:tcW w:type="dxa" w:w="396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Scales only when you scale</w:t>
            </w:r>
          </w:p>
        </w:tc>
      </w:tr>
    </w:tbl>
    <w:p>
      <w:pPr>
        <w:spacing w:before="80" w:after="0"/>
      </w:pPr>
      <w:r>
        <w:t xml:space="preserve"/>
      </w:r>
    </w:p>
    <w:p>
      <w:pPr>
        <w:pStyle w:val="Heading2"/>
        <w:spacing w:before="280" w:after="100"/>
      </w:pPr>
      <w:r>
        <w:rPr>
          <w:rFonts w:ascii="Arial" w:cs="Arial" w:eastAsia="Arial" w:hAnsi="Arial"/>
          <w:b/>
          <w:bCs/>
          <w:color w:val="065A82"/>
          <w:sz w:val="26"/>
          <w:szCs w:val="26"/>
        </w:rPr>
        <w:t xml:space="preserve">6.2 One-Time Costs</w:t>
      </w:r>
    </w:p>
    <w:p>
      <w:pPr>
        <w:pStyle w:val="ListParagraph"/>
        <w:numPr>
          <w:ilvl w:val="0"/>
          <w:numId w:val="2"/>
        </w:numPr>
        <w:spacing w:before="40" w:after="40"/>
      </w:pPr>
      <w:r>
        <w:rPr>
          <w:rFonts w:ascii="Arial" w:cs="Arial" w:eastAsia="Arial" w:hAnsi="Arial"/>
          <w:color w:val="1A2332"/>
          <w:sz w:val="22"/>
          <w:szCs w:val="22"/>
        </w:rPr>
        <w:t xml:space="preserve">Apple Developer Program: $99 / year (required for App Store)</w:t>
      </w:r>
    </w:p>
    <w:p>
      <w:pPr>
        <w:pStyle w:val="ListParagraph"/>
        <w:numPr>
          <w:ilvl w:val="0"/>
          <w:numId w:val="2"/>
        </w:numPr>
        <w:spacing w:before="40" w:after="40"/>
      </w:pPr>
      <w:r>
        <w:rPr>
          <w:rFonts w:ascii="Arial" w:cs="Arial" w:eastAsia="Arial" w:hAnsi="Arial"/>
          <w:color w:val="1A2332"/>
          <w:sz w:val="22"/>
          <w:szCs w:val="22"/>
        </w:rPr>
        <w:t xml:space="preserve">Google Play Developer Account: $25 one-time</w:t>
      </w:r>
    </w:p>
    <w:p>
      <w:pPr>
        <w:spacing w:before="80" w:after="0"/>
      </w:pPr>
      <w:r>
        <w:t xml:space="preserve"/>
      </w:r>
    </w:p>
    <w:p>
      <w:pPr>
        <w:pStyle w:val="Heading2"/>
        <w:spacing w:before="280" w:after="100"/>
      </w:pPr>
      <w:r>
        <w:rPr>
          <w:rFonts w:ascii="Arial" w:cs="Arial" w:eastAsia="Arial" w:hAnsi="Arial"/>
          <w:b/>
          <w:bCs/>
          <w:color w:val="065A82"/>
          <w:sz w:val="26"/>
          <w:szCs w:val="26"/>
        </w:rPr>
        <w:t xml:space="preserve">6.3 When Costs Increase</w:t>
      </w:r>
    </w:p>
    <w:p>
      <w:pPr>
        <w:spacing w:before="60" w:after="100"/>
      </w:pPr>
      <w:r>
        <w:rPr>
          <w:rFonts w:ascii="Arial" w:cs="Arial" w:eastAsia="Arial" w:hAnsi="Arial"/>
          <w:color w:val="1A2332"/>
          <w:sz w:val="22"/>
          <w:szCs w:val="22"/>
        </w:rPr>
        <w:t xml:space="preserve">The Gemini Flash fallback is the only variable cost. At 10,000 daily active users each scanning once per day with a 10% fallback rate (i.e. 1,000 AI calls/day), the monthly cost is approximately $3. The stack remains effectively free well into the tens of thousands of users.</w:t>
      </w:r>
    </w:p>
    <w:p>
      <w:pPr>
        <w:spacing w:before="60" w:after="100"/>
      </w:pPr>
      <w:r>
        <w:rPr>
          <w:rFonts w:ascii="Arial" w:cs="Arial" w:eastAsia="Arial" w:hAnsi="Arial"/>
          <w:color w:val="1A2332"/>
          <w:sz w:val="22"/>
          <w:szCs w:val="22"/>
        </w:rPr>
        <w:t xml:space="preserve">Supabase’s free tier covers 50,000 monthly active users. Above that, the Pro plan starts at $25/month — a sign that the app is already generating meaningful traction.</w:t>
      </w:r>
    </w:p>
    <w:p>
      <w:pPr>
        <w:spacing w:before="120" w:after="0"/>
      </w:pPr>
      <w:r>
        <w:t xml:space="preserve"/>
      </w:r>
    </w:p>
    <w:p>
      <w:r>
        <w:br w:type="page"/>
      </w:r>
    </w:p>
    <w:p>
      <w:pPr>
        <w:pStyle w:val="Heading1"/>
        <w:spacing w:before="360" w:after="120"/>
      </w:pPr>
      <w:r>
        <w:rPr>
          <w:rFonts w:ascii="Arial" w:cs="Arial" w:eastAsia="Arial" w:hAnsi="Arial"/>
          <w:b/>
          <w:bCs/>
          <w:color w:val="065A82"/>
          <w:sz w:val="32"/>
          <w:szCs w:val="32"/>
        </w:rPr>
        <w:t xml:space="preserve">7. Risks &amp; Mitigations</w:t>
      </w:r>
    </w:p>
    <w:p>
      <w:pPr>
        <w:pBdr>
          <w:bottom w:val="single" w:color="065A82" w:sz="8" w:space="1"/>
        </w:pBdr>
        <w:spacing w:before="120" w:after="12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2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0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60"/>
            <w:tcBorders>
              <w:top w:val="single" w:color="065A82" w:sz="1"/>
              <w:left w:val="single" w:color="065A82" w:sz="1"/>
              <w:bottom w:val="single" w:color="065A82" w:sz="1"/>
              <w:right w:val="single" w:color="065A82"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OCR fails on damaged/unusual packaging</w:t>
            </w:r>
          </w:p>
        </w:tc>
        <w:tc>
          <w:tcPr>
            <w:tcW w:type="dxa" w:w="32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Medicine not identified</w:t>
            </w:r>
          </w:p>
        </w:tc>
        <w:tc>
          <w:tcPr>
            <w:tcW w:type="dxa" w:w="34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Fallback to NLM RxImage (pill ID) then Gemini Flash Vision, then manual search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Drug not found in PubChem/ChEMBL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No info card shown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Wikidata fallback + graceful “not found” message with manual name entry</w:t>
            </w:r>
          </w:p>
        </w:tc>
      </w:tr>
      <w:tr>
        <w:tc>
          <w:tcPr>
            <w:tcW w:type="dxa" w:w="26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Brand name missing for user’s country in Wikidata</w:t>
            </w:r>
          </w:p>
        </w:tc>
        <w:tc>
          <w:tcPr>
            <w:tcW w:type="dxa" w:w="32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Generic name only shown</w:t>
            </w:r>
          </w:p>
        </w:tc>
        <w:tc>
          <w:tcPr>
            <w:tcW w:type="dxa" w:w="34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Show generic name with note: “Brand name may vary in your region”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Medical accuracy liability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Legal / trust risk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Prominent disclaimer on every card; frame as reference tool, not diagnostic tool</w:t>
            </w:r>
          </w:p>
        </w:tc>
      </w:tr>
      <w:tr>
        <w:tc>
          <w:tcPr>
            <w:tcW w:type="dxa" w:w="26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App Store rejection (medical app)</w:t>
            </w:r>
          </w:p>
        </w:tc>
        <w:tc>
          <w:tcPr>
            <w:tcW w:type="dxa" w:w="32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Launch delay</w:t>
            </w:r>
          </w:p>
        </w:tc>
        <w:tc>
          <w:tcPr>
            <w:tcW w:type="dxa" w:w="34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Follow Apple’s medical app guidelines strictly; do not claim diagnosis or treatment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iOS notification restrictions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Reminders not delivered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2332"/>
                <w:sz w:val="20"/>
                <w:szCs w:val="20"/>
              </w:rPr>
              <w:t xml:space="preserve">Test on real devices; use Expo’s critical alert entitlement for medication reminders</w:t>
            </w:r>
          </w:p>
        </w:tc>
      </w:tr>
      <w:tr>
        <w:tc>
          <w:tcPr>
            <w:tcW w:type="dxa" w:w="260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Wikidata data quality varies</w:t>
            </w:r>
          </w:p>
        </w:tc>
        <w:tc>
          <w:tcPr>
            <w:tcW w:type="dxa" w:w="32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Incomplete brand name list</w:t>
            </w:r>
          </w:p>
        </w:tc>
        <w:tc>
          <w:tcPr>
            <w:tcW w:type="dxa" w:w="3480"/>
            <w:tcBorders>
              <w:top w:val="single" w:color="CCCCCC" w:sz="1"/>
              <w:left w:val="single" w:color="CCCCCC" w:sz="1"/>
              <w:bottom w:val="single" w:color="CCCCCC" w:sz="1"/>
              <w:right w:val="single" w:color="CCCCCC" w:sz="1"/>
            </w:tcBorders>
            <w:shd w:fill="EBF5FA" w:val="clear"/>
            <w:tcMar>
              <w:top w:type="dxa" w:w="70"/>
              <w:left w:type="dxa" w:w="120"/>
              <w:bottom w:type="dxa" w:w="70"/>
              <w:right w:type="dxa" w:w="120"/>
            </w:tcMar>
          </w:tcPr>
          <w:p>
            <w:r>
              <w:rPr>
                <w:rFonts w:ascii="Arial" w:cs="Arial" w:eastAsia="Arial" w:hAnsi="Arial"/>
                <w:color w:val="1A2332"/>
                <w:sz w:val="20"/>
                <w:szCs w:val="20"/>
              </w:rPr>
              <w:t xml:space="preserve">Cross-check with regional sources; clearly label data source for transparency</w:t>
            </w:r>
          </w:p>
        </w:tc>
      </w:tr>
    </w:tbl>
    <w:p>
      <w:pPr>
        <w:spacing w:before="120" w:after="0"/>
      </w:pPr>
      <w:r>
        <w:t xml:space="preserve"/>
      </w:r>
    </w:p>
    <w:p>
      <w:pPr>
        <w:pStyle w:val="Heading1"/>
        <w:spacing w:before="360" w:after="120"/>
      </w:pPr>
      <w:r>
        <w:rPr>
          <w:rFonts w:ascii="Arial" w:cs="Arial" w:eastAsia="Arial" w:hAnsi="Arial"/>
          <w:b/>
          <w:bCs/>
          <w:color w:val="065A82"/>
          <w:sz w:val="32"/>
          <w:szCs w:val="32"/>
        </w:rPr>
        <w:t xml:space="preserve">8. Future Features (Post-Launch)</w:t>
      </w:r>
    </w:p>
    <w:p>
      <w:pPr>
        <w:pBdr>
          <w:bottom w:val="single" w:color="065A82" w:sz="8" w:space="1"/>
        </w:pBdr>
        <w:spacing w:before="120" w:after="120"/>
      </w:pPr>
      <w:r>
        <w:t xml:space="preserve"/>
      </w:r>
    </w:p>
    <w:p>
      <w:pPr>
        <w:pStyle w:val="ListParagraph"/>
        <w:numPr>
          <w:ilvl w:val="0"/>
          <w:numId w:val="2"/>
        </w:numPr>
        <w:spacing w:before="40" w:after="40"/>
      </w:pPr>
      <w:r>
        <w:rPr>
          <w:rFonts w:ascii="Arial" w:cs="Arial" w:eastAsia="Arial" w:hAnsi="Arial"/>
          <w:color w:val="1A2332"/>
          <w:sz w:val="22"/>
          <w:szCs w:val="22"/>
        </w:rPr>
        <w:t xml:space="preserve">Caregiver mode: share a medication schedule with a family member or carer</w:t>
      </w:r>
    </w:p>
    <w:p>
      <w:pPr>
        <w:pStyle w:val="ListParagraph"/>
        <w:numPr>
          <w:ilvl w:val="0"/>
          <w:numId w:val="2"/>
        </w:numPr>
        <w:spacing w:before="40" w:after="40"/>
      </w:pPr>
      <w:r>
        <w:rPr>
          <w:rFonts w:ascii="Arial" w:cs="Arial" w:eastAsia="Arial" w:hAnsi="Arial"/>
          <w:color w:val="1A2332"/>
          <w:sz w:val="22"/>
          <w:szCs w:val="22"/>
        </w:rPr>
        <w:t xml:space="preserve">Drug interaction checker: flag conflicts between two medicines in the user’s cabinet</w:t>
      </w:r>
    </w:p>
    <w:p>
      <w:pPr>
        <w:pStyle w:val="ListParagraph"/>
        <w:numPr>
          <w:ilvl w:val="0"/>
          <w:numId w:val="2"/>
        </w:numPr>
        <w:spacing w:before="40" w:after="40"/>
      </w:pPr>
      <w:r>
        <w:rPr>
          <w:rFonts w:ascii="Arial" w:cs="Arial" w:eastAsia="Arial" w:hAnsi="Arial"/>
          <w:color w:val="1A2332"/>
          <w:sz w:val="22"/>
          <w:szCs w:val="22"/>
        </w:rPr>
        <w:t xml:space="preserve">Refill reminders: alert the user when a medicine supply is running low</w:t>
      </w:r>
    </w:p>
    <w:p>
      <w:pPr>
        <w:pStyle w:val="ListParagraph"/>
        <w:numPr>
          <w:ilvl w:val="0"/>
          <w:numId w:val="2"/>
        </w:numPr>
        <w:spacing w:before="40" w:after="40"/>
      </w:pPr>
      <w:r>
        <w:rPr>
          <w:rFonts w:ascii="Arial" w:cs="Arial" w:eastAsia="Arial" w:hAnsi="Arial"/>
          <w:color w:val="1A2332"/>
          <w:sz w:val="22"/>
          <w:szCs w:val="22"/>
        </w:rPr>
        <w:t xml:space="preserve">Multi-language UI: localise the app interface (start with Malay, Hindi, Spanish)</w:t>
      </w:r>
    </w:p>
    <w:p>
      <w:pPr>
        <w:pStyle w:val="ListParagraph"/>
        <w:numPr>
          <w:ilvl w:val="0"/>
          <w:numId w:val="2"/>
        </w:numPr>
        <w:spacing w:before="40" w:after="40"/>
      </w:pPr>
      <w:r>
        <w:rPr>
          <w:rFonts w:ascii="Arial" w:cs="Arial" w:eastAsia="Arial" w:hAnsi="Arial"/>
          <w:color w:val="1A2332"/>
          <w:sz w:val="22"/>
          <w:szCs w:val="22"/>
        </w:rPr>
        <w:t xml:space="preserve">Barcode scan: read EAN/UPC barcodes on packaging for faster identification</w:t>
      </w:r>
    </w:p>
    <w:p>
      <w:pPr>
        <w:pStyle w:val="ListParagraph"/>
        <w:numPr>
          <w:ilvl w:val="0"/>
          <w:numId w:val="2"/>
        </w:numPr>
        <w:spacing w:before="40" w:after="40"/>
      </w:pPr>
      <w:r>
        <w:rPr>
          <w:rFonts w:ascii="Arial" w:cs="Arial" w:eastAsia="Arial" w:hAnsi="Arial"/>
          <w:color w:val="1A2332"/>
          <w:sz w:val="22"/>
          <w:szCs w:val="22"/>
        </w:rPr>
        <w:t xml:space="preserve">Export to PDF: generate a medication list for a doctor’s appointment</w:t>
      </w:r>
    </w:p>
    <w:p>
      <w:pPr>
        <w:pStyle w:val="ListParagraph"/>
        <w:numPr>
          <w:ilvl w:val="0"/>
          <w:numId w:val="2"/>
        </w:numPr>
        <w:spacing w:before="40" w:after="40"/>
      </w:pPr>
      <w:r>
        <w:rPr>
          <w:rFonts w:ascii="Arial" w:cs="Arial" w:eastAsia="Arial" w:hAnsi="Arial"/>
          <w:color w:val="1A2332"/>
          <w:sz w:val="22"/>
          <w:szCs w:val="22"/>
        </w:rPr>
        <w:t xml:space="preserve">Wearable integration: sync reminders to Apple Watch / WearOS</w:t>
      </w:r>
    </w:p>
    <w:p>
      <w:pPr>
        <w:spacing w:before="120" w:after="0"/>
      </w:pPr>
      <w:r>
        <w:t xml:space="preserve"/>
      </w:r>
    </w:p>
    <w:p>
      <w:pPr>
        <w:pStyle w:val="Heading1"/>
        <w:spacing w:before="360" w:after="120"/>
      </w:pPr>
      <w:r>
        <w:rPr>
          <w:rFonts w:ascii="Arial" w:cs="Arial" w:eastAsia="Arial" w:hAnsi="Arial"/>
          <w:b/>
          <w:bCs/>
          <w:color w:val="065A82"/>
          <w:sz w:val="32"/>
          <w:szCs w:val="32"/>
        </w:rPr>
        <w:t xml:space="preserve">9. Legal &amp; Medical Disclaimer</w:t>
      </w:r>
    </w:p>
    <w:p>
      <w:pPr>
        <w:pBdr>
          <w:bottom w:val="single" w:color="065A82" w:sz="8" w:space="1"/>
        </w:pBdr>
        <w:spacing w:before="120" w:after="120"/>
      </w:pPr>
      <w:r>
        <w:t xml:space="preserve"/>
      </w:r>
    </w:p>
    <w:p>
      <w:pPr>
        <w:spacing w:before="60" w:after="100"/>
      </w:pPr>
      <w:r>
        <w:rPr>
          <w:rFonts w:ascii="Arial" w:cs="Arial" w:eastAsia="Arial" w:hAnsi="Arial"/>
          <w:color w:val="1A2332"/>
          <w:sz w:val="22"/>
          <w:szCs w:val="22"/>
        </w:rPr>
        <w:t xml:space="preserve">MediScan is an information tool only. It is not a medical device, does not provide diagnoses, and does not constitute medical advice. All drug information displayed in the app is sourced from publicly available databases and is provided for general reference purposes. Users should always consult a qualified healthcare professional before making any medication-related decisions.</w:t>
      </w:r>
    </w:p>
    <w:p>
      <w:pPr>
        <w:spacing w:before="60" w:after="0"/>
      </w:pPr>
      <w:r>
        <w:t xml:space="preserve"/>
      </w:r>
    </w:p>
    <w:p>
      <w:pPr>
        <w:spacing w:before="60" w:after="100"/>
      </w:pPr>
      <w:r>
        <w:rPr>
          <w:rFonts w:ascii="Arial" w:cs="Arial" w:eastAsia="Arial" w:hAnsi="Arial"/>
          <w:color w:val="1A2332"/>
          <w:sz w:val="22"/>
          <w:szCs w:val="22"/>
        </w:rPr>
        <w:t xml:space="preserve">The app must comply with applicable data protection regulations in each target market, including GDPR (EU), PDPA (Malaysia/Thailand), and HIPAA (if US health data is stored). Health data stored on device or in Supabase must be encrypted at rest.</w:t>
      </w:r>
    </w:p>
    <w:p>
      <w:pPr>
        <w:spacing w:before="120" w:after="0"/>
      </w:pPr>
      <w:r>
        <w:t xml:space="preserve"/>
      </w:r>
    </w:p>
    <w:p>
      <w:pPr>
        <w:spacing w:before="240" w:after="0"/>
      </w:pPr>
      <w:r>
        <w:t xml:space="preserve"/>
      </w:r>
    </w:p>
    <w:p>
      <w:pPr>
        <w:jc w:val="center"/>
      </w:pPr>
      <w:r>
        <w:rPr>
          <w:rFonts w:ascii="Arial" w:cs="Arial" w:eastAsia="Arial" w:hAnsi="Arial"/>
          <w:i/>
          <w:iCs/>
          <w:color w:val="64748B"/>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A82" w:sz="4" w:space="1"/>
      </w:pBdr>
      <w:tabs>
        <w:tab w:val="right" w:pos="9360"/>
      </w:tabs>
    </w:pPr>
    <w:r>
      <w:rPr>
        <w:rFonts w:ascii="Arial" w:cs="Arial" w:eastAsia="Arial" w:hAnsi="Arial"/>
        <w:color w:val="64748B"/>
        <w:sz w:val="18"/>
        <w:szCs w:val="18"/>
      </w:rPr>
      <w:t xml:space="preserve">MediScan Product Spec  v1.0  ·  March 2026</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6" w:space="1"/>
      </w:pBdr>
      <w:tabs>
        <w:tab w:val="right" w:pos="9360"/>
      </w:tabs>
    </w:pPr>
    <w:r>
      <w:rPr>
        <w:rFonts w:ascii="Arial" w:cs="Arial" w:eastAsia="Arial" w:hAnsi="Arial"/>
        <w:color w:val="64748B"/>
        <w:sz w:val="18"/>
        <w:szCs w:val="18"/>
      </w:rPr>
      <w:t xml:space="preserve">MediScan  —  Product Specification</w:t>
    </w:r>
    <w:r>
      <w:rPr>
        <w:rFonts w:ascii="Arial" w:cs="Arial" w:eastAsia="Arial" w:hAnsi="Arial"/>
        <w:b/>
        <w:bCs/>
        <w:color w:val="B85042"/>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65A8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65A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12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2026-03-19T04:04:10.293Z</dcterms:created>
  <dcterms:modified xsi:type="dcterms:W3CDTF">2026-03-19T04:04:10.294Z</dcterms:modified>
</cp:coreProperties>
</file>

<file path=docProps/custom.xml><?xml version="1.0" encoding="utf-8"?>
<Properties xmlns="http://schemas.openxmlformats.org/officeDocument/2006/custom-properties" xmlns:vt="http://schemas.openxmlformats.org/officeDocument/2006/docPropsVTypes"/>
</file>