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отчёт-по-лабораторной-работе"/>
    <w:p>
      <w:pPr>
        <w:pStyle w:val="Heading1"/>
        <w:jc w:val="center"/>
      </w:pPr>
      <w:r>
        <w:t xml:space="preserve">Отчёт по лабораторной работе</w:t>
      </w:r>
    </w:p>
    <w:p>
      <w:pPr>
        <w:pStyle w:val="FirstParagraph"/>
        <w:jc w:val="left"/>
      </w:pPr>
      <w:r>
        <w:rPr>
          <w:b/>
          <w:bCs/>
        </w:rPr>
        <w:t xml:space="preserve">ФИО:</w:t>
      </w:r>
      <w:r>
        <w:t xml:space="preserve"> </w:t>
      </w:r>
      <w:r>
        <w:t xml:space="preserve">____________________</w:t>
      </w:r>
    </w:p>
    <w:p>
      <w:pPr>
        <w:pStyle w:val="BodyText"/>
        <w:jc w:val="left"/>
      </w:pPr>
      <w:r>
        <w:rPr>
          <w:b/>
          <w:bCs/>
        </w:rPr>
        <w:t xml:space="preserve">Неделя / Лаба:</w:t>
      </w:r>
      <w:r>
        <w:t xml:space="preserve"> </w:t>
      </w:r>
      <w:r>
        <w:t xml:space="preserve">Практика: пункт 3 (подготовка к интеграции с ФГИС «Меркурий»)</w:t>
      </w:r>
    </w:p>
    <w:p>
      <w:pPr>
        <w:pStyle w:val="BodyText"/>
        <w:jc w:val="left"/>
      </w:pPr>
      <w:r>
        <w:rPr>
          <w:b/>
          <w:bCs/>
        </w:rPr>
        <w:t xml:space="preserve">Цель работы:</w:t>
      </w:r>
      <w:r>
        <w:t xml:space="preserve"> </w:t>
      </w:r>
      <w:r>
        <w:t xml:space="preserve">Изучить, как модуль интеграции kb99 «ВетИС для 1С» (подсистема «кб99 ВСД») устанавливается в 1С:Предприятие 8.3 и какие параметры нужно заполнить для обмена с «Меркурием». Оценить, что потребуется для подключения конфигурации «Мини-Склад».</w:t>
      </w:r>
    </w:p>
    <w:p>
      <w:pPr>
        <w:pStyle w:val="BodyText"/>
        <w:ind w:firstLine="709"/>
        <w:jc w:val="both"/>
      </w:pPr>
      <w:r>
        <w:t xml:space="preserve">Источники: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Установка в 1С: Предприятие 8.3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Настройка параметров</w:t>
        </w:r>
      </w:hyperlink>
      <w:r>
        <w:t xml:space="preserve"> </w:t>
      </w:r>
      <w:r>
        <w:t xml:space="preserve">и шесть вложенных страниц: «Подключение», «Параметры по умолчанию», «Документы», «Производство», «Инициализация», «Сервис».</w:t>
      </w:r>
    </w:p>
    <w:bookmarkStart w:id="14" w:name="шаги-воспроизведения"/>
    <w:p>
      <w:pPr>
        <w:pStyle w:val="Heading2"/>
      </w:pPr>
      <w:r>
        <w:t xml:space="preserve">Шаги воспроизведения</w:t>
      </w:r>
    </w:p>
    <w:bookmarkStart w:id="11" w:name="Xfc76935c79236085739f3a13862b64e1191b400"/>
    <w:p>
      <w:pPr>
        <w:pStyle w:val="Heading3"/>
      </w:pPr>
      <w:r>
        <w:t xml:space="preserve">А. Установка модуля интеграции (объединение конфигураций)</w:t>
      </w:r>
    </w:p>
    <w:p>
      <w:pPr>
        <w:pStyle w:val="FirstParagraph"/>
        <w:ind w:firstLine="709"/>
        <w:jc w:val="both"/>
      </w:pPr>
      <w:r>
        <w:t xml:space="preserve">Требования:</w:t>
      </w:r>
    </w:p>
    <w:p>
      <w:pPr>
        <w:pStyle w:val="Compact"/>
        <w:numPr>
          <w:ilvl w:val="0"/>
          <w:numId w:val="1002"/>
        </w:numPr>
      </w:pPr>
      <w:r>
        <w:t xml:space="preserve">Конфигурация на управляемых формах. Модуль ставится в неё как отдельная подсистема.</w:t>
      </w:r>
    </w:p>
    <w:p>
      <w:pPr>
        <w:pStyle w:val="Compact"/>
        <w:numPr>
          <w:ilvl w:val="0"/>
          <w:numId w:val="1002"/>
        </w:numPr>
      </w:pPr>
      <w:r>
        <w:t xml:space="preserve">Рекомендуемая платформа 8.3.14 и выше. У нас 8.3.27, подходит.</w:t>
      </w:r>
    </w:p>
    <w:p>
      <w:pPr>
        <w:pStyle w:val="FirstParagraph"/>
        <w:ind w:firstLine="709"/>
        <w:jc w:val="both"/>
      </w:pPr>
      <w:r>
        <w:t xml:space="preserve">Варианты использования: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Отдельная база</w:t>
      </w:r>
      <w:r>
        <w:t xml:space="preserve"> </w:t>
      </w:r>
      <w:r>
        <w:t xml:space="preserve">с интеграцией. Документы реализации выгружаются в неё и загружаются обратно.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Встраивание в рабочую конфигурацию.</w:t>
      </w:r>
      <w:r>
        <w:t xml:space="preserve"> </w:t>
      </w:r>
      <w:r>
        <w:t xml:space="preserve">Документы ВСД создаются на основании существующих. Этот вариант рекомендован.</w:t>
      </w:r>
    </w:p>
    <w:p>
      <w:pPr>
        <w:pStyle w:val="FirstParagraph"/>
        <w:ind w:firstLine="709"/>
        <w:jc w:val="both"/>
      </w:pPr>
      <w:r>
        <w:t xml:space="preserve">Порядок действий:</w:t>
      </w:r>
    </w:p>
    <w:p>
      <w:pPr>
        <w:pStyle w:val="Compact"/>
        <w:numPr>
          <w:ilvl w:val="0"/>
          <w:numId w:val="1004"/>
        </w:numPr>
      </w:pPr>
      <w:r>
        <w:t xml:space="preserve">Скачать актуальную версию интеграции. Сделать резервную копию рабочей базы, развернуть копию и открыть её в Конфигураторе.</w:t>
      </w:r>
    </w:p>
    <w:p>
      <w:pPr>
        <w:pStyle w:val="Compact"/>
        <w:numPr>
          <w:ilvl w:val="0"/>
          <w:numId w:val="1004"/>
        </w:numPr>
      </w:pPr>
      <w:r>
        <w:t xml:space="preserve">Для типовой конфигурации на поддержке:</w:t>
      </w:r>
      <w:r>
        <w:t xml:space="preserve"> </w:t>
      </w:r>
      <w:r>
        <w:rPr>
          <w:b/>
          <w:bCs/>
        </w:rPr>
        <w:t xml:space="preserve">Конфигурация → Поддержка → Настройка поддержки</w:t>
      </w:r>
      <w:r>
        <w:t xml:space="preserve">, включить режим «возможность изменения». Затем выделить корень дерева и убедиться, что режим позволяет ставить интеграцию без изменения типовых объектов.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Конфигурация → Сравнить, объединить с конфигурацией из файла</w:t>
      </w:r>
      <w:r>
        <w:t xml:space="preserve">, указать файл интеграции.</w:t>
      </w:r>
    </w:p>
    <w:p>
      <w:pPr>
        <w:pStyle w:val="Compact"/>
        <w:numPr>
          <w:ilvl w:val="0"/>
          <w:numId w:val="1004"/>
        </w:numPr>
      </w:pPr>
      <w:r>
        <w:t xml:space="preserve">Снять все отметки в дереве. Выбрать</w:t>
      </w:r>
      <w:r>
        <w:t xml:space="preserve"> </w:t>
      </w:r>
      <w:r>
        <w:rPr>
          <w:b/>
          <w:bCs/>
        </w:rPr>
        <w:t xml:space="preserve">Действия → Отметить по подсистемам файла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В окне подсистем снять «Интеграция_кб99_Ветис», отметить «кб99_ВСД» и нажать</w:t>
      </w:r>
      <w:r>
        <w:t xml:space="preserve"> </w:t>
      </w:r>
      <w:r>
        <w:rPr>
          <w:b/>
          <w:bCs/>
        </w:rPr>
        <w:t xml:space="preserve">Установить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Если в базе нельзя использовать расширения, дополнительно отметить общий модуль «кб99_ВСД_Переопределения».</w:t>
      </w:r>
    </w:p>
    <w:p>
      <w:pPr>
        <w:pStyle w:val="Compact"/>
        <w:numPr>
          <w:ilvl w:val="0"/>
          <w:numId w:val="1004"/>
        </w:numPr>
      </w:pPr>
      <w:r>
        <w:t xml:space="preserve">Нажать</w:t>
      </w:r>
      <w:r>
        <w:t xml:space="preserve"> </w:t>
      </w:r>
      <w:r>
        <w:rPr>
          <w:b/>
          <w:bCs/>
        </w:rPr>
        <w:t xml:space="preserve">Выполнить</w:t>
      </w:r>
      <w:r>
        <w:t xml:space="preserve">. На окно «Неразрешимые ссылки» ответить</w:t>
      </w:r>
      <w:r>
        <w:t xml:space="preserve"> </w:t>
      </w:r>
      <w:r>
        <w:rPr>
          <w:b/>
          <w:bCs/>
        </w:rPr>
        <w:t xml:space="preserve">Продолжить</w:t>
      </w:r>
      <w:r>
        <w:t xml:space="preserve">. Дождаться конца объединения, нажать</w:t>
      </w:r>
      <w:r>
        <w:t xml:space="preserve"> </w:t>
      </w:r>
      <w:r>
        <w:rPr>
          <w:b/>
          <w:bCs/>
        </w:rPr>
        <w:t xml:space="preserve">ОК</w:t>
      </w:r>
      <w:r>
        <w:t xml:space="preserve"> </w:t>
      </w:r>
      <w:r>
        <w:t xml:space="preserve">и принять изменения структуры данных.</w:t>
      </w:r>
    </w:p>
    <w:p>
      <w:pPr>
        <w:pStyle w:val="Compact"/>
        <w:numPr>
          <w:ilvl w:val="0"/>
          <w:numId w:val="1004"/>
        </w:numPr>
      </w:pPr>
      <w:r>
        <w:t xml:space="preserve">После проверки в копии сохранить конфигурацию в</w:t>
      </w:r>
      <w:r>
        <w:t xml:space="preserve"> </w:t>
      </w:r>
      <w:r>
        <w:rPr>
          <w:rStyle w:val="VerbatimChar"/>
        </w:rPr>
        <w:t xml:space="preserve">.cf</w:t>
      </w:r>
      <w:r>
        <w:t xml:space="preserve">, а расширения в</w:t>
      </w:r>
      <w:r>
        <w:t xml:space="preserve"> </w:t>
      </w:r>
      <w:r>
        <w:rPr>
          <w:rStyle w:val="VerbatimChar"/>
        </w:rPr>
        <w:t xml:space="preserve">.cfe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Перенос в рабочую базу:</w:t>
      </w:r>
    </w:p>
    <w:p>
      <w:pPr>
        <w:pStyle w:val="Compact"/>
        <w:numPr>
          <w:ilvl w:val="1"/>
          <w:numId w:val="1005"/>
        </w:numPr>
      </w:pPr>
      <w:r>
        <w:t xml:space="preserve">сделать резервную копию</w:t>
      </w:r>
      <w:r>
        <w:t xml:space="preserve"> </w:t>
      </w:r>
      <w:r>
        <w:rPr>
          <w:rStyle w:val="VerbatimChar"/>
        </w:rPr>
        <w:t xml:space="preserve">.dt</w:t>
      </w:r>
      <w:r>
        <w:t xml:space="preserve">;</w:t>
      </w:r>
    </w:p>
    <w:p>
      <w:pPr>
        <w:pStyle w:val="Compact"/>
        <w:numPr>
          <w:ilvl w:val="1"/>
          <w:numId w:val="1005"/>
        </w:numPr>
      </w:pPr>
      <w:r>
        <w:t xml:space="preserve">снова выполнить «Сравнить, объединить» с сохранённым</w:t>
      </w:r>
      <w:r>
        <w:t xml:space="preserve"> </w:t>
      </w:r>
      <w:r>
        <w:rPr>
          <w:rStyle w:val="VerbatimChar"/>
        </w:rPr>
        <w:t xml:space="preserve">.cf</w:t>
      </w:r>
      <w:r>
        <w:t xml:space="preserve">, отметив только «кб99_ВСД»;</w:t>
      </w:r>
    </w:p>
    <w:p>
      <w:pPr>
        <w:pStyle w:val="Compact"/>
        <w:numPr>
          <w:ilvl w:val="1"/>
          <w:numId w:val="1005"/>
        </w:numPr>
      </w:pPr>
      <w:r>
        <w:t xml:space="preserve">если модуль «кб99_ВСД_Переопределения» дорабатывался, отметить и его;</w:t>
      </w:r>
    </w:p>
    <w:p>
      <w:pPr>
        <w:pStyle w:val="Compact"/>
        <w:numPr>
          <w:ilvl w:val="1"/>
          <w:numId w:val="1005"/>
        </w:numPr>
      </w:pPr>
      <w:r>
        <w:t xml:space="preserve">нажать</w:t>
      </w:r>
      <w:r>
        <w:t xml:space="preserve"> </w:t>
      </w:r>
      <w:r>
        <w:rPr>
          <w:b/>
          <w:bCs/>
        </w:rPr>
        <w:t xml:space="preserve">Выполнить</w:t>
      </w:r>
      <w:r>
        <w:t xml:space="preserve"> </w:t>
      </w:r>
      <w:r>
        <w:t xml:space="preserve">и принять изменения структуры.</w:t>
      </w:r>
    </w:p>
    <w:p>
      <w:pPr>
        <w:pStyle w:val="Compact"/>
        <w:numPr>
          <w:ilvl w:val="0"/>
          <w:numId w:val="1004"/>
        </w:numPr>
      </w:pPr>
      <w:r>
        <w:t xml:space="preserve">Для «1С:Управление нашей фирмой» отдельно подключить расширение из Redmine kb99. Затем подключить расширение с переопределёнными функциями.</w:t>
      </w:r>
    </w:p>
    <w:bookmarkEnd w:id="11"/>
    <w:bookmarkStart w:id="12" w:name="б.-настройка-параметров-интеграции"/>
    <w:p>
      <w:pPr>
        <w:pStyle w:val="Heading3"/>
      </w:pPr>
      <w:r>
        <w:t xml:space="preserve">Б. Настройка параметров интеграции</w:t>
      </w:r>
    </w:p>
    <w:p>
      <w:pPr>
        <w:pStyle w:val="FirstParagraph"/>
        <w:ind w:firstLine="709"/>
        <w:jc w:val="both"/>
      </w:pPr>
      <w:r>
        <w:t xml:space="preserve">Параметры задаются в разделе</w:t>
      </w:r>
      <w:r>
        <w:t xml:space="preserve"> </w:t>
      </w:r>
      <w:r>
        <w:rPr>
          <w:b/>
          <w:bCs/>
        </w:rPr>
        <w:t xml:space="preserve">кб99 ВСД → Параметры интеграции</w:t>
      </w:r>
      <w:r>
        <w:t xml:space="preserve">. Порядок вкладок ниже совпадает с порядком первой настройки.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Подключение</w:t>
      </w:r>
      <w:r>
        <w:t xml:space="preserve"> </w:t>
      </w:r>
      <w:r>
        <w:t xml:space="preserve">— реквизиты доступа:</w:t>
      </w:r>
    </w:p>
    <w:p>
      <w:pPr>
        <w:pStyle w:val="Compact"/>
        <w:numPr>
          <w:ilvl w:val="1"/>
          <w:numId w:val="1007"/>
        </w:numPr>
      </w:pPr>
      <w:r>
        <w:t xml:space="preserve">Реквизиты Ветис.API выдаёт Россельхознадзор по заявке хозяйствующего субъекта (ХС) после регистрации в реестре РСХН:</w:t>
      </w:r>
    </w:p>
    <w:p>
      <w:pPr>
        <w:pStyle w:val="Compact"/>
        <w:numPr>
          <w:ilvl w:val="2"/>
          <w:numId w:val="1008"/>
        </w:numPr>
      </w:pPr>
      <w:r>
        <w:rPr>
          <w:b/>
          <w:bCs/>
        </w:rPr>
        <w:t xml:space="preserve">Login</w:t>
      </w:r>
      <w:r>
        <w:t xml:space="preserve">,</w:t>
      </w:r>
      <w:r>
        <w:t xml:space="preserve"> </w:t>
      </w:r>
      <w:r>
        <w:rPr>
          <w:b/>
          <w:bCs/>
        </w:rPr>
        <w:t xml:space="preserve">Password</w:t>
      </w:r>
      <w:r>
        <w:t xml:space="preserve">;</w:t>
      </w:r>
    </w:p>
    <w:p>
      <w:pPr>
        <w:pStyle w:val="Compact"/>
        <w:numPr>
          <w:ilvl w:val="2"/>
          <w:numId w:val="1008"/>
        </w:numPr>
      </w:pPr>
      <w:r>
        <w:rPr>
          <w:b/>
          <w:bCs/>
        </w:rPr>
        <w:t xml:space="preserve">APIKey</w:t>
      </w:r>
      <w:r>
        <w:t xml:space="preserve"> </w:t>
      </w:r>
      <w:r>
        <w:t xml:space="preserve">— ключ информационной системы в шлюзе Ветис.API;</w:t>
      </w:r>
    </w:p>
    <w:p>
      <w:pPr>
        <w:pStyle w:val="Compact"/>
        <w:numPr>
          <w:ilvl w:val="2"/>
          <w:numId w:val="1008"/>
        </w:numPr>
      </w:pPr>
      <w:r>
        <w:rPr>
          <w:b/>
          <w:bCs/>
        </w:rPr>
        <w:t xml:space="preserve">IssuerID</w:t>
      </w:r>
      <w:r>
        <w:t xml:space="preserve"> </w:t>
      </w:r>
      <w:r>
        <w:t xml:space="preserve">— уникальный идентификатор.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Логин инициатора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Логин ветврача</w:t>
      </w:r>
      <w:r>
        <w:t xml:space="preserve"> </w:t>
      </w:r>
      <w:r>
        <w:t xml:space="preserve">— личные логины пользователей веб-интерфейса «Меркурия». По ним проверяются полномочия при работе с документами.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Код лицензии</w:t>
      </w:r>
      <w:r>
        <w:t xml:space="preserve"> </w:t>
      </w:r>
      <w:r>
        <w:t xml:space="preserve">нужен только для продуктивного контура. Для тестового контура его не заполняют.</w:t>
      </w:r>
    </w:p>
    <w:p>
      <w:pPr>
        <w:pStyle w:val="Compact"/>
        <w:numPr>
          <w:ilvl w:val="1"/>
          <w:numId w:val="1007"/>
        </w:numPr>
      </w:pPr>
      <w:r>
        <w:t xml:space="preserve">Нажать</w:t>
      </w:r>
      <w:r>
        <w:t xml:space="preserve"> </w:t>
      </w:r>
      <w:r>
        <w:rPr>
          <w:b/>
          <w:bCs/>
        </w:rPr>
        <w:t xml:space="preserve">Сохранить параметры</w:t>
      </w:r>
      <w:r>
        <w:t xml:space="preserve">, затем</w:t>
      </w:r>
      <w:r>
        <w:t xml:space="preserve"> </w:t>
      </w:r>
      <w:r>
        <w:rPr>
          <w:b/>
          <w:bCs/>
        </w:rPr>
        <w:t xml:space="preserve">Выполнить</w:t>
      </w:r>
      <w:r>
        <w:t xml:space="preserve">. Это начальная загрузка данных и классификаторов.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Параметры по умолчанию</w:t>
      </w:r>
      <w:r>
        <w:t xml:space="preserve"> </w:t>
      </w:r>
      <w:r>
        <w:t xml:space="preserve">— после загрузки данных заполнить значения по умолчанию, в том числе цель перевозки, и нажать</w:t>
      </w:r>
      <w:r>
        <w:t xml:space="preserve"> </w:t>
      </w:r>
      <w:r>
        <w:rPr>
          <w:b/>
          <w:bCs/>
        </w:rPr>
        <w:t xml:space="preserve">Сохранить параметры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Документы</w:t>
      </w:r>
      <w:r>
        <w:t xml:space="preserve"> </w:t>
      </w:r>
      <w:r>
        <w:t xml:space="preserve">— правила формирования ВСД: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Входящие ВСД:</w:t>
      </w:r>
    </w:p>
    <w:p>
      <w:pPr>
        <w:pStyle w:val="Compact"/>
        <w:numPr>
          <w:ilvl w:val="2"/>
          <w:numId w:val="1010"/>
        </w:numPr>
      </w:pPr>
      <w:r>
        <w:t xml:space="preserve">сверка количества с приходной накладной;</w:t>
      </w:r>
    </w:p>
    <w:p>
      <w:pPr>
        <w:pStyle w:val="Compact"/>
        <w:numPr>
          <w:ilvl w:val="2"/>
          <w:numId w:val="1010"/>
        </w:numPr>
      </w:pPr>
      <w:r>
        <w:t xml:space="preserve">заполнение термических условий;</w:t>
      </w:r>
    </w:p>
    <w:p>
      <w:pPr>
        <w:pStyle w:val="Compact"/>
        <w:numPr>
          <w:ilvl w:val="2"/>
          <w:numId w:val="1010"/>
        </w:numPr>
      </w:pPr>
      <w:r>
        <w:t xml:space="preserve">проверка даты изготовления при гашении;</w:t>
      </w:r>
    </w:p>
    <w:p>
      <w:pPr>
        <w:pStyle w:val="Compact"/>
        <w:numPr>
          <w:ilvl w:val="2"/>
          <w:numId w:val="1010"/>
        </w:numPr>
      </w:pPr>
      <w:r>
        <w:t xml:space="preserve">контроль документа происхождения;</w:t>
      </w:r>
    </w:p>
    <w:p>
      <w:pPr>
        <w:pStyle w:val="Compact"/>
        <w:numPr>
          <w:ilvl w:val="2"/>
          <w:numId w:val="1010"/>
        </w:numPr>
      </w:pPr>
      <w:r>
        <w:t xml:space="preserve">загрузка и контроль лабораторных исследований.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Транспортные ВСД:</w:t>
      </w:r>
    </w:p>
    <w:p>
      <w:pPr>
        <w:pStyle w:val="Compact"/>
        <w:numPr>
          <w:ilvl w:val="2"/>
          <w:numId w:val="1011"/>
        </w:numPr>
      </w:pPr>
      <w:r>
        <w:rPr>
          <w:b/>
          <w:bCs/>
        </w:rPr>
        <w:t xml:space="preserve">Имя реквизита [Грузополучатель] в Реализации</w:t>
      </w:r>
      <w:r>
        <w:t xml:space="preserve"> </w:t>
      </w:r>
      <w:r>
        <w:t xml:space="preserve">— по нему документ отгрузки связывается с площадкой получателя;</w:t>
      </w:r>
    </w:p>
    <w:p>
      <w:pPr>
        <w:pStyle w:val="Compact"/>
        <w:numPr>
          <w:ilvl w:val="2"/>
          <w:numId w:val="1011"/>
        </w:numPr>
      </w:pPr>
      <w:r>
        <w:rPr>
          <w:b/>
          <w:bCs/>
        </w:rPr>
        <w:t xml:space="preserve">Номер автомобиля (по умолчанию)</w:t>
      </w:r>
      <w:r>
        <w:t xml:space="preserve">;</w:t>
      </w:r>
    </w:p>
    <w:p>
      <w:pPr>
        <w:pStyle w:val="Compact"/>
        <w:numPr>
          <w:ilvl w:val="2"/>
          <w:numId w:val="1011"/>
        </w:numPr>
      </w:pPr>
      <w:r>
        <w:rPr>
          <w:b/>
          <w:bCs/>
        </w:rPr>
        <w:t xml:space="preserve">Имя реквизита [Количество]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Коэффициент пересчёта количества в ВСД</w:t>
      </w:r>
      <w:r>
        <w:t xml:space="preserve">;</w:t>
      </w:r>
    </w:p>
    <w:p>
      <w:pPr>
        <w:pStyle w:val="Compact"/>
        <w:numPr>
          <w:ilvl w:val="2"/>
          <w:numId w:val="1011"/>
        </w:numPr>
      </w:pPr>
      <w:r>
        <w:t xml:space="preserve">фильтр реализаций по складу площадки;</w:t>
      </w:r>
    </w:p>
    <w:p>
      <w:pPr>
        <w:pStyle w:val="Compact"/>
        <w:numPr>
          <w:ilvl w:val="2"/>
          <w:numId w:val="1011"/>
        </w:numPr>
      </w:pPr>
      <w:r>
        <w:t xml:space="preserve">разделение ВСД по термическим условиям;</w:t>
      </w:r>
    </w:p>
    <w:p>
      <w:pPr>
        <w:pStyle w:val="Compact"/>
        <w:numPr>
          <w:ilvl w:val="2"/>
          <w:numId w:val="1011"/>
        </w:numPr>
      </w:pPr>
      <w:r>
        <w:t xml:space="preserve">пропуск товаров без соответствий;</w:t>
      </w:r>
    </w:p>
    <w:p>
      <w:pPr>
        <w:pStyle w:val="Compact"/>
        <w:numPr>
          <w:ilvl w:val="2"/>
          <w:numId w:val="1011"/>
        </w:numPr>
      </w:pPr>
      <w:r>
        <w:t xml:space="preserve">добавление строки с нехватающим количеством;</w:t>
      </w:r>
    </w:p>
    <w:p>
      <w:pPr>
        <w:pStyle w:val="Compact"/>
        <w:numPr>
          <w:ilvl w:val="2"/>
          <w:numId w:val="1011"/>
        </w:numPr>
      </w:pPr>
      <w:r>
        <w:t xml:space="preserve">автоустановка соответствий;</w:t>
      </w:r>
    </w:p>
    <w:p>
      <w:pPr>
        <w:pStyle w:val="Compact"/>
        <w:numPr>
          <w:ilvl w:val="2"/>
          <w:numId w:val="1011"/>
        </w:numPr>
      </w:pPr>
      <w:r>
        <w:t xml:space="preserve">проверки упаковки, формата номера автомобиля и сроков годности;</w:t>
      </w:r>
    </w:p>
    <w:p>
      <w:pPr>
        <w:pStyle w:val="Compact"/>
        <w:numPr>
          <w:ilvl w:val="2"/>
          <w:numId w:val="1011"/>
        </w:numPr>
      </w:pPr>
      <w:r>
        <w:t xml:space="preserve">показ просроченных партий;</w:t>
      </w:r>
    </w:p>
    <w:p>
      <w:pPr>
        <w:pStyle w:val="Compact"/>
        <w:numPr>
          <w:ilvl w:val="2"/>
          <w:numId w:val="1011"/>
        </w:numPr>
      </w:pPr>
      <w:r>
        <w:t xml:space="preserve">разрешение замены продукции.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Уровни упаковки в ВСД2:</w:t>
      </w:r>
      <w:r>
        <w:t xml:space="preserve"> </w:t>
      </w:r>
      <w:r>
        <w:t xml:space="preserve">имя реквизита количества мест, номер уровня, форма упаковки.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Партии:</w:t>
      </w:r>
    </w:p>
    <w:p>
      <w:pPr>
        <w:pStyle w:val="Compact"/>
        <w:numPr>
          <w:ilvl w:val="2"/>
          <w:numId w:val="1012"/>
        </w:numPr>
      </w:pPr>
      <w:r>
        <w:t xml:space="preserve">заполнение по сериям;</w:t>
      </w:r>
    </w:p>
    <w:p>
      <w:pPr>
        <w:pStyle w:val="Compact"/>
        <w:numPr>
          <w:ilvl w:val="2"/>
          <w:numId w:val="1012"/>
        </w:numPr>
      </w:pPr>
      <w:r>
        <w:t xml:space="preserve">реквизит сортировки и сортировка по убыванию (LIFO);</w:t>
      </w:r>
    </w:p>
    <w:p>
      <w:pPr>
        <w:pStyle w:val="Compact"/>
        <w:numPr>
          <w:ilvl w:val="2"/>
          <w:numId w:val="1012"/>
        </w:numPr>
      </w:pPr>
      <w:r>
        <w:t xml:space="preserve">контроль остатков партий по регистру «ОстаткиПартийВСД» с заданной даты.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Инвентаризация:</w:t>
      </w:r>
      <w:r>
        <w:t xml:space="preserve"> </w:t>
      </w:r>
      <w:r>
        <w:t xml:space="preserve">причина расхождения, описание несоответствия, число строк списания (рекомендуется до 1000, оптимально 250).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Аннулирование ВСД:</w:t>
      </w:r>
      <w:r>
        <w:t xml:space="preserve"> </w:t>
      </w:r>
      <w:r>
        <w:t xml:space="preserve">причина аннулирования по умолчанию.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Производство</w:t>
      </w:r>
      <w:r>
        <w:t xml:space="preserve"> </w:t>
      </w:r>
      <w:r>
        <w:t xml:space="preserve">— нужно только производителям:</w:t>
      </w:r>
    </w:p>
    <w:p>
      <w:pPr>
        <w:pStyle w:val="Compact"/>
        <w:numPr>
          <w:ilvl w:val="1"/>
          <w:numId w:val="1013"/>
        </w:numPr>
      </w:pPr>
      <w:r>
        <w:t xml:space="preserve">завершение производственных транзакций;</w:t>
      </w:r>
    </w:p>
    <w:p>
      <w:pPr>
        <w:pStyle w:val="Compact"/>
        <w:numPr>
          <w:ilvl w:val="1"/>
          <w:numId w:val="1013"/>
        </w:numPr>
      </w:pPr>
      <w:r>
        <w:t xml:space="preserve">подбор сырья по спецификациям;</w:t>
      </w:r>
    </w:p>
    <w:p>
      <w:pPr>
        <w:pStyle w:val="Compact"/>
        <w:numPr>
          <w:ilvl w:val="1"/>
          <w:numId w:val="1013"/>
        </w:numPr>
      </w:pPr>
      <w:r>
        <w:t xml:space="preserve">коэффициент пересчёта;</w:t>
      </w:r>
    </w:p>
    <w:p>
      <w:pPr>
        <w:pStyle w:val="Compact"/>
        <w:numPr>
          <w:ilvl w:val="1"/>
          <w:numId w:val="1013"/>
        </w:numPr>
      </w:pPr>
      <w:r>
        <w:t xml:space="preserve">префикс незавершённого производства;</w:t>
      </w:r>
    </w:p>
    <w:p>
      <w:pPr>
        <w:pStyle w:val="Compact"/>
        <w:numPr>
          <w:ilvl w:val="1"/>
          <w:numId w:val="1013"/>
        </w:numPr>
      </w:pPr>
      <w:r>
        <w:t xml:space="preserve">контроль баланса сырья и продукции с допустимым процентом расхождения;</w:t>
      </w:r>
    </w:p>
    <w:p>
      <w:pPr>
        <w:pStyle w:val="Compact"/>
        <w:numPr>
          <w:ilvl w:val="1"/>
          <w:numId w:val="1013"/>
        </w:numPr>
      </w:pPr>
      <w:r>
        <w:t xml:space="preserve">построчная разбивка производства;</w:t>
      </w:r>
    </w:p>
    <w:p>
      <w:pPr>
        <w:pStyle w:val="Compact"/>
        <w:numPr>
          <w:ilvl w:val="1"/>
          <w:numId w:val="1013"/>
        </w:numPr>
      </w:pPr>
      <w:r>
        <w:t xml:space="preserve">внутренние перемещения между своими ХС и площадками.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Инициализация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кнопка</w:t>
      </w:r>
      <w:r>
        <w:t xml:space="preserve"> </w:t>
      </w:r>
      <w:r>
        <w:rPr>
          <w:b/>
          <w:bCs/>
        </w:rPr>
        <w:t xml:space="preserve">Загрузить</w:t>
      </w:r>
      <w:r>
        <w:t xml:space="preserve"> </w:t>
      </w:r>
      <w:r>
        <w:t xml:space="preserve">— то же, что «Выполнить» на вкладке «Подключение»;</w:t>
      </w:r>
    </w:p>
    <w:p>
      <w:pPr>
        <w:pStyle w:val="Compact"/>
        <w:numPr>
          <w:ilvl w:val="1"/>
          <w:numId w:val="1014"/>
        </w:numPr>
      </w:pPr>
      <w:r>
        <w:t xml:space="preserve">загрузка отдельных классификаторов;</w:t>
      </w:r>
    </w:p>
    <w:p>
      <w:pPr>
        <w:pStyle w:val="Compact"/>
        <w:numPr>
          <w:ilvl w:val="1"/>
          <w:numId w:val="1014"/>
        </w:numPr>
      </w:pPr>
      <w:r>
        <w:t xml:space="preserve">обновление справочников при переходе с API 1.0 на 2.0;</w:t>
      </w:r>
    </w:p>
    <w:p>
      <w:pPr>
        <w:pStyle w:val="Compact"/>
        <w:numPr>
          <w:ilvl w:val="1"/>
          <w:numId w:val="1014"/>
        </w:numPr>
      </w:pPr>
      <w:r>
        <w:t xml:space="preserve">перенос параметров из хранилища настроек в регистр (с версии 2.8.16).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Сервис</w:t>
      </w:r>
      <w:r>
        <w:t xml:space="preserve"> </w:t>
      </w:r>
      <w:r>
        <w:t xml:space="preserve">— служебные операции:</w:t>
      </w:r>
    </w:p>
    <w:p>
      <w:pPr>
        <w:pStyle w:val="Compact"/>
        <w:numPr>
          <w:ilvl w:val="1"/>
          <w:numId w:val="1015"/>
        </w:numPr>
      </w:pPr>
      <w:r>
        <w:t xml:space="preserve">загрузка партий за период со смещением (ВетИС отдаёт не более 1000 элементов на запрос);</w:t>
      </w:r>
    </w:p>
    <w:p>
      <w:pPr>
        <w:pStyle w:val="Compact"/>
        <w:numPr>
          <w:ilvl w:val="1"/>
          <w:numId w:val="1015"/>
        </w:numPr>
      </w:pPr>
      <w:r>
        <w:t xml:space="preserve">регистрация и получение продукции по площадке;</w:t>
      </w:r>
    </w:p>
    <w:p>
      <w:pPr>
        <w:pStyle w:val="Compact"/>
        <w:numPr>
          <w:ilvl w:val="1"/>
          <w:numId w:val="1015"/>
        </w:numPr>
      </w:pPr>
      <w:r>
        <w:t xml:space="preserve">соответствия по умолчанию;</w:t>
      </w:r>
    </w:p>
    <w:p>
      <w:pPr>
        <w:pStyle w:val="Compact"/>
        <w:numPr>
          <w:ilvl w:val="1"/>
          <w:numId w:val="1015"/>
        </w:numPr>
      </w:pPr>
      <w:r>
        <w:t xml:space="preserve">регистрация ХС и площадок, получение GUID по ИНН;</w:t>
      </w:r>
    </w:p>
    <w:p>
      <w:pPr>
        <w:pStyle w:val="Compact"/>
        <w:numPr>
          <w:ilvl w:val="1"/>
          <w:numId w:val="1015"/>
        </w:numPr>
      </w:pPr>
      <w:r>
        <w:t xml:space="preserve">загрузка ВСД по периоду, статусу и типу;</w:t>
      </w:r>
    </w:p>
    <w:p>
      <w:pPr>
        <w:pStyle w:val="Compact"/>
        <w:numPr>
          <w:ilvl w:val="1"/>
          <w:numId w:val="1015"/>
        </w:numPr>
      </w:pPr>
      <w:r>
        <w:t xml:space="preserve">запросы условий перевозки;</w:t>
      </w:r>
    </w:p>
    <w:p>
      <w:pPr>
        <w:pStyle w:val="Compact"/>
        <w:numPr>
          <w:ilvl w:val="1"/>
          <w:numId w:val="1015"/>
        </w:numPr>
      </w:pPr>
      <w:r>
        <w:t xml:space="preserve">очистка старых запросов.</w:t>
      </w:r>
    </w:p>
    <w:bookmarkEnd w:id="12"/>
    <w:bookmarkStart w:id="13" w:name="в.-план-подключения-мини-склада"/>
    <w:p>
      <w:pPr>
        <w:pStyle w:val="Heading3"/>
      </w:pPr>
      <w:r>
        <w:t xml:space="preserve">В. План подключения «Мини-Склада»</w:t>
      </w:r>
    </w:p>
    <w:p>
      <w:pPr>
        <w:numPr>
          <w:ilvl w:val="0"/>
          <w:numId w:val="1016"/>
        </w:numPr>
      </w:pPr>
      <w:r>
        <w:t xml:space="preserve">Получить в Россельхознадзоре тестовые реквизиты Ветис.API: Login, Password, APIKey, IssuerID. Получить логины пользователей «Меркурия».</w:t>
      </w:r>
    </w:p>
    <w:p>
      <w:pPr>
        <w:numPr>
          <w:ilvl w:val="0"/>
          <w:numId w:val="1016"/>
        </w:numPr>
      </w:pPr>
      <w:r>
        <w:t xml:space="preserve">Развернуть копию базы «Мини-Склад» и выгрузить её в</w:t>
      </w:r>
      <w:r>
        <w:t xml:space="preserve"> </w:t>
      </w:r>
      <w:r>
        <w:rPr>
          <w:rStyle w:val="VerbatimChar"/>
        </w:rPr>
        <w:t xml:space="preserve">.dt</w:t>
      </w:r>
      <w:r>
        <w:t xml:space="preserve">. Объединить конфигурацию с файлом интеграции, отметив подсистему «кб99_ВСД». Конфигурация собственная и не на поддержке, поэтому шаг с настройкой поддержки не нужен.</w:t>
      </w:r>
    </w:p>
    <w:p>
      <w:pPr>
        <w:numPr>
          <w:ilvl w:val="0"/>
          <w:numId w:val="1016"/>
        </w:numPr>
      </w:pPr>
      <w:r>
        <w:t xml:space="preserve">Сопоставить наши объекты с параметрами интеграции:</w:t>
      </w:r>
    </w:p>
    <w:tbl>
      <w:tblPr>
        <w:tblStyle w:val="Table"/>
        <w:tblW w:type="pct" w:w="5000"/>
        <w:jc w:val="center"/>
        <w:tblInd w:w="720" w:type="dxa"/>
        <w:tblLayout w:type="fixed"/>
        <w:tblLook w:firstRow="1" w:lastRow="0" w:firstColumn="0" w:lastColumn="0" w:noHBand="0" w:noVBand="0" w:val="002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/>
                <w:b/>
                <w:sz w:val="24"/>
              </w:rPr>
              <w:t xml:space="preserve">Параметр интеграции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/>
                <w:b/>
                <w:sz w:val="24"/>
              </w:rPr>
              <w:t xml:space="preserve">Объект «Мини-Склада»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 xml:space="preserve">Документ отгрузки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Style w:val="VerbatimChar"/>
                <w:rFonts w:ascii="Times New Roman" w:hAnsi="Times New Roman"/>
                <w:sz w:val="24"/>
              </w:rPr>
              <w:t xml:space="preserve">Документ.Реализация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 xml:space="preserve">Имя реквизита [Грузополучатель] в Реализации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Style w:val="VerbatimChar"/>
                <w:rFonts w:ascii="Times New Roman" w:hAnsi="Times New Roman"/>
                <w:sz w:val="24"/>
              </w:rPr>
              <w:t xml:space="preserve">Контрагент</w:t>
            </w:r>
            <w:r>
              <w:rPr>
                <w:rFonts w:ascii="Times New Roman" w:hAnsi="Times New Roman"/>
                <w:sz w:val="24"/>
              </w:rPr>
              <w:t xml:space="preserve">: у нас один контрагент — один адрес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 xml:space="preserve">Имя реквизита [Количество]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Style w:val="VerbatimChar"/>
                <w:rFonts w:ascii="Times New Roman" w:hAnsi="Times New Roman"/>
                <w:sz w:val="24"/>
              </w:rPr>
              <w:t xml:space="preserve">Количество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табличной части «Товары», коэффициент пересчёта 1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 xml:space="preserve">Приходная накладная для сверки входящих ВСД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Style w:val="VerbatimChar"/>
                <w:rFonts w:ascii="Times New Roman" w:hAnsi="Times New Roman"/>
                <w:sz w:val="24"/>
              </w:rPr>
              <w:t xml:space="preserve">Документ.Поступление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 xml:space="preserve">Соответствия «номенклатура 1С ↔ Продукция_Элемент»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Style w:val="VerbatimChar"/>
                <w:rFonts w:ascii="Times New Roman" w:hAnsi="Times New Roman"/>
                <w:sz w:val="24"/>
              </w:rPr>
              <w:t xml:space="preserve">Справочник.Товары</w:t>
            </w:r>
          </w:p>
        </w:tc>
      </w:tr>
    </w:tbl>
    <w:p>
      <w:pPr>
        <w:numPr>
          <w:ilvl w:val="0"/>
          <w:numId w:val="1016"/>
        </w:numPr>
      </w:pPr>
      <w:r>
        <w:t xml:space="preserve">Заполнить вкладку «Подключение» без кода лицензии (тестовый контур), нажать «Сохранить параметры» и «Выполнить». Затем по очереди заполнить «Параметры по умолчанию» и «Документы». Вкладку «Производство» не трогать, так как производства нет.</w:t>
      </w:r>
    </w:p>
    <w:p>
      <w:pPr>
        <w:numPr>
          <w:ilvl w:val="0"/>
          <w:numId w:val="1016"/>
        </w:numPr>
      </w:pPr>
      <w:r>
        <w:t xml:space="preserve">На вкладке «Сервис» получить GUID хозсубъекта по ИНН, загрузить площадки и продукцию площадки, затем установить соответствия товаров.</w:t>
      </w:r>
    </w:p>
    <w:bookmarkEnd w:id="13"/>
    <w:bookmarkEnd w:id="14"/>
    <w:bookmarkStart w:id="15" w:name="что-должно-получиться"/>
    <w:p>
      <w:pPr>
        <w:pStyle w:val="Heading2"/>
      </w:pPr>
      <w:r>
        <w:t xml:space="preserve">Что должно получиться</w:t>
      </w:r>
    </w:p>
    <w:p>
      <w:pPr>
        <w:pStyle w:val="Compact"/>
        <w:numPr>
          <w:ilvl w:val="0"/>
          <w:numId w:val="1017"/>
        </w:numPr>
      </w:pPr>
      <w:r>
        <w:t xml:space="preserve">Скрин 1: окно «Сравнение, объединение» с отмеченной подсистемой «кб99_ВСД» (снято «Интеграция_кб99_Ветис»).</w:t>
      </w:r>
    </w:p>
    <w:p>
      <w:pPr>
        <w:pStyle w:val="Compact"/>
        <w:numPr>
          <w:ilvl w:val="0"/>
          <w:numId w:val="1017"/>
        </w:numPr>
      </w:pPr>
      <w:r>
        <w:t xml:space="preserve">Скрин 2: в командном интерфейсе появилась подсистема «кб99 ВСД» с командой «Параметры интеграции».</w:t>
      </w:r>
    </w:p>
    <w:p>
      <w:pPr>
        <w:pStyle w:val="Compact"/>
        <w:numPr>
          <w:ilvl w:val="0"/>
          <w:numId w:val="1017"/>
        </w:numPr>
      </w:pPr>
      <w:r>
        <w:t xml:space="preserve">Скрин 3: вкладка «Подключение» с заполненными Login, APIKey, IssuerID (пароль скрыт) и сообщением об успешной начальной загрузке.</w:t>
      </w:r>
    </w:p>
    <w:p>
      <w:pPr>
        <w:pStyle w:val="Compact"/>
        <w:numPr>
          <w:ilvl w:val="0"/>
          <w:numId w:val="1017"/>
        </w:numPr>
      </w:pPr>
      <w:r>
        <w:t xml:space="preserve">Ожидаемый результат/данные:</w:t>
      </w:r>
    </w:p>
    <w:p>
      <w:pPr>
        <w:pStyle w:val="Compact"/>
        <w:numPr>
          <w:ilvl w:val="1"/>
          <w:numId w:val="1018"/>
        </w:numPr>
      </w:pPr>
      <w:r>
        <w:t xml:space="preserve">конфигурация объединена без ошибок, изменения структуры приняты;</w:t>
      </w:r>
    </w:p>
    <w:p>
      <w:pPr>
        <w:pStyle w:val="Compact"/>
        <w:numPr>
          <w:ilvl w:val="1"/>
          <w:numId w:val="1018"/>
        </w:numPr>
      </w:pPr>
      <w:r>
        <w:t xml:space="preserve">классификаторы «Меркурия» загружены;</w:t>
      </w:r>
    </w:p>
    <w:p>
      <w:pPr>
        <w:pStyle w:val="Compact"/>
        <w:numPr>
          <w:ilvl w:val="1"/>
          <w:numId w:val="1018"/>
        </w:numPr>
      </w:pPr>
      <w:r>
        <w:t xml:space="preserve">параметры сохранены, с версии 2.8.16 они лежат в регистре;</w:t>
      </w:r>
    </w:p>
    <w:p>
      <w:pPr>
        <w:pStyle w:val="Compact"/>
        <w:numPr>
          <w:ilvl w:val="1"/>
          <w:numId w:val="1018"/>
        </w:numPr>
      </w:pPr>
      <w:r>
        <w:t xml:space="preserve">документы «Реализация» видны в групповой обработке оформления ВСД.</w:t>
      </w:r>
    </w:p>
    <w:bookmarkEnd w:id="15"/>
    <w:bookmarkStart w:id="16" w:name="замеченные-ошибкиограничения"/>
    <w:p>
      <w:pPr>
        <w:pStyle w:val="Heading2"/>
      </w:pPr>
      <w:r>
        <w:t xml:space="preserve">Замеченные ошибки/ограничения</w:t>
      </w:r>
    </w:p>
    <w:p>
      <w:pPr>
        <w:pStyle w:val="Compact"/>
        <w:numPr>
          <w:ilvl w:val="0"/>
          <w:numId w:val="1019"/>
        </w:numPr>
      </w:pPr>
      <w:r>
        <w:t xml:space="preserve">Самого файла интеграции и тестовых реквизитов Ветис.API у меня нет: их выдают kb99 и Россельхознадзор. Поэтому пункт выполнен как изучение и план. Установка в базу не проводилась.</w:t>
      </w:r>
    </w:p>
    <w:p>
      <w:pPr>
        <w:pStyle w:val="Compact"/>
        <w:numPr>
          <w:ilvl w:val="0"/>
          <w:numId w:val="1019"/>
        </w:numPr>
      </w:pPr>
      <w:r>
        <w:t xml:space="preserve">На странице «Параметры по умолчанию» поля показаны только скриншотом, текстом они не описаны.</w:t>
      </w:r>
    </w:p>
    <w:p>
      <w:pPr>
        <w:pStyle w:val="Compact"/>
        <w:numPr>
          <w:ilvl w:val="0"/>
          <w:numId w:val="1019"/>
        </w:numPr>
      </w:pPr>
      <w:r>
        <w:t xml:space="preserve">Объединение меняет основную конфигурацию. Работать нужно только в копии базы и с резервной копией</w:t>
      </w:r>
      <w:r>
        <w:t xml:space="preserve"> </w:t>
      </w:r>
      <w:r>
        <w:rPr>
          <w:rStyle w:val="VerbatimChar"/>
        </w:rPr>
        <w:t xml:space="preserve">.dt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Код лицензии нужен только в продуктивном контуре. Перед переходом с теста на прод его нужно получить заранее.</w:t>
      </w:r>
    </w:p>
    <w:p>
      <w:pPr>
        <w:pStyle w:val="Compact"/>
        <w:numPr>
          <w:ilvl w:val="0"/>
          <w:numId w:val="1019"/>
        </w:numPr>
      </w:pPr>
      <w:r>
        <w:t xml:space="preserve">ВетИС отдаёт не более 1000 элементов за запрос. Партии за большой период нужно загружать в несколько запросов со смещением.</w:t>
      </w:r>
    </w:p>
    <w:bookmarkEnd w:id="16"/>
    <w:bookmarkStart w:id="17" w:name="вывод-коротко"/>
    <w:p>
      <w:pPr>
        <w:pStyle w:val="Heading2"/>
      </w:pPr>
      <w:r>
        <w:t xml:space="preserve">Вывод (коротко)</w:t>
      </w:r>
    </w:p>
    <w:p>
      <w:pPr>
        <w:pStyle w:val="Compact"/>
        <w:numPr>
          <w:ilvl w:val="0"/>
          <w:numId w:val="1020"/>
        </w:numPr>
      </w:pPr>
      <w:r>
        <w:t xml:space="preserve">Что получилось:</w:t>
      </w:r>
    </w:p>
    <w:p>
      <w:pPr>
        <w:pStyle w:val="Compact"/>
        <w:numPr>
          <w:ilvl w:val="1"/>
          <w:numId w:val="1021"/>
        </w:numPr>
      </w:pPr>
      <w:r>
        <w:t xml:space="preserve">разобран порядок установки подсистемы «кб99_ВСД» объединением конфигураций и перенос в рабочую базу через</w:t>
      </w:r>
      <w:r>
        <w:t xml:space="preserve"> </w:t>
      </w:r>
      <w:r>
        <w:rPr>
          <w:rStyle w:val="VerbatimChar"/>
        </w:rPr>
        <w:t xml:space="preserve">.cf</w:t>
      </w:r>
      <w:r>
        <w:t xml:space="preserve">;</w:t>
      </w:r>
    </w:p>
    <w:p>
      <w:pPr>
        <w:pStyle w:val="Compact"/>
        <w:numPr>
          <w:ilvl w:val="1"/>
          <w:numId w:val="1021"/>
        </w:numPr>
      </w:pPr>
      <w:r>
        <w:t xml:space="preserve">описаны все шесть вкладок «Параметров интеграции»;</w:t>
      </w:r>
    </w:p>
    <w:p>
      <w:pPr>
        <w:pStyle w:val="Compact"/>
        <w:numPr>
          <w:ilvl w:val="1"/>
          <w:numId w:val="1021"/>
        </w:numPr>
      </w:pPr>
      <w:r>
        <w:t xml:space="preserve">объекты «Мини-Склада» сопоставлены с параметрами интеграции.</w:t>
      </w:r>
    </w:p>
    <w:p>
      <w:pPr>
        <w:pStyle w:val="Compact"/>
        <w:numPr>
          <w:ilvl w:val="0"/>
          <w:numId w:val="1020"/>
        </w:numPr>
      </w:pPr>
      <w:r>
        <w:t xml:space="preserve">Что улучшить: получить тестовые реквизиты Ветис.API и дистрибутив интеграции, установить модуль в копию базы и сделать скриншоты шагов.</w:t>
      </w:r>
    </w:p>
    <w:bookmarkEnd w:id="17"/>
    <w:bookmarkEnd w:id="18"/>
    <w:sectPr>
      <w:footnotePr>
        <w:numRestart w:val="eachSect"/>
      </w:footnotePr>
      <w:pgSz w:w="11906" w:h="16838"/>
      <w:pgMar w:left="1701" w:right="850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 w:after="0" w:before="0"/>
    </w:pPr>
    <w:rPr>
      <w:rFonts w:ascii="Times New Roman" w:hAnsi="Times New Roman" w:cs="Times New Roman" w:eastAsia="Times New Roman"/>
      <w:color w:val="000000"/>
      <w:sz w:val="28"/>
    </w:rPr>
  </w:style>
  <w:style w:styleId="BodyText" w:type="paragraph">
    <w:name w:val="Body Text"/>
    <w:basedOn w:val="Normal"/>
    <w:link w:val="BodyTextChar"/>
    <w:qFormat/>
    <w:pPr>
      <w:spacing w:after="0" w:before="0" w:line="360" w:lineRule="auto"/>
    </w:pPr>
    <w:rPr>
      <w:rFonts w:ascii="Times New Roman" w:hAnsi="Times New Roman" w:cs="Times New Roman" w:eastAsia="Times New Roman"/>
      <w:color w:val="000000"/>
      <w:sz w:val="28"/>
    </w:rPr>
  </w:style>
  <w:style w:customStyle="1" w:styleId="FirstParagraph" w:type="paragraph">
    <w:name w:val="First Paragraph"/>
    <w:basedOn w:val="BodyText"/>
    <w:next w:val="BodyText"/>
    <w:qFormat/>
    <w:pPr>
      <w:spacing w:line="360" w:lineRule="auto" w:after="0" w:before="0"/>
    </w:pPr>
    <w:rPr>
      <w:rFonts w:ascii="Times New Roman" w:hAnsi="Times New Roman" w:cs="Times New Roman" w:eastAsia="Times New Roman"/>
      <w:color w:val="000000"/>
      <w:sz w:val="28"/>
    </w:rPr>
  </w:style>
  <w:style w:customStyle="1" w:styleId="Compact" w:type="paragraph">
    <w:name w:val="Compact"/>
    <w:basedOn w:val="BodyText"/>
    <w:qFormat/>
    <w:pPr>
      <w:spacing w:after="0" w:before="0" w:line="360" w:lineRule="auto"/>
    </w:pPr>
    <w:rPr>
      <w:rFonts w:ascii="Times New Roman" w:hAnsi="Times New Roman" w:cs="Times New Roman" w:eastAsia="Times New Roman"/>
      <w:color w:val="000000"/>
      <w:sz w:val="28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keepNext/>
      <w:spacing w:after="120" w:line="240" w:lineRule="auto" w:before="240"/>
      <w:contextualSpacing/>
      <w:jc w:val="center"/>
    </w:pPr>
    <w:rPr>
      <w:rFonts w:ascii="Times New Roman" w:hAnsi="Times New Roman" w:cs="Times New Roman" w:eastAsia="Times New Roman"/>
      <w:b/>
      <w:color w:val="000000"/>
      <w:sz w:val="3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40"/>
      <w:outlineLvl w:val="0"/>
    </w:pPr>
    <w:rPr>
      <w:rFonts w:ascii="Times New Roman" w:hAnsi="Times New Roman" w:cs="Times New Roman" w:eastAsia="Times New Roman"/>
      <w:b/>
      <w:color w:val="000000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/>
      <w:outlineLvl w:val="1"/>
    </w:pPr>
    <w:rPr>
      <w:rFonts w:ascii="Times New Roman" w:hAnsi="Times New Roman" w:cs="Times New Roman" w:eastAsia="Times New Roman"/>
      <w:b/>
      <w:color w:val="000000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40"/>
      <w:outlineLvl w:val="2"/>
    </w:pPr>
    <w:rPr>
      <w:rFonts w:ascii="Times New Roman" w:hAnsi="Times New Roman" w:cs="Times New Roman" w:eastAsia="Times New Roman"/>
      <w:b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https://docs.kb99.pro/s/vetis-for-1cv8/doc/nastrojka-parametrov-5D7Abpk2Wa" TargetMode="External"/><Relationship Id="rId9" Type="http://schemas.openxmlformats.org/officeDocument/2006/relationships/hyperlink" Target="https://docs.kb99.pro/s/vetis-for-1cv8/doc/ustanovka-v-1s-predpriyatie-83-QOnGyD9U0f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https://docs.kb99.pro/s/vetis-for-1cv8/doc/nastrojka-parametrov-5D7Abpk2Wa" TargetMode="External"/><Relationship Id="rId9" Type="http://schemas.openxmlformats.org/officeDocument/2006/relationships/hyperlink" Target="https://docs.kb99.pro/s/vetis-for-1cv8/doc/ustanovka-v-1s-predpriyatie-83-QOnGyD9U0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2026-10-31T13:00:04Z</dcterms:created>
  <dcterms:modified xsi:type="dcterms:W3CDTF">2026-10-31T13:00:04Z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