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отчёт-по-лабораторной-работе"/>
    <w:p>
      <w:pPr>
        <w:pStyle w:val="Heading1"/>
        <w:jc w:val="center"/>
      </w:pPr>
      <w:r>
        <w:t xml:space="preserve">Отчёт по лабораторной работе</w:t>
      </w:r>
    </w:p>
    <w:p>
      <w:pPr>
        <w:pStyle w:val="FirstParagraph"/>
        <w:jc w:val="left"/>
      </w:pPr>
      <w:r>
        <w:rPr>
          <w:b/>
          <w:bCs/>
        </w:rPr>
        <w:t xml:space="preserve">ФИО:</w:t>
      </w:r>
      <w:r>
        <w:t xml:space="preserve"> </w:t>
      </w:r>
      <w:r>
        <w:t xml:space="preserve">____________________</w:t>
      </w:r>
    </w:p>
    <w:p>
      <w:pPr>
        <w:pStyle w:val="BodyText"/>
        <w:jc w:val="left"/>
      </w:pPr>
      <w:r>
        <w:rPr>
          <w:b/>
          <w:bCs/>
        </w:rPr>
        <w:t xml:space="preserve">Неделя / Лаба:</w:t>
      </w:r>
      <w:r>
        <w:t xml:space="preserve"> </w:t>
      </w:r>
      <w:r>
        <w:t xml:space="preserve">Задача со звёздочкой: установка интеграции кб99 ФГИС «Меркурий» в демо-конфигурацию «Управление торговлей 11.5»</w:t>
      </w:r>
    </w:p>
    <w:p>
      <w:pPr>
        <w:pStyle w:val="BodyText"/>
        <w:jc w:val="left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Установить модуль интеграции кб99 «ВетИС» в демонстрационную базу УТ 11.5, подключить его к тестовому контуру ФГИС «Меркурий» и настроить параметры интеграции. Зафиксировать, что получилось настроить и что нет.</w:t>
      </w:r>
    </w:p>
    <w:bookmarkStart w:id="9" w:name="исходные-данные"/>
    <w:p>
      <w:pPr>
        <w:pStyle w:val="Heading2"/>
      </w:pPr>
      <w:r>
        <w:t xml:space="preserve">Исходные данные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Что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Конфигурация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1С:Управление торговлей, ред. 11, версия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11.5.11.70</w:t>
            </w:r>
            <w:r>
              <w:rPr>
                <w:rFonts w:ascii="Times New Roman" w:hAnsi="Times New Roman"/>
                <w:sz w:val="24"/>
              </w:rPr>
              <w:t xml:space="preserve">, демо-база (файловая, 3,5 ГБ, режим совместимости 8.3.17)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Модуль интеграции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/>
                <w:sz w:val="24"/>
              </w:rPr>
              <w:t xml:space="preserve">Ветис.cf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— конфигурация «Интеграция_кб99_Ветис» (kb99.pro), версия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3.0.3.260811</w:t>
            </w:r>
            <w:r>
              <w:rPr>
                <w:rFonts w:ascii="Times New Roman" w:hAnsi="Times New Roman"/>
                <w:sz w:val="24"/>
              </w:rPr>
              <w:t xml:space="preserve">, режим совместимости 8.3.14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Платформа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Конфигуратор 8.3.27.2170. Режим 1С:Предприятие запускался на учебной версии 8.3.25.1286: у полной платформы нет лицензии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Контур «Меркурия»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Тестовый. Реквизиты Ветис.API выданы преподавателем; в отчёт они не включены, на скриншотах закрыты</w:t>
            </w:r>
          </w:p>
        </w:tc>
      </w:tr>
    </w:tbl>
    <w:bookmarkEnd w:id="9"/>
    <w:bookmarkStart w:id="13" w:name="шаги-воспроизведения"/>
    <w:p>
      <w:pPr>
        <w:pStyle w:val="Heading2"/>
      </w:pPr>
      <w:r>
        <w:t xml:space="preserve">Шаги воспроизведения</w:t>
      </w:r>
    </w:p>
    <w:bookmarkStart w:id="10" w:name="подготовка"/>
    <w:p>
      <w:pPr>
        <w:pStyle w:val="Heading3"/>
      </w:pPr>
      <w:r>
        <w:t xml:space="preserve">1. Подготовка</w:t>
      </w:r>
    </w:p>
    <w:p>
      <w:pPr>
        <w:pStyle w:val="Compact"/>
        <w:numPr>
          <w:ilvl w:val="0"/>
          <w:numId w:val="1001"/>
        </w:numPr>
      </w:pPr>
      <w:r>
        <w:t xml:space="preserve">Демо-база распакована из архива в отдельную папку. С копией можно экспериментировать, исходный архив остаётся резервной копией. УТ сама помечает базу как «[КОПИЯ]».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Ветис.cf</w:t>
      </w:r>
      <w:r>
        <w:t xml:space="preserve"> </w:t>
      </w:r>
      <w:r>
        <w:t xml:space="preserve">загружен во временную пустую базу и выгружен в файлы. Так можно посмотреть его состав: 254 объекта метаданных, корневая подсистема</w:t>
      </w:r>
      <w:r>
        <w:t xml:space="preserve"> </w:t>
      </w:r>
      <w:r>
        <w:rPr>
          <w:rStyle w:val="VerbatimChar"/>
        </w:rPr>
        <w:t xml:space="preserve">кб99_ВСД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Составы двух конфигураций сравнены:</w:t>
      </w:r>
    </w:p>
    <w:p>
      <w:pPr>
        <w:pStyle w:val="Compact"/>
        <w:numPr>
          <w:ilvl w:val="1"/>
          <w:numId w:val="1002"/>
        </w:numPr>
      </w:pPr>
      <w:r>
        <w:t xml:space="preserve">72 объекта есть в обеих. Это заглушки типовых объектов внутри</w:t>
      </w:r>
      <w:r>
        <w:t xml:space="preserve"> </w:t>
      </w:r>
      <w:r>
        <w:rPr>
          <w:rStyle w:val="VerbatimChar"/>
        </w:rPr>
        <w:t xml:space="preserve">Ветис.cf</w:t>
      </w:r>
      <w:r>
        <w:t xml:space="preserve">: справочники Номенклатура, Организации, Контрагенты, документы РеализацияТоваровУслуг, ПриобретениеТоваровУслуг, общие модули БСП и т.п. Реквизитов интеграции в них нет, только стандартные.</w:t>
      </w:r>
    </w:p>
    <w:p>
      <w:pPr>
        <w:pStyle w:val="Compact"/>
        <w:numPr>
          <w:ilvl w:val="1"/>
          <w:numId w:val="1002"/>
        </w:numPr>
      </w:pPr>
      <w:r>
        <w:t xml:space="preserve">182 объекта новые.</w:t>
      </w:r>
    </w:p>
    <w:bookmarkEnd w:id="10"/>
    <w:bookmarkStart w:id="11" w:name="установка-объединение-конфигураций"/>
    <w:p>
      <w:pPr>
        <w:pStyle w:val="Heading3"/>
      </w:pPr>
      <w:r>
        <w:t xml:space="preserve">2. Установка (объединение конфигураций)</w:t>
      </w:r>
    </w:p>
    <w:p>
      <w:pPr>
        <w:pStyle w:val="FirstParagraph"/>
        <w:ind w:firstLine="709"/>
        <w:jc w:val="both"/>
      </w:pPr>
      <w:r>
        <w:t xml:space="preserve">Инструкция kb99 предлагает «Сравнить, объединить с конфигурацией из файла» → «Отметить по подсистемам файла» → только «кб99_ВСД». Я сделал то же самое в пакетном режиме Конфигуратора, через выгрузку и загрузку XML:</w:t>
      </w:r>
    </w:p>
    <w:p>
      <w:pPr>
        <w:pStyle w:val="Compact"/>
        <w:numPr>
          <w:ilvl w:val="0"/>
          <w:numId w:val="1003"/>
        </w:numPr>
      </w:pPr>
      <w:r>
        <w:t xml:space="preserve">В набор вошла подсистема</w:t>
      </w:r>
      <w:r>
        <w:t xml:space="preserve"> </w:t>
      </w:r>
      <w:r>
        <w:rPr>
          <w:rStyle w:val="VerbatimChar"/>
        </w:rPr>
        <w:t xml:space="preserve">кб99_ВСД</w:t>
      </w:r>
      <w:r>
        <w:t xml:space="preserve"> </w:t>
      </w:r>
      <w:r>
        <w:t xml:space="preserve">со всеми вложенными подсистемами (СправочникиВСД, ДокументыВСДv2, Команды, ОтчетыВСД, ДокументыВСДv1, УстаревшиеВерсии), их состав и все объекты, на которые они ссылаются по типам и из модулей. Получилось</w:t>
      </w:r>
      <w:r>
        <w:t xml:space="preserve"> </w:t>
      </w:r>
      <w:r>
        <w:rPr>
          <w:b/>
          <w:bCs/>
        </w:rPr>
        <w:t xml:space="preserve">173 объекта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33 общие картинки;</w:t>
      </w:r>
    </w:p>
    <w:p>
      <w:pPr>
        <w:pStyle w:val="Compact"/>
        <w:numPr>
          <w:ilvl w:val="1"/>
          <w:numId w:val="1004"/>
        </w:numPr>
      </w:pPr>
      <w:r>
        <w:t xml:space="preserve">24 общих модуля</w:t>
      </w:r>
      <w:r>
        <w:t xml:space="preserve"> </w:t>
      </w:r>
      <w:r>
        <w:rPr>
          <w:rStyle w:val="VerbatimChar"/>
        </w:rPr>
        <w:t xml:space="preserve">ВетИС_*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21 справочник</w:t>
      </w:r>
      <w:r>
        <w:t xml:space="preserve"> </w:t>
      </w:r>
      <w:r>
        <w:rPr>
          <w:rStyle w:val="VerbatimChar"/>
        </w:rPr>
        <w:t xml:space="preserve">ВСД_*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21 общая команда;</w:t>
      </w:r>
    </w:p>
    <w:p>
      <w:pPr>
        <w:pStyle w:val="Compact"/>
        <w:numPr>
          <w:ilvl w:val="1"/>
          <w:numId w:val="1004"/>
        </w:numPr>
      </w:pPr>
      <w:r>
        <w:t xml:space="preserve">16 документов</w:t>
      </w:r>
      <w:r>
        <w:t xml:space="preserve"> </w:t>
      </w:r>
      <w:r>
        <w:rPr>
          <w:rStyle w:val="VerbatimChar"/>
        </w:rPr>
        <w:t xml:space="preserve">ВСД*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14 обработок;</w:t>
      </w:r>
    </w:p>
    <w:p>
      <w:pPr>
        <w:pStyle w:val="Compact"/>
        <w:numPr>
          <w:ilvl w:val="1"/>
          <w:numId w:val="1004"/>
        </w:numPr>
      </w:pPr>
      <w:r>
        <w:t xml:space="preserve">9 перечислений;</w:t>
      </w:r>
    </w:p>
    <w:p>
      <w:pPr>
        <w:pStyle w:val="Compact"/>
        <w:numPr>
          <w:ilvl w:val="1"/>
          <w:numId w:val="1004"/>
        </w:numPr>
      </w:pPr>
      <w:r>
        <w:t xml:space="preserve">9 отчётов;</w:t>
      </w:r>
    </w:p>
    <w:p>
      <w:pPr>
        <w:pStyle w:val="Compact"/>
        <w:numPr>
          <w:ilvl w:val="1"/>
          <w:numId w:val="1004"/>
        </w:numPr>
      </w:pPr>
      <w:r>
        <w:t xml:space="preserve">7 общих форм;</w:t>
      </w:r>
    </w:p>
    <w:p>
      <w:pPr>
        <w:pStyle w:val="Compact"/>
        <w:numPr>
          <w:ilvl w:val="1"/>
          <w:numId w:val="1004"/>
        </w:numPr>
      </w:pPr>
      <w:r>
        <w:t xml:space="preserve">7 регламентных заданий;</w:t>
      </w:r>
    </w:p>
    <w:p>
      <w:pPr>
        <w:pStyle w:val="Compact"/>
        <w:numPr>
          <w:ilvl w:val="1"/>
          <w:numId w:val="1004"/>
        </w:numPr>
      </w:pPr>
      <w:r>
        <w:t xml:space="preserve">5 регистров сведений;</w:t>
      </w:r>
    </w:p>
    <w:p>
      <w:pPr>
        <w:pStyle w:val="Compact"/>
        <w:numPr>
          <w:ilvl w:val="1"/>
          <w:numId w:val="1004"/>
        </w:numPr>
      </w:pPr>
      <w:r>
        <w:t xml:space="preserve">2 регистра накопления;</w:t>
      </w:r>
    </w:p>
    <w:p>
      <w:pPr>
        <w:pStyle w:val="Compact"/>
        <w:numPr>
          <w:ilvl w:val="1"/>
          <w:numId w:val="1004"/>
        </w:numPr>
      </w:pPr>
      <w:r>
        <w:t xml:space="preserve">2 роли</w:t>
      </w:r>
      <w:r>
        <w:t xml:space="preserve"> </w:t>
      </w:r>
      <w:r>
        <w:rPr>
          <w:rStyle w:val="VerbatimChar"/>
        </w:rPr>
        <w:t xml:space="preserve">кб99_*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журнал документов, группа команд и сама подсистема.</w:t>
      </w:r>
    </w:p>
    <w:p>
      <w:pPr>
        <w:pStyle w:val="Compact"/>
        <w:numPr>
          <w:ilvl w:val="0"/>
          <w:numId w:val="1000"/>
        </w:numPr>
      </w:pPr>
      <w:r>
        <w:t xml:space="preserve">Полный список — в файле</w:t>
      </w:r>
      <w:r>
        <w:t xml:space="preserve"> </w:t>
      </w:r>
      <w:r>
        <w:rPr>
          <w:rStyle w:val="VerbatimChar"/>
        </w:rPr>
        <w:t xml:space="preserve">docs/ut-vetis-perenesennye-obekty.txt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Не переносились: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Заглушки типовых объектов.</w:t>
      </w:r>
      <w:r>
        <w:t xml:space="preserve"> </w:t>
      </w:r>
      <w:r>
        <w:t xml:space="preserve">Остались объекты УТ, иначе типовые объекты заменились бы на урезанные. Это соответствует пункту инструкции о снятии отметки с «Интеграция_кб99_Ветис».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Объекты вне подсистемы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кб99_ВСД</w:t>
      </w:r>
      <w:r>
        <w:rPr>
          <w:b/>
          <w:bCs/>
        </w:rPr>
        <w:t xml:space="preserve">.</w:t>
      </w:r>
      <w:r>
        <w:t xml:space="preserve"> </w:t>
      </w:r>
      <w:r>
        <w:t xml:space="preserve">Это подсистема</w:t>
      </w:r>
      <w:r>
        <w:t xml:space="preserve"> </w:t>
      </w:r>
      <w:r>
        <w:rPr>
          <w:rStyle w:val="VerbatimChar"/>
        </w:rPr>
        <w:t xml:space="preserve">ТиповыеДокументы</w:t>
      </w:r>
      <w:r>
        <w:t xml:space="preserve">, роль</w:t>
      </w:r>
      <w:r>
        <w:t xml:space="preserve"> </w:t>
      </w:r>
      <w:r>
        <w:rPr>
          <w:rStyle w:val="VerbatimChar"/>
        </w:rPr>
        <w:t xml:space="preserve">Администратор</w:t>
      </w:r>
      <w:r>
        <w:t xml:space="preserve">, справочник</w:t>
      </w:r>
      <w:r>
        <w:t xml:space="preserve"> </w:t>
      </w:r>
      <w:r>
        <w:rPr>
          <w:rStyle w:val="VerbatimChar"/>
        </w:rPr>
        <w:t xml:space="preserve">СпецификацииНоменклатуры</w:t>
      </w:r>
      <w:r>
        <w:t xml:space="preserve"> </w:t>
      </w:r>
      <w:r>
        <w:t xml:space="preserve">и регистр</w:t>
      </w:r>
      <w:r>
        <w:t xml:space="preserve"> </w:t>
      </w:r>
      <w:r>
        <w:rPr>
          <w:rStyle w:val="VerbatimChar"/>
        </w:rPr>
        <w:t xml:space="preserve">кб99_ОрганизацияПоУмолчанию</w:t>
      </w:r>
      <w:r>
        <w:t xml:space="preserve">. Модули интеграции на них не ссылаются.</w:t>
      </w:r>
    </w:p>
    <w:p>
      <w:pPr>
        <w:pStyle w:val="Compact"/>
        <w:numPr>
          <w:ilvl w:val="0"/>
          <w:numId w:val="1003"/>
        </w:numPr>
      </w:pPr>
      <w:r>
        <w:t xml:space="preserve">Объекты загружены в конфигурацию УТ частичной загрузкой</w:t>
      </w:r>
      <w:r>
        <w:t xml:space="preserve"> </w:t>
      </w:r>
      <w:r>
        <w:rPr>
          <w:rStyle w:val="VerbatimChar"/>
        </w:rPr>
        <w:t xml:space="preserve">/LoadConfigFromFiles … -listFile … -partial</w:t>
      </w:r>
      <w:r>
        <w:t xml:space="preserve"> </w:t>
      </w:r>
      <w:r>
        <w:t xml:space="preserve">от имени пользователя демо-базы «Администратор (ОрловАВ)». Конфигуратор выдал два предупреждения «Неизвестный объект метаданных — Configuration.Интеграция_кб99_Ветис». Это ссылки на корень исходной конфигурации интеграции, на работу они не влияют. Аналог окна «Неразрешимые ссылки → Продолжить» из инструкции.</w:t>
      </w:r>
    </w:p>
    <w:p>
      <w:pPr>
        <w:pStyle w:val="Compact"/>
        <w:numPr>
          <w:ilvl w:val="0"/>
          <w:numId w:val="1003"/>
        </w:numPr>
      </w:pPr>
      <w:r>
        <w:t xml:space="preserve">Структура базы обновлена командой</w:t>
      </w:r>
      <w:r>
        <w:t xml:space="preserve"> </w:t>
      </w:r>
      <w:r>
        <w:rPr>
          <w:rStyle w:val="VerbatimChar"/>
        </w:rPr>
        <w:t xml:space="preserve">/UpdateDBCfg</w:t>
      </w:r>
      <w:r>
        <w:t xml:space="preserve">: созданы таблицы новых справочников, документов, регистров и регламентных заданий. Изменения приняты без ошибок.</w:t>
      </w:r>
    </w:p>
    <w:p>
      <w:pPr>
        <w:pStyle w:val="Compact"/>
        <w:numPr>
          <w:ilvl w:val="0"/>
          <w:numId w:val="1003"/>
        </w:numPr>
      </w:pPr>
      <w:r>
        <w:t xml:space="preserve">Синтаксический контроль модулей всей конфигурации (</w:t>
      </w:r>
      <w:r>
        <w:rPr>
          <w:rStyle w:val="VerbatimChar"/>
        </w:rPr>
        <w:t xml:space="preserve">/CheckModules -ThinClient -Server</w:t>
      </w:r>
      <w:r>
        <w:t xml:space="preserve">) пишет:</w:t>
      </w:r>
      <w:r>
        <w:t xml:space="preserve"> </w:t>
      </w:r>
      <w:r>
        <w:rPr>
          <w:b/>
          <w:bCs/>
        </w:rPr>
        <w:t xml:space="preserve">«Синтаксических ошибок не обнаружено!»</w:t>
      </w:r>
      <w:r>
        <w:t xml:space="preserve">.</w:t>
      </w:r>
    </w:p>
    <w:bookmarkEnd w:id="11"/>
    <w:bookmarkStart w:id="12" w:name="запуск-и-настройка-параметров"/>
    <w:p>
      <w:pPr>
        <w:pStyle w:val="Heading3"/>
      </w:pPr>
      <w:r>
        <w:t xml:space="preserve">3. Запуск и настройка параметров</w:t>
      </w:r>
    </w:p>
    <w:p>
      <w:pPr>
        <w:pStyle w:val="Compact"/>
        <w:numPr>
          <w:ilvl w:val="0"/>
          <w:numId w:val="1006"/>
        </w:numPr>
      </w:pPr>
      <w:r>
        <w:t xml:space="preserve">УТ запущена в режиме 1С:Предприятие на учебной платформе 8.3.25. В панели разделов появился раздел</w:t>
      </w:r>
      <w:r>
        <w:t xml:space="preserve"> </w:t>
      </w:r>
      <w:r>
        <w:rPr>
          <w:b/>
          <w:bCs/>
        </w:rPr>
        <w:t xml:space="preserve">«кб99 ВСД»</w:t>
      </w:r>
      <w:r>
        <w:t xml:space="preserve"> </w:t>
      </w:r>
      <w:r>
        <w:t xml:space="preserve">(рисунок 1). В нём есть меню с документами ВСД v2, справочниками, отчётами и сервисными обработками (рисунок 2).</w:t>
      </w:r>
    </w:p>
    <w:p>
      <w:pPr>
        <w:pStyle w:val="Compact"/>
        <w:numPr>
          <w:ilvl w:val="0"/>
          <w:numId w:val="1006"/>
        </w:numPr>
      </w:pPr>
      <w:r>
        <w:t xml:space="preserve">Открыта обработка</w:t>
      </w:r>
      <w:r>
        <w:t xml:space="preserve"> </w:t>
      </w:r>
      <w:r>
        <w:rPr>
          <w:b/>
          <w:bCs/>
        </w:rPr>
        <w:t xml:space="preserve">кб99 ВСД → Сервис → Параметры интеграции</w:t>
      </w:r>
      <w:r>
        <w:t xml:space="preserve">. До первой загрузки в ней видна только вкладка «Подключение» (рисунок 3).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Вкладка «Подключение».</w:t>
      </w:r>
    </w:p>
    <w:p>
      <w:pPr>
        <w:pStyle w:val="Compact"/>
        <w:numPr>
          <w:ilvl w:val="1"/>
          <w:numId w:val="1007"/>
        </w:numPr>
      </w:pPr>
      <w:r>
        <w:t xml:space="preserve">Заполнены Login, Password, APIKey, IssuerID тестового Ветис.API.</w:t>
      </w:r>
    </w:p>
    <w:p>
      <w:pPr>
        <w:pStyle w:val="Compact"/>
        <w:numPr>
          <w:ilvl w:val="1"/>
          <w:numId w:val="1007"/>
        </w:numPr>
      </w:pPr>
      <w:r>
        <w:t xml:space="preserve">Поле «Код лицензии» оставлено пустым: для тестового контура он не нужен.</w:t>
      </w:r>
    </w:p>
    <w:p>
      <w:pPr>
        <w:pStyle w:val="Compact"/>
        <w:numPr>
          <w:ilvl w:val="1"/>
          <w:numId w:val="1007"/>
        </w:numPr>
      </w:pPr>
      <w:r>
        <w:t xml:space="preserve">Нажаты «Сохранить параметры» и «Выполнить» (начальная загрузка).</w:t>
      </w:r>
    </w:p>
    <w:p>
      <w:pPr>
        <w:pStyle w:val="Compact"/>
        <w:numPr>
          <w:ilvl w:val="1"/>
          <w:numId w:val="1007"/>
        </w:numPr>
      </w:pPr>
      <w:r>
        <w:t xml:space="preserve">Загрузка заняла несколько минут. Всё это время окно 1С не отвечало: обмен идёт синхронно, но процесс работал, а не висел.</w:t>
      </w:r>
    </w:p>
    <w:p>
      <w:pPr>
        <w:pStyle w:val="Compact"/>
        <w:numPr>
          <w:ilvl w:val="1"/>
          <w:numId w:val="1007"/>
        </w:numPr>
      </w:pPr>
      <w:r>
        <w:t xml:space="preserve">Результат (рисунок 4): «Режим: Тестирование», запрос</w:t>
      </w:r>
      <w:r>
        <w:t xml:space="preserve"> </w:t>
      </w:r>
      <w:r>
        <w:rPr>
          <w:rStyle w:val="VerbatimChar"/>
        </w:rPr>
        <w:t xml:space="preserve">getEnterpriseByGuid</w:t>
      </w:r>
      <w:r>
        <w:t xml:space="preserve">, «Записана ВСД_Площадка [Площадка_1 Самара]», «Инициализация завершена», «Настройки сохранены для ИП</w:t>
      </w:r>
      <w:r>
        <w:t xml:space="preserve"> </w:t>
      </w:r>
      <w:r>
        <w:t xml:space="preserve">“Предприниматель”</w:t>
      </w:r>
      <w:r>
        <w:t xml:space="preserve">». После этого появились остальные вкладки: «Параметры по умолчанию», «Документы», «Производство», «Инициализация», «Сервис».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Основная площадка.</w:t>
      </w:r>
      <w:r>
        <w:t xml:space="preserve"> </w:t>
      </w:r>
      <w:r>
        <w:t xml:space="preserve">В поле «Площадка» выбрана «Площадка_1 Самара», параметры сохранены.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Проверка обмена — «Сервис → Партии»</w:t>
      </w:r>
      <w:r>
        <w:t xml:space="preserve">, период 01.01.2024–31.10.2026, «Получить партии с отбором [Ветис v2.1]».</w:t>
      </w:r>
    </w:p>
    <w:p>
      <w:pPr>
        <w:pStyle w:val="Compact"/>
        <w:numPr>
          <w:ilvl w:val="1"/>
          <w:numId w:val="1008"/>
        </w:numPr>
      </w:pPr>
      <w:r>
        <w:t xml:space="preserve">Первая попытка: заявка принята (ACCEPTED), потом</w:t>
      </w:r>
      <w:r>
        <w:t xml:space="preserve"> </w:t>
      </w:r>
      <w:r>
        <w:rPr>
          <w:b/>
          <w:bCs/>
        </w:rPr>
        <w:t xml:space="preserve">отклонена</w:t>
      </w:r>
      <w:r>
        <w:t xml:space="preserve">. Причина: не был заполнен «Логин инициатора».</w:t>
      </w:r>
    </w:p>
    <w:p>
      <w:pPr>
        <w:pStyle w:val="Compact"/>
        <w:numPr>
          <w:ilvl w:val="1"/>
          <w:numId w:val="1008"/>
        </w:numPr>
      </w:pPr>
      <w:r>
        <w:t xml:space="preserve">Логин инициатора (учётная запись Ветис.Паспорта) заполнен, запрос повторён. Ответ «</w:t>
      </w:r>
      <w:r>
        <w:rPr>
          <w:b/>
          <w:bCs/>
        </w:rPr>
        <w:t xml:space="preserve">Завершен</w:t>
      </w:r>
      <w:r>
        <w:t xml:space="preserve">» (рисунок 5).</w:t>
      </w:r>
    </w:p>
    <w:p>
      <w:pPr>
        <w:pStyle w:val="Compact"/>
        <w:numPr>
          <w:ilvl w:val="1"/>
          <w:numId w:val="1008"/>
        </w:numPr>
      </w:pPr>
      <w:r>
        <w:t xml:space="preserve">Из «Меркурия» загружены реальные партии тестовой площадки: «Бедро куриное», «Бифидок мдж 3,2%» и др., с количеством, датами изготовления и сроками годности (рисунок 6).</w:t>
      </w:r>
    </w:p>
    <w:p>
      <w:pPr>
        <w:pStyle w:val="Compact"/>
        <w:numPr>
          <w:ilvl w:val="1"/>
          <w:numId w:val="1008"/>
        </w:numPr>
      </w:pPr>
      <w:r>
        <w:t xml:space="preserve">В ходе обмена загружен хозяйствующий субъект (его GUID совпадает с IssuerID).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Вкладка «Параметры по умолчанию»</w:t>
      </w:r>
      <w:r>
        <w:t xml:space="preserve"> </w:t>
      </w:r>
      <w:r>
        <w:t xml:space="preserve">(рисунок 7):</w:t>
      </w:r>
    </w:p>
    <w:p>
      <w:pPr>
        <w:pStyle w:val="Compact"/>
        <w:numPr>
          <w:ilvl w:val="1"/>
          <w:numId w:val="1009"/>
        </w:numPr>
      </w:pPr>
      <w:r>
        <w:t xml:space="preserve">отправитель — хозсубъект тестовой учётной записи и «Площадка_1 Самара»;</w:t>
      </w:r>
    </w:p>
    <w:p>
      <w:pPr>
        <w:pStyle w:val="Compact"/>
        <w:numPr>
          <w:ilvl w:val="1"/>
          <w:numId w:val="1009"/>
        </w:numPr>
      </w:pPr>
      <w:r>
        <w:t xml:space="preserve">перевозчик — тот же хозсубъект;</w:t>
      </w:r>
    </w:p>
    <w:p>
      <w:pPr>
        <w:pStyle w:val="Compact"/>
        <w:numPr>
          <w:ilvl w:val="1"/>
          <w:numId w:val="1009"/>
        </w:numPr>
      </w:pPr>
      <w:r>
        <w:t xml:space="preserve">термические условия «Охлаждённый»;</w:t>
      </w:r>
    </w:p>
    <w:p>
      <w:pPr>
        <w:pStyle w:val="Compact"/>
        <w:numPr>
          <w:ilvl w:val="1"/>
          <w:numId w:val="1009"/>
        </w:numPr>
      </w:pPr>
      <w:r>
        <w:t xml:space="preserve">цель перевозки «Реализация в пищу людям». Справочник целей загружен из «Меркурия» кнопкой «Цели».</w:t>
      </w:r>
    </w:p>
    <w:p>
      <w:pPr>
        <w:pStyle w:val="Compact"/>
        <w:numPr>
          <w:ilvl w:val="1"/>
          <w:numId w:val="1009"/>
        </w:numPr>
      </w:pPr>
      <w:r>
        <w:t xml:space="preserve">Адрес (Российская Федерация, Самарская обл., Самара) заполнился автоматически по площадке.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Вкладка «Документы»</w:t>
      </w:r>
      <w:r>
        <w:t xml:space="preserve"> </w:t>
      </w:r>
      <w:r>
        <w:t xml:space="preserve">(рисунок 8):</w:t>
      </w:r>
    </w:p>
    <w:p>
      <w:pPr>
        <w:pStyle w:val="Compact"/>
        <w:numPr>
          <w:ilvl w:val="1"/>
          <w:numId w:val="1010"/>
        </w:numPr>
      </w:pPr>
      <w:r>
        <w:t xml:space="preserve">«Имя реквизита [Грузополучатель] в Реализации» =</w:t>
      </w:r>
      <w:r>
        <w:t xml:space="preserve"> </w:t>
      </w:r>
      <w:r>
        <w:rPr>
          <w:rStyle w:val="VerbatimChar"/>
        </w:rPr>
        <w:t xml:space="preserve">Контрагент</w:t>
      </w:r>
      <w:r>
        <w:t xml:space="preserve">;</w:t>
      </w:r>
    </w:p>
    <w:p>
      <w:pPr>
        <w:pStyle w:val="Compact"/>
        <w:numPr>
          <w:ilvl w:val="1"/>
          <w:numId w:val="1010"/>
        </w:numPr>
      </w:pPr>
      <w:r>
        <w:t xml:space="preserve">«Имя реквизита [Количество]» =</w:t>
      </w:r>
      <w:r>
        <w:t xml:space="preserve"> </w:t>
      </w:r>
      <w:r>
        <w:rPr>
          <w:rStyle w:val="VerbatimChar"/>
        </w:rPr>
        <w:t xml:space="preserve">Количество</w:t>
      </w:r>
      <w:r>
        <w:t xml:space="preserve"> </w:t>
      </w:r>
      <w:r>
        <w:t xml:space="preserve">(реквизиты табличной части «Товары» документа РеализацияТоваровУслуг в УТ);</w:t>
      </w:r>
    </w:p>
    <w:p>
      <w:pPr>
        <w:pStyle w:val="Compact"/>
        <w:numPr>
          <w:ilvl w:val="1"/>
          <w:numId w:val="1010"/>
        </w:numPr>
      </w:pPr>
      <w:r>
        <w:t xml:space="preserve">коэффициент пересчёта 1;</w:t>
      </w:r>
    </w:p>
    <w:p>
      <w:pPr>
        <w:pStyle w:val="Compact"/>
        <w:numPr>
          <w:ilvl w:val="1"/>
          <w:numId w:val="1010"/>
        </w:numPr>
      </w:pPr>
      <w:r>
        <w:t xml:space="preserve">включены «Сверять количество во Входящих ВСД с Приходной Накладной» и «Устанавливать соответствия в документе»;</w:t>
      </w:r>
    </w:p>
    <w:p>
      <w:pPr>
        <w:pStyle w:val="Compact"/>
        <w:numPr>
          <w:ilvl w:val="1"/>
          <w:numId w:val="1010"/>
        </w:numPr>
      </w:pPr>
      <w:r>
        <w:t xml:space="preserve">«Показывать просроченные партии» включено по умолчанию.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Проверка связи с документами УТ.</w:t>
      </w:r>
      <w:r>
        <w:t xml:space="preserve"> </w:t>
      </w:r>
      <w:r>
        <w:t xml:space="preserve">Открыто рабочее место</w:t>
      </w:r>
      <w:r>
        <w:t xml:space="preserve"> </w:t>
      </w:r>
      <w:r>
        <w:rPr>
          <w:b/>
          <w:bCs/>
        </w:rPr>
        <w:t xml:space="preserve">«кб99 Интеграция ФГИС Меркурий»</w:t>
      </w:r>
      <w:r>
        <w:t xml:space="preserve"> </w:t>
      </w:r>
      <w:r>
        <w:t xml:space="preserve">(Сервис → Интеграция ФГИС Ветис), период расширен до 01.01.2022. В списке реализаций появился документ УТ</w:t>
      </w:r>
      <w:r>
        <w:t xml:space="preserve"> </w:t>
      </w:r>
      <w:r>
        <w:rPr>
          <w:b/>
          <w:bCs/>
        </w:rPr>
        <w:t xml:space="preserve">«№ЧП00-000001 от 01.03.2023»</w:t>
      </w:r>
      <w:r>
        <w:t xml:space="preserve">, грузополучатель «Альфа», количество 10 (рисунок 9). Значит, интеграция читает типовые документы УТ.</w:t>
      </w:r>
    </w:p>
    <w:bookmarkEnd w:id="12"/>
    <w:bookmarkEnd w:id="13"/>
    <w:bookmarkStart w:id="41" w:name="что-должно-получиться"/>
    <w:p>
      <w:pPr>
        <w:pStyle w:val="Heading2"/>
      </w:pPr>
      <w:r>
        <w:t xml:space="preserve">Что должно получиться</w:t>
      </w:r>
    </w:p>
    <w:p>
      <w:pPr>
        <w:pStyle w:val="CaptionedFigure"/>
        <w:ind w:firstLine="0"/>
        <w:jc w:val="center"/>
      </w:pPr>
      <w:r>
        <w:drawing>
          <wp:inline>
            <wp:extent cx="5334000" cy="2537951"/>
            <wp:effectExtent b="0" l="0" r="0" t="0"/>
            <wp:docPr descr="Рисунок 1 — Раздел «кб99 ВСД» в панели разделов УТ" title="" id="15" name="Picture"/>
            <a:graphic>
              <a:graphicData uri="http://schemas.openxmlformats.org/drawingml/2006/picture">
                <pic:pic>
                  <pic:nvPicPr>
                    <pic:cNvPr descr="img/ut/01-razdel-kb99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7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Рисунок 1 — Раздел «кб99 ВСД» в панели разделов УТ</w:t>
      </w:r>
    </w:p>
    <w:p>
      <w:pPr>
        <w:pStyle w:val="CaptionedFigure"/>
        <w:ind w:firstLine="0"/>
        <w:jc w:val="center"/>
      </w:pPr>
      <w:r>
        <w:drawing>
          <wp:inline>
            <wp:extent cx="5334000" cy="3022049"/>
            <wp:effectExtent b="0" l="0" r="0" t="0"/>
            <wp:docPr descr="Рисунок 2 — Меню раздела «кб99 ВСД»" title="" id="18" name="Picture"/>
            <a:graphic>
              <a:graphicData uri="http://schemas.openxmlformats.org/drawingml/2006/picture">
                <pic:pic>
                  <pic:nvPicPr>
                    <pic:cNvPr descr="img/ut/02-menu-kb99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2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Рисунок 2 — Меню раздела «кб99 ВСД»</w:t>
      </w:r>
    </w:p>
    <w:p>
      <w:pPr>
        <w:pStyle w:val="CaptionedFigure"/>
        <w:ind w:firstLine="0"/>
        <w:jc w:val="center"/>
      </w:pPr>
      <w:r>
        <w:drawing>
          <wp:inline>
            <wp:extent cx="5334000" cy="2485346"/>
            <wp:effectExtent b="0" l="0" r="0" t="0"/>
            <wp:docPr descr="Рисунок 3 — Параметры интеграции до начальной загрузки" title="" id="21" name="Picture"/>
            <a:graphic>
              <a:graphicData uri="http://schemas.openxmlformats.org/drawingml/2006/picture">
                <pic:pic>
                  <pic:nvPicPr>
                    <pic:cNvPr descr="img/ut/03-parametry-pust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5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Рисунок 3 — Параметры интеграции до начальной загрузки</w:t>
      </w:r>
    </w:p>
    <w:p>
      <w:pPr>
        <w:pStyle w:val="CaptionedFigure"/>
        <w:ind w:firstLine="0"/>
        <w:jc w:val="center"/>
      </w:pPr>
      <w:r>
        <w:drawing>
          <wp:inline>
            <wp:extent cx="5334000" cy="2172493"/>
            <wp:effectExtent b="0" l="0" r="0" t="0"/>
            <wp:docPr descr="Рисунок 4 — Начальная загрузка выполнена: площадка получена из «Меркурия»" title="" id="24" name="Picture"/>
            <a:graphic>
              <a:graphicData uri="http://schemas.openxmlformats.org/drawingml/2006/picture">
                <pic:pic>
                  <pic:nvPicPr>
                    <pic:cNvPr descr="img/ut/04-nachalnaya-zagruzk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2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Рисунок 4 — Начальная загрузка выполнена: площадка получена из «Меркурия»</w:t>
      </w:r>
    </w:p>
    <w:p>
      <w:pPr>
        <w:pStyle w:val="CaptionedFigure"/>
        <w:ind w:firstLine="0"/>
        <w:jc w:val="center"/>
      </w:pPr>
      <w:r>
        <w:drawing>
          <wp:inline>
            <wp:extent cx="5334000" cy="1824127"/>
            <wp:effectExtent b="0" l="0" r="0" t="0"/>
            <wp:docPr descr="Рисунок 5 — Запрос партий: заявка принята и завершена" title="" id="27" name="Picture"/>
            <a:graphic>
              <a:graphicData uri="http://schemas.openxmlformats.org/drawingml/2006/picture">
                <pic:pic>
                  <pic:nvPicPr>
                    <pic:cNvPr descr="img/ut/05-zapros-parti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Рисунок 5 — Запрос партий: заявка принята и завершена</w:t>
      </w:r>
    </w:p>
    <w:p>
      <w:pPr>
        <w:pStyle w:val="CaptionedFigure"/>
        <w:ind w:firstLine="0"/>
        <w:jc w:val="center"/>
      </w:pPr>
      <w:r>
        <w:drawing>
          <wp:inline>
            <wp:extent cx="5334000" cy="1572523"/>
            <wp:effectExtent b="0" l="0" r="0" t="0"/>
            <wp:docPr descr="Рисунок 6 — Партии продукции, загруженные из тестового «Меркурия»" title="" id="30" name="Picture"/>
            <a:graphic>
              <a:graphicData uri="http://schemas.openxmlformats.org/drawingml/2006/picture">
                <pic:pic>
                  <pic:nvPicPr>
                    <pic:cNvPr descr="img/ut/06-partii-iz-merkuriy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Рисунок 6 — Партии продукции, загруженные из тестового «Меркурия»</w:t>
      </w:r>
    </w:p>
    <w:p>
      <w:pPr>
        <w:pStyle w:val="CaptionedFigure"/>
        <w:ind w:firstLine="0"/>
        <w:jc w:val="center"/>
      </w:pPr>
      <w:r>
        <w:drawing>
          <wp:inline>
            <wp:extent cx="5334000" cy="2863180"/>
            <wp:effectExtent b="0" l="0" r="0" t="0"/>
            <wp:docPr descr="Рисунок 7 — Вкладка «Параметры по умолчанию»" title="" id="33" name="Picture"/>
            <a:graphic>
              <a:graphicData uri="http://schemas.openxmlformats.org/drawingml/2006/picture">
                <pic:pic>
                  <pic:nvPicPr>
                    <pic:cNvPr descr="img/ut/07-parametry-po-umolchaniyu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3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Рисунок 7 — Вкладка «Параметры по умолчанию»</w:t>
      </w:r>
    </w:p>
    <w:p>
      <w:pPr>
        <w:pStyle w:val="CaptionedFigure"/>
        <w:ind w:firstLine="0"/>
        <w:jc w:val="center"/>
      </w:pPr>
      <w:r>
        <w:drawing>
          <wp:inline>
            <wp:extent cx="5334000" cy="3508026"/>
            <wp:effectExtent b="0" l="0" r="0" t="0"/>
            <wp:docPr descr="Рисунок 8 — Вкладка «Документы»" title="" id="36" name="Picture"/>
            <a:graphic>
              <a:graphicData uri="http://schemas.openxmlformats.org/drawingml/2006/picture">
                <pic:pic>
                  <pic:nvPicPr>
                    <pic:cNvPr descr="img/ut/08-dokument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8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Рисунок 8 — Вкладка «Документы»</w:t>
      </w:r>
    </w:p>
    <w:p>
      <w:pPr>
        <w:pStyle w:val="CaptionedFigure"/>
        <w:ind w:firstLine="0"/>
        <w:jc w:val="center"/>
      </w:pPr>
      <w:r>
        <w:drawing>
          <wp:inline>
            <wp:extent cx="5334000" cy="1069316"/>
            <wp:effectExtent b="0" l="0" r="0" t="0"/>
            <wp:docPr descr="Рисунок 9 — Рабочее место интеграции видит реализацию УТ" title="" id="39" name="Picture"/>
            <a:graphic>
              <a:graphicData uri="http://schemas.openxmlformats.org/drawingml/2006/picture">
                <pic:pic>
                  <pic:nvPicPr>
                    <pic:cNvPr descr="img/ut/09-integraciya-realizacii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9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Рисунок 9 — Рабочее место интеграции видит реализацию УТ</w:t>
      </w:r>
    </w:p>
    <w:p>
      <w:pPr>
        <w:pStyle w:val="Compact"/>
        <w:numPr>
          <w:ilvl w:val="0"/>
          <w:numId w:val="1011"/>
        </w:numPr>
      </w:pPr>
      <w:r>
        <w:t xml:space="preserve">Ожидаемый результат/данные:</w:t>
      </w:r>
    </w:p>
    <w:p>
      <w:pPr>
        <w:pStyle w:val="Compact"/>
        <w:numPr>
          <w:ilvl w:val="1"/>
          <w:numId w:val="1012"/>
        </w:numPr>
      </w:pPr>
      <w:r>
        <w:t xml:space="preserve">конфигурация УТ дополнена подсистемой «кб99 ВСД», типовые объекты не изменены, ошибок синтаксиса нет;</w:t>
      </w:r>
    </w:p>
    <w:p>
      <w:pPr>
        <w:pStyle w:val="Compact"/>
        <w:numPr>
          <w:ilvl w:val="1"/>
          <w:numId w:val="1012"/>
        </w:numPr>
      </w:pPr>
      <w:r>
        <w:t xml:space="preserve">соединение с тестовым Ветис.API работает: площадка, хозсубъект, цели перевозки и партии загружаются;</w:t>
      </w:r>
    </w:p>
    <w:p>
      <w:pPr>
        <w:pStyle w:val="Compact"/>
        <w:numPr>
          <w:ilvl w:val="1"/>
          <w:numId w:val="1012"/>
        </w:numPr>
      </w:pPr>
      <w:r>
        <w:t xml:space="preserve">параметры по умолчанию и параметры документов сохранены для организации ИП «Предприниматель».</w:t>
      </w:r>
    </w:p>
    <w:bookmarkEnd w:id="41"/>
    <w:bookmarkStart w:id="42" w:name="что-получилось-и-что-не-получилось"/>
    <w:p>
      <w:pPr>
        <w:pStyle w:val="Heading2"/>
      </w:pPr>
      <w:r>
        <w:t xml:space="preserve">Что получилось и что не получилось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Пункт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Установка подсистемы «кб99_ВСД» в УТ 11.5.11 без изменения типовых объектов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✅ получилось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Обновление структуры БД, синтаксический контроль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✅ без ошибок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Запуск УТ с интеграцией на учебной платформе 8.3.25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✅ получилось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Вкладка «Подключение», начальная загрузка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✅ получилось, режим «Тестирование»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Основная площадка, хозсубъект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✅ загружены из «Меркурия»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Загрузка партий площадки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✅ со второй попытки, после заполнения логина инициатора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«Параметры по умолчанию» (отправитель, перевозчик, условия, цель, адрес)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✅ заполнены и сохранены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«Документы» (реквизиты реализации, контроль количества, соответствия)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✅ заполнены и сохранены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Рабочее место интеграции видит реализации УТ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✅ получилось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«Производство»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➖ не настраивалось: в торговле нет производства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Логин ветврача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➖ не заполнялся: нужен только для лабораторных исследований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Оформление и отправка транспортного ВСД по реализации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❌ не делалось. Нужны соответствия номенклатуры УТ и продукции «Меркурия» и привязка контрагента «Альфа» к площадке получателя в «Меркурии». Тестовых данных получателя нет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Регламентные задания, отправка запросов в фоне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❌ не настраивалось: в файловой базе на учебной платформе регламентные задания не выполняются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Расширение с переопределёнными функциями (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.cfe</w:t>
            </w:r>
            <w:r>
              <w:rPr>
                <w:rFonts w:ascii="Times New Roman" w:hAnsi="Times New Roman"/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❌ не подключалось: в поставке только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.cf</w:t>
            </w:r>
            <w:r>
              <w:rPr>
                <w:rFonts w:ascii="Times New Roman" w:hAnsi="Times New Roman"/>
                <w:sz w:val="24"/>
              </w:rPr>
              <w:t xml:space="preserve">, а расширение по инструкции нужно для «Управления нашей фирмой»</w:t>
            </w:r>
          </w:p>
        </w:tc>
      </w:tr>
    </w:tbl>
    <w:bookmarkEnd w:id="42"/>
    <w:bookmarkStart w:id="43" w:name="замеченные-ошибкиограничения"/>
    <w:p>
      <w:pPr>
        <w:pStyle w:val="Heading2"/>
      </w:pPr>
      <w:r>
        <w:t xml:space="preserve">Замеченные ошибки/ограничения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Пароль и APIKey видны открытым текстом.</w:t>
      </w:r>
      <w:r>
        <w:t xml:space="preserve"> </w:t>
      </w:r>
      <w:r>
        <w:t xml:space="preserve">Поле «Password» на вкладке «Подключение» не маскируется: пароль виден любому, кто открыл форму. На скриншотах отчёта эти поля закрыты вручную.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Окно зависает на время обмена.</w:t>
      </w:r>
      <w:r>
        <w:t xml:space="preserve"> </w:t>
      </w:r>
      <w:r>
        <w:t xml:space="preserve">Начальная загрузка и запросы выполняются синхронно, окно 1С не отвечает несколько минут. Можно включить «Отправлять запросы в фоне (с помощью задания)», но для этого нужен работающий планировщик регламентных заданий.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Отказ без объяснения.</w:t>
      </w:r>
      <w:r>
        <w:t xml:space="preserve"> </w:t>
      </w:r>
      <w:r>
        <w:t xml:space="preserve">При пустом «Логине инициатора» запрос партий отклоняется («Отклонен applicationID = …») без текста причины в сообщениях. Причину пришлось определять методом исключения.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Ограничения учебной платформы.</w:t>
      </w:r>
      <w:r>
        <w:t xml:space="preserve"> </w:t>
      </w:r>
      <w:r>
        <w:t xml:space="preserve">Учебная версия не даёт печатать и сохранять табличные документы. Полная 8.3.27 без лицензии запускает только Конфигуратор.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Режим поддержки не трогал.</w:t>
      </w:r>
      <w:r>
        <w:t xml:space="preserve"> </w:t>
      </w:r>
      <w:r>
        <w:t xml:space="preserve">Инструкция kb99 требует включить «возможность изменения» в настройке поддержки. Я ставил объекты частичной загрузкой XML, и пакетный режим не потребовал менять поддержку. При обновлении УТ объединение нужно будет повторить.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Устаревшие имена в документации.</w:t>
      </w:r>
      <w:r>
        <w:t xml:space="preserve"> </w:t>
      </w:r>
      <w:r>
        <w:t xml:space="preserve">На docs.kb99.pro модуль переопределений называется</w:t>
      </w:r>
      <w:r>
        <w:t xml:space="preserve"> </w:t>
      </w:r>
      <w:r>
        <w:rPr>
          <w:rStyle w:val="VerbatimChar"/>
        </w:rPr>
        <w:t xml:space="preserve">кб99_ВСД_Переопределения</w:t>
      </w:r>
      <w:r>
        <w:t xml:space="preserve">, а в версии 3.0.3 это</w:t>
      </w:r>
      <w:r>
        <w:t xml:space="preserve"> </w:t>
      </w:r>
      <w:r>
        <w:rPr>
          <w:rStyle w:val="VerbatimChar"/>
        </w:rPr>
        <w:t xml:space="preserve">ВетИС_ПереопределенияСервер</w:t>
      </w:r>
      <w:r>
        <w:t xml:space="preserve">.</w:t>
      </w:r>
    </w:p>
    <w:bookmarkEnd w:id="43"/>
    <w:bookmarkStart w:id="44" w:name="вывод-коротко"/>
    <w:p>
      <w:pPr>
        <w:pStyle w:val="Heading2"/>
      </w:pPr>
      <w:r>
        <w:t xml:space="preserve">Вывод (коротко)</w:t>
      </w:r>
    </w:p>
    <w:p>
      <w:pPr>
        <w:pStyle w:val="Compact"/>
        <w:numPr>
          <w:ilvl w:val="0"/>
          <w:numId w:val="1014"/>
        </w:numPr>
      </w:pPr>
      <w:r>
        <w:t xml:space="preserve">Получилось:</w:t>
      </w:r>
    </w:p>
    <w:p>
      <w:pPr>
        <w:pStyle w:val="Compact"/>
        <w:numPr>
          <w:ilvl w:val="1"/>
          <w:numId w:val="1015"/>
        </w:numPr>
      </w:pPr>
      <w:r>
        <w:t xml:space="preserve">модуль интеграции кб99 «ВетИС» 3.0.3 установлен в демо-УТ 11.5.11 без изменения типовых объектов;</w:t>
      </w:r>
    </w:p>
    <w:p>
      <w:pPr>
        <w:pStyle w:val="Compact"/>
        <w:numPr>
          <w:ilvl w:val="1"/>
          <w:numId w:val="1015"/>
        </w:numPr>
      </w:pPr>
      <w:r>
        <w:t xml:space="preserve">подключение к тестовому «Меркурию» работает: загружены площадка, хозсубъект, цели перевозки и партии продукции;</w:t>
      </w:r>
    </w:p>
    <w:p>
      <w:pPr>
        <w:pStyle w:val="Compact"/>
        <w:numPr>
          <w:ilvl w:val="1"/>
          <w:numId w:val="1015"/>
        </w:numPr>
      </w:pPr>
      <w:r>
        <w:t xml:space="preserve">заполнены вкладки «Подключение», «Параметры по умолчанию», «Документы»;</w:t>
      </w:r>
    </w:p>
    <w:p>
      <w:pPr>
        <w:pStyle w:val="Compact"/>
        <w:numPr>
          <w:ilvl w:val="1"/>
          <w:numId w:val="1015"/>
        </w:numPr>
      </w:pPr>
      <w:r>
        <w:t xml:space="preserve">интеграция видит реализации УТ.</w:t>
      </w:r>
    </w:p>
    <w:p>
      <w:pPr>
        <w:pStyle w:val="Compact"/>
        <w:numPr>
          <w:ilvl w:val="0"/>
          <w:numId w:val="1014"/>
        </w:numPr>
      </w:pPr>
      <w:r>
        <w:t xml:space="preserve">Что улучшить:</w:t>
      </w:r>
    </w:p>
    <w:p>
      <w:pPr>
        <w:pStyle w:val="Compact"/>
        <w:numPr>
          <w:ilvl w:val="1"/>
          <w:numId w:val="1016"/>
        </w:numPr>
      </w:pPr>
      <w:r>
        <w:t xml:space="preserve">сопоставить номенклатуру УТ с продукцией «Меркурия» и привязать контрагентов к площадкам;</w:t>
      </w:r>
    </w:p>
    <w:p>
      <w:pPr>
        <w:pStyle w:val="Compact"/>
        <w:numPr>
          <w:ilvl w:val="1"/>
          <w:numId w:val="1016"/>
        </w:numPr>
      </w:pPr>
      <w:r>
        <w:t xml:space="preserve">оформить и отправить тестовый транспортный ВСД;</w:t>
      </w:r>
    </w:p>
    <w:p>
      <w:pPr>
        <w:pStyle w:val="Compact"/>
        <w:numPr>
          <w:ilvl w:val="1"/>
          <w:numId w:val="1016"/>
        </w:numPr>
      </w:pPr>
      <w:r>
        <w:t xml:space="preserve">развернуть базу на сервере 1С, чтобы работали регламентные задания и фоновая отправка.</w:t>
      </w:r>
    </w:p>
    <w:bookmarkEnd w:id="44"/>
    <w:bookmarkEnd w:id="45"/>
    <w:sectPr>
      <w:footnotePr>
        <w:numRestart w:val="eachSect"/>
      </w:footnotePr>
      <w:pgSz w:w="11906" w:h="16838"/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</w:pPr>
    <w:rPr>
      <w:rFonts w:ascii="Times New Roman" w:hAnsi="Times New Roman" w:cs="Times New Roman" w:eastAsia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</w:pPr>
    <w:rPr>
      <w:rFonts w:ascii="Times New Roman" w:hAnsi="Times New Roman" w:cs="Times New Roman" w:eastAsia="Times New Roman"/>
      <w:color w:val="000000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20" w:line="240" w:lineRule="auto" w:before="240"/>
      <w:contextualSpacing/>
      <w:jc w:val="center"/>
    </w:pPr>
    <w:rPr>
      <w:rFonts w:ascii="Times New Roman" w:hAnsi="Times New Roman" w:cs="Times New Roman" w:eastAsia="Times New Roman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="Times New Roman" w:hAnsi="Times New Roman" w:cs="Times New Roman" w:eastAsia="Times New Roman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Times New Roman" w:hAnsi="Times New Roman" w:cs="Times New Roman" w:eastAsia="Times New Roman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Relationship Id="rId23" Type="http://schemas.openxmlformats.org/officeDocument/2006/relationships/image" Target="media/rId23.png"/><Relationship Id="rId26" Type="http://schemas.openxmlformats.org/officeDocument/2006/relationships/image" Target="media/rId26.png"/><Relationship Id="rId29" Type="http://schemas.openxmlformats.org/officeDocument/2006/relationships/image" Target="media/rId29.png"/><Relationship Id="rId32" Type="http://schemas.openxmlformats.org/officeDocument/2006/relationships/image" Target="media/rId32.png"/><Relationship Id="rId35" Type="http://schemas.openxmlformats.org/officeDocument/2006/relationships/image" Target="media/rId35.png"/><Relationship Id="rId38" Type="http://schemas.openxmlformats.org/officeDocument/2006/relationships/image" Target="media/rId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2026-10-31T13:40:20Z</dcterms:created>
  <dcterms:modified xsi:type="dcterms:W3CDTF">2026-10-31T13:40:20Z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