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9B90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Computer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Work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Evolutionary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Multiobjective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Optimization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Software: NSGAII</w:t>
      </w:r>
    </w:p>
    <w:p w14:paraId="0A32B404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Objectives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:</w:t>
      </w:r>
    </w:p>
    <w:p w14:paraId="5630A29E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use a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evolutionary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multiobjective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optimization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software</w:t>
      </w:r>
    </w:p>
    <w:p w14:paraId="22DB64D6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execute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different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parameters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in a test case: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variation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population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size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mutation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rate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should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considered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at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minimum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55B82CA0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analyze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evaluate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effect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chosen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parameter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set in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algorithm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convergence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using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hypervolume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metric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1594C986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-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find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combination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parameter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each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problem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which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achieves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good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results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(at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least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population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size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mutation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rate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should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tested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in a 3x3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combination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set: 3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values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population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size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and 3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values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mutation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rate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resulting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in 9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parameter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combinations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).</w:t>
      </w:r>
    </w:p>
    <w:p w14:paraId="167485B0" w14:textId="77777777" w:rsidR="00B15CAD" w:rsidRP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  <w:u w:val="single"/>
        </w:rPr>
      </w:pPr>
    </w:p>
    <w:p w14:paraId="273B6EC7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0BE90755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8E86EE8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0A82AD07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46079030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2548D3E" w14:textId="52349366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Procedure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:</w:t>
      </w:r>
    </w:p>
    <w:p w14:paraId="10BB5C18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In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computer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laboratory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students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follow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professor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instructions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allow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guide step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step in a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common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mathematical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test case.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Later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students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apply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these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other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functions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chosen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themself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A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report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has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written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process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results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conclusions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7EC8C3A8" w14:textId="77777777" w:rsidR="00B15CAD" w:rsidRDefault="00B15CAD" w:rsidP="00B15CA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minimum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content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report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includes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problem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definition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name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mathematical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equation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assigned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problem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each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combination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parameters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tested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a figure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non-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dominated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final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front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convergence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curve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hypervolume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indicator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Figures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where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comparison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hypervolume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convergence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are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detailed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as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well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explanation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justification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best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set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parameters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tested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under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perspective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balance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between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exploration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exploration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Same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number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total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number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fitness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function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evaluations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should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tested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each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execution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maximum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value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25.000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evaluations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). Use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random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seed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= 0.52</w:t>
      </w:r>
    </w:p>
    <w:p w14:paraId="292D580C" w14:textId="4E7D58E5" w:rsidR="008F0D3B" w:rsidRDefault="00B15CAD">
      <w:pPr>
        <w:rPr>
          <w:rFonts w:ascii="Segoe UI" w:hAnsi="Segoe UI" w:cs="Segoe UI"/>
          <w:color w:val="373A3C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8F9FA"/>
        </w:rPr>
        <w:t>ctp8 López Reveron, Leopoldo</w:t>
      </w:r>
    </w:p>
    <w:p w14:paraId="39C8207C" w14:textId="4D92FFFA" w:rsidR="00B15CAD" w:rsidRDefault="00B15CAD">
      <w:pPr>
        <w:rPr>
          <w:rFonts w:ascii="Segoe UI" w:hAnsi="Segoe UI" w:cs="Segoe UI"/>
          <w:color w:val="373A3C"/>
          <w:sz w:val="23"/>
          <w:szCs w:val="23"/>
          <w:shd w:val="clear" w:color="auto" w:fill="F8F9FA"/>
        </w:rPr>
      </w:pPr>
    </w:p>
    <w:p w14:paraId="1B72E5E0" w14:textId="77777777" w:rsidR="00B15CAD" w:rsidRDefault="00B15CAD"/>
    <w:sectPr w:rsidR="00B15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38"/>
    <w:rsid w:val="008F0D3B"/>
    <w:rsid w:val="00960D38"/>
    <w:rsid w:val="00B15CAD"/>
    <w:rsid w:val="00E70AD4"/>
    <w:rsid w:val="00F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4469"/>
  <w15:chartTrackingRefBased/>
  <w15:docId w15:val="{7B92098A-A074-4035-9AF9-B0442BE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López Reveron</dc:creator>
  <cp:keywords/>
  <dc:description/>
  <cp:lastModifiedBy>Leopoldo López Reveron</cp:lastModifiedBy>
  <cp:revision>2</cp:revision>
  <dcterms:created xsi:type="dcterms:W3CDTF">2021-12-08T15:04:00Z</dcterms:created>
  <dcterms:modified xsi:type="dcterms:W3CDTF">2021-12-08T15:05:00Z</dcterms:modified>
</cp:coreProperties>
</file>