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Договор № 10092026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разработку мобильного приложения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</w:tblPr>
      <w:tblGrid>
        <w:gridCol w:w="4876"/>
        <w:gridCol w:w="4876"/>
      </w:tblGrid>
      <w:tr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г. Тюмень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«10» сентября 2026 г.</w:t>
            </w:r>
          </w:p>
        </w:tc>
      </w:tr>
    </w:tbl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2"/>
        </w:rPr>
        <w:t>Индивидуальный предприниматель Иванов Александр Викторович, действующий на основании Свидетельства (именуемый в дальнейшем Исполнитель), с одной стороны, и Индивидуальный предприниматель Гоман Павел Игоревич, действующий на основании Свидетельства серия 72 № 002297797 от 21.04.2014, выданного Межрайонной ИФНС № 14 по Тюменской области (именуемый в дальнейшем Заказчик), вместе именуемые Стороны, заключили настоящий договор о нижеследующем.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1. Предмет договора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1.1. Заказчик поручает, а Исполнитель принимает на себя обязательства разработать мобильное приложение Заказчика (iOS и Android, Flutter) с интеграцией в CRM STOCRM согласно полному Техническому заданию, изложенному в Приложении № 1 к настоящему договору, и разместить его в магазинах приложений на аккаунтах Исполнителя.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1.2. Заказчик обязуется принять и оплатить выполненные работы в соответствии с условиями настоящего Договора.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2. Порядок выполнения договора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2.1. Заказчик обязуется предоставить всю необходимую для работы информацию, включая SID и домен STOCRM, справочник услуг, филиалы, логотип и тексты.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2.2. Сроки и стоимость выполнения работ представлены в календарном плане (Приложение № 2).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2.3. Исполнитель имеет право выполнить работы досрочно.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2.4. Исполнитель обязуется не разглашать сведения, полученные от Заказчика.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2.5. Исполнитель обязуется разместить приложение в магазинах приложений (Apple App Store, Google Play, RuStore) на своих аккаунтах.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2.6. Если задачи не выполнены в полном объёме, предоплата (п. 4.2) возвращается Заказчику.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2.7. Любые изменения в ТЗ могут быть приняты дополнительным соглашением, подписанным обеими сторонами.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2.8. До полного расчёта по договору приложение остаётся размещённым на аккаунтах Исполнителя.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2.9. Любое изменение технического задания может повлечь изменение стоимости проекта из расчёта 2500 рублей в час и оговаривается дополнительным соглашением, которое будет являться неотъемлемой частью настоящего договора.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3. Общие условия. Права на результаты работ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3.1. Куратором является работник Стороны (или сама Сторона) или иное уполномоченное лицо. Список кураторов утверждается в Приложении № 3.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3.2. Стороны признают, что Информационная система (мобильное приложение, серверная часть, исходный код, дизайн) охраняется законодательством об интеллектуальной собственности. Исключительное право на Информационную систему, созданную по настоящему Договору, принадлежит Заказчику (п. 1 ст. 1296 ГК РФ) с момента подписания Акта сдачи-приёмки работ.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3.3. Исполнитель отчуждает Заказчику имущественные права на все результаты интеллектуальной деятельности, созданные при выполнении задания, в полном объёме с момента создания при условии подписания Акта.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3.4. Исполнитель гарантирует, что результаты работ не являются предметом залога, ареста или иного обременения и не нарушают права третьих лиц.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3.5. Заказчик гарантирует, что является обладателем прав на предоставляемые материалы (логотип, тексты, товарные знаки).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3.6. Исполнитель обязуется не использовать созданную систему либо её модули в прямом либо адаптированном виде без согласования с Заказчиком.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3.7. В случае претензий третьих лиц, связанных с нарушением Исполнителем п. 3, Исполнитель урегулирует их своими силами и за свой счёт.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4. Стоимость работ и порядок оплаты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4.1. Стоимость работ указана в Приложении № 2 и составляет 260 000 (двести шестьдесят тысяч) рублей 00 копеек. НДС не облагается в связи с применением Исполнителем специального налогового режима.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4.2. Порядок оплаты: 40% (104 000 ₽) — предоплата в течение 3 банковских дней с даты подписания договора; 30% (78 000 ₽) — после демонстрации записи из приложения в боевую STOCRM Заказчика; 30% (78 000 ₽) — до подписания Акта приёмки работ и передачи сборок / исходного кода.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4.3. Оплата производится безналичным перечислением на счёт Исполнителя. Плательщиками могут выступать третьи лица.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4.4. Окончательный расчёт по договору производится до передачи кодов, доступов и сборок приложения.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5. Ответственность сторон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5.1. Стороны содержат коммерческую тайну и иную информацию, полученную в рамках договора, в условиях конфиденциальности.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5.2. При просрочке оплаты Заказчик уплачивает неустойку 0,1% от суммы соответствующих работ за каждый день просрочки, но не более 2%.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5.3. При нарушении Исполнителем срока работ он уплачивает Заказчику неустойку 0,1% от суммы соответствующих работ за каждый день просрочки, но не более 2%.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5.4. При неоплате в указанные сроки Исполнитель вправе приостановить работы до погашения задолженности. Срок работ увеличивается на время задержки оплаты.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5.5. Если работы выполнены с нарушением условий договора, Заказчик вправе требовать безвозмездного устранения недостатков в разумный срок. Гарантия на баги модулей Исполнителя — 30 календарных дней с даты Акта.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5.6. По вопросам, не урегулированным договором, стороны руководствуются ГК РФ.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6. Срок действия договора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6.1. Сроки выполнения работ указаны в Приложении № 2: ориентир — 4 недели со дня поступления предоплаты.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6.2. Договор вступает в силу со дня подписания обеими Сторонами и действует до выполнения обязательств.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6.3. Стороны подписывают каждый лист договора и приложений.</w:t>
      </w:r>
    </w:p>
    <w:p>
      <w:pPr>
        <w:spacing w:after="80" w:line="276" w:lineRule="auto"/>
        <w:ind w:left="425" w:hanging="425"/>
      </w:pPr>
      <w:r>
        <w:rPr>
          <w:rFonts w:ascii="Times New Roman" w:hAnsi="Times New Roman" w:cs="Times New Roman" w:eastAsia="Times New Roman"/>
          <w:b w:val="0"/>
          <w:sz w:val="22"/>
        </w:rPr>
        <w:t>6.4. Договор составлен в двух экземплярах на русском языке, по одному для каждой стороны.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7. Реквизиты сторон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</w:tblPr>
      <w:tblGrid>
        <w:gridCol w:w="4876"/>
        <w:gridCol w:w="4876"/>
      </w:tblGrid>
      <w:tr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Исполнитель</w:t>
            </w:r>
          </w:p>
        </w:tc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Заказчик</w:t>
            </w:r>
          </w:p>
        </w:tc>
      </w:tr>
      <w:tr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ИП Иванов Александр Викторович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Телефон: +7 913 914-29-94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Почта: admin@qwerti.ru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Сайт: https://www.app72.ru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Фактический адрес: 625007, Тюменская обл., г. Тюмень, ул. Широтная, д. 21а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ИНН: 540216807580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ОГРНИП: 317547600107660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Р/с: 40802810938390001584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БИК: 046577964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ФИЛИАЛ «ЕКАТЕРИНБУРГСКИЙ» АО «АЛЬФА-БАНК», г. Екатеринбург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к/с: 30101810100000000964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Подпись ____________    Иванов А.В.</w:t>
            </w:r>
          </w:p>
        </w:tc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2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ИП Гоман Павел Игоревич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Сокращённо: ИП Гоман П.И.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Действует на основании: Свидетельство серия 72 № 002297797 от 21.04.2014,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Межрайонная ИФНС № 14 по Тюменской области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Юридический адрес: 625043, Тюменская область, г. Тюмень, д. Казарово, ул. Новая, д. 75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Фактический адрес: 625049, г. Тюмень, ул. Московский тракт, д. 118/11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ИНН: 720210960834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ОГРНИП: 314723211100145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ОКПО: 0192936115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Р/с: 40802810167100045531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Банк: Западно-Сибирский банк ПАО Сбербанка РФ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к/с: 30101810800000000651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БИК: 047102651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Тел.: (3452) 95-09-80 / 96-50-80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E-mail: vwsk72@mail.ru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Сайт: https://vagmarket72.ru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Подпись ____________    Гоман П.И.    м.п.</w:t>
            </w:r>
          </w:p>
        </w:tc>
      </w:tr>
    </w:tbl>
    <w:p>
      <w:r>
        <w:br w:type="page"/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6"/>
        </w:rPr>
        <w:t>Приложение № 1 к договору № 10092026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от «10» сентября 2026 г.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Техническое задание (полное) v1.1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/>
          <w:sz w:val="22"/>
        </w:rPr>
        <w:t>Клиентское мобильное приложение автосервиса с интеграцией STOCRM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Согласовано на встрече 11.09.2026. Настоящее Приложение содержит полное ТЗ и является неотъемлемой частью договора. Стороны подписывают каждый лист.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VAG Market · Flutter iOS / Android · акцент на push · источник данных — STOCRM Заказчика. Фирменные цвета: красный #E10613, чёрный #0B0B0D, белый.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</w:tblPr>
      <w:tblGrid>
        <w:gridCol w:w="4876"/>
        <w:gridCol w:w="4876"/>
      </w:tblGrid>
      <w:tr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</w:p>
        </w:tc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</w:p>
        </w:tc>
      </w:tr>
      <w:tr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Заказчик</w:t>
            </w:r>
          </w:p>
        </w:tc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ИП Гоман Павел Игоревич · vagmarket72.ru · 3 филиала</w:t>
            </w:r>
          </w:p>
        </w:tc>
      </w:tr>
      <w:tr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Продукт</w:t>
            </w:r>
          </w:p>
        </w:tc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Брендированное клиентское приложение + веб-админка для менеджеров</w:t>
            </w:r>
          </w:p>
        </w:tc>
      </w:tr>
      <w:tr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Приоритет</w:t>
            </w:r>
          </w:p>
        </w:tc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Push: статус авто, «машина готова», акции, сервисные напоминания, сгорание бонусов, массовые рассылки</w:t>
            </w:r>
          </w:p>
        </w:tc>
      </w:tr>
      <w:tr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Интеграция</w:t>
            </w:r>
          </w:p>
        </w:tc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STOCRM External API v1 · https://{домен}.stocrm.ru/api/external/v1/ · клиент по телефону</w:t>
            </w:r>
          </w:p>
        </w:tc>
      </w:tr>
      <w:tr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Дизайн</w:t>
            </w:r>
          </w:p>
        </w:tc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Тёмная тема VAG Market. При открытии — слайдер видео-шортсов. Скрины прототипа — в п. 13</w:t>
            </w:r>
          </w:p>
        </w:tc>
      </w:tr>
      <w:tr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Исполнитель</w:t>
            </w:r>
          </w:p>
        </w:tc>
        <w:tc>
          <w:tcPr>
            <w:tcW w:type="dxa" w:w="4876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ИП Иванов А.В. · t.me/app154 · +7 913 914-29-94</w:t>
            </w:r>
          </w:p>
        </w:tc>
      </w:tr>
    </w:tbl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1. Цель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Дать клиентам VAG Market своё приложение: запись на сервис, история работ, статусы автомобиля и push-уведомления о готовности, акциях и напоминаниях. Учёт ведётся в STOCRM. Приложение и веб-админка — клиентский канал и рабочее место менеджера по заявкам, чату и рассылкам, не замена STOCRM.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Не путать со штатным приложением STOCRM (для сотрудников) и GoodGarage. Здесь — бренд VAG Market в сторах, три филиала, бонусы 5% из CRM.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2. Пользователи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</w:tblPr>
      <w:tblGrid>
        <w:gridCol w:w="3251"/>
        <w:gridCol w:w="3251"/>
        <w:gridCol w:w="3251"/>
      </w:tblGrid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Роль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Где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Что делает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Клиент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Мобильное приложение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Вход по телефону, гараж, запись, история, статусы, рекомендации, чат, бонусы, VIN-заявка, пуши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Менеджер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Веб-админка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Подтверждает запись, отвечает в чате (видно имя), массовые push, заявки по VIN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Приёмка / мастер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STOCRM (как сейчас)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Ведёт заказ-наряд, меняет статус, рекомендации, закрывает работы</w:t>
            </w:r>
          </w:p>
        </w:tc>
      </w:tr>
    </w:tbl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3. Основные требования</w:t>
      </w:r>
    </w:p>
    <w:p>
      <w:pPr>
        <w:spacing w:after="80" w:before="160" w:line="276" w:lineRule="auto"/>
      </w:pPr>
      <w:r>
        <w:rPr>
          <w:rFonts w:ascii="Times New Roman" w:hAnsi="Times New Roman" w:cs="Times New Roman" w:eastAsia="Times New Roman"/>
          <w:b/>
          <w:sz w:val="22"/>
        </w:rPr>
        <w:t>3.1. Редактирование данных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Клиент корректирует гараж (пробег, марка, госномер, VIN) и параметры неподтверждённой заявки (авто, филиал, дата/время, услуга).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Менеджер в веб-админке корректирует заявки и состав услуг до подтверждения; после подтверждения изменения учёта — в STOCRM, в приложение подтягиваются автоматически.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Закрытые заказ-наряды клиент не редактирует (только просмотр).</w:t>
      </w:r>
    </w:p>
    <w:p>
      <w:pPr>
        <w:spacing w:after="80" w:before="160" w:line="276" w:lineRule="auto"/>
      </w:pPr>
      <w:r>
        <w:rPr>
          <w:rFonts w:ascii="Times New Roman" w:hAnsi="Times New Roman" w:cs="Times New Roman" w:eastAsia="Times New Roman"/>
          <w:b/>
          <w:sz w:val="22"/>
        </w:rPr>
        <w:t>3.2. Поиск (по возможности)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Поиск по истории работ, услугам и филиалам — если API STOCRM позволяет. Иначе — локальный список (свои авто, свои визиты).</w:t>
      </w:r>
    </w:p>
    <w:p>
      <w:pPr>
        <w:spacing w:after="80" w:before="160" w:line="276" w:lineRule="auto"/>
      </w:pPr>
      <w:r>
        <w:rPr>
          <w:rFonts w:ascii="Times New Roman" w:hAnsi="Times New Roman" w:cs="Times New Roman" w:eastAsia="Times New Roman"/>
          <w:b/>
          <w:sz w:val="22"/>
        </w:rPr>
        <w:t>3.3. Push — ключевой функционал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Акцент продукта — уведомления. Каналы: FCM + APNs. Отправка FCM бесплатна; SMS OTP — по тарифу оператора.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</w:tblPr>
      <w:tblGrid>
        <w:gridCol w:w="3251"/>
        <w:gridCol w:w="3251"/>
        <w:gridCol w:w="3251"/>
      </w:tblGrid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Событие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Текст (ориентир)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Откуда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Смена статуса ЗН, машина готова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«Ваша машина готова!»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Статус в STOCRM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Статус «в работе» и другие согласованные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Краткий статус + филиал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STOCRM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Напоминание о ТО / обслуживании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Пора в сервис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Рекомендации / пробег / дата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Сгорание бонусов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 несколько дней до окончания срока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Модуль лояльности CRM / правило 5%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Акции и личные предложения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Текст менеджера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Рассылка из админки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Запись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Заявка принята / подтверждена / нужна связь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Админка + CRM</w:t>
            </w:r>
          </w:p>
        </w:tc>
      </w:tr>
    </w:tbl>
    <w:p>
      <w:pPr>
        <w:spacing w:after="120" w:before="12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Клиент включает согласие на пуши и рассылки при OTP (152-ФЗ). В профиле — выключатель уведомлений.</w:t>
      </w:r>
    </w:p>
    <w:p>
      <w:pPr>
        <w:spacing w:after="80" w:before="160" w:line="276" w:lineRule="auto"/>
      </w:pPr>
      <w:r>
        <w:rPr>
          <w:rFonts w:ascii="Times New Roman" w:hAnsi="Times New Roman" w:cs="Times New Roman" w:eastAsia="Times New Roman"/>
          <w:b/>
          <w:sz w:val="22"/>
        </w:rPr>
        <w:t>3.4. Старт приложения: видео-шортсы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При открытии (до главной) — полноэкранный вертикальный слайдер видео-шортсов (Stories / Reels): ролики сервиса, акции, «машина готова», VIN.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Листание вверх/вниз, автопрокрутка, кнопка «В приложение». Повторно — с главной / акций.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Контент роликов готовит Заказчик (видео 9:16). В админке — загрузка и порядок в ленте.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4. Интеграция со STOCRM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SID не кладём в приложение. Клиент ходит только на BFF. BFF хранит SID, домен и ходит во внешний API. Клиент привязывается по номеру телефона (+7, без дублей контакта).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Синхронизация через API STOCRM (poller / webhook — что откроет вендор по SID).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В историю — только успешно реализованные (закрытые) заказы.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Карточка заказа: дата, филиал, пробег, работы, запчасти, сумма — в объёме полей API.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Запись создаёт сделку offer/new/with_contact, источник «Онлайн-запись» (SOURCE_ID согласуем).</w:t>
      </w:r>
    </w:p>
    <w:p>
      <w:pPr>
        <w:spacing w:after="120" w:before="12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На старте Заказчик выдаёт SID и тестовый контакт. Исполнитель за 1–2 дня снимает карту методов. Если календарь постов API не отдаёт — слоты по графику филиала; менеджер подтверждает запись в админке, пост в CRM бронирует приёмка. Жёсткая блокировка поста — когда вендор откроет методы.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5. Статусы автомобиля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Клиент видит статус текущего ЗН: как минимум «в работе», «выполнено», «машина готова»; расширенный набор — по воронке STOCRM Заказчика.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При смене статуса — push. Для готовности — «Ваша машина готова!».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6. Рекомендации после осмотра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Отдельный раздел «Рекомендации»: то, что мастер указал в CRM.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С главной — вход в раздел и мотивация записаться. Источник — только CRM.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7. Карты и филиалы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Выбор одного из трёх филиалов (адреса, телефоны, график, координаты — от Заказчика).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Карта: 2ГИС или Яндекс.Карты (один провайдер); маршрут — в приложении карт на телефоне.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8. Чат-поддержка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У клиента в приложении — чат с сервисом.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Менеджеры отвечают через веб-админку (не через личный Telegram как единственный канал).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Клиенту показывается имя менеджера, с которым идёт переписка.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Push о новом ответе менеджера.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9. Запись на сервис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1. Быстрая запись: автомобиль, дата, время (филиал из трёх; услуга/комментарий — по желанию).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2. Слоты из системы: разное количество для разных дней и филиалов.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3. После отправки: «Вы записаны, ожидайте подтверждения звонка или сообщения».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4. Заявка в веб-админку: уточнить, подтвердить или перенести. Подтверждение — в приложение и push.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5. Параллельно создаётся сделка в STOCRM.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10. Подбор запчастей по VIN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Кнопка «Подбор запчастей по VIN».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Клиент вводит VIN (или из карточки авто) и наименование запчасти / комментарий.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Заявка менеджеру в админку (не витрина склада). Ответ — в чате или звонком.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11. Бонусная программа и кэшбек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Перенос бонусной программы из CRM / правил VAG Market (на сайте: 5% накопления, списание до 50% суммы).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Начисление 5% от суммы закрытого заказ-наряда.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История начисления и списания бонусов в приложении.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Push о сгорании бонусов за несколько дней до окончания срока (ориентир 3–7 дней, задаёт Заказчик).</w:t>
      </w:r>
    </w:p>
    <w:p>
      <w:pPr>
        <w:spacing w:after="120" w:before="8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Если API лояльности не отдаёт баланс — BFF считает 5% по закрытым ЗН и ведёт журнал; списание на кассе остаётся в STOCRM и подтягивается, когда метод доступен.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12. Рассылки и спецпредложения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Массовые и сегментные push с акциями, скидками, личными предложениями.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Менеджер создаёт рассылку в веб-админке: заголовок, текст, аудитория, время.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Лента акций на главной — те же материалы, плюс закреплённые карточки.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13. Дизайн и фирменный стиль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Логотип и цвета: красный #E10613, чёрный #0B0B0D, белый. Ориентир — прототип VAG Market (тёмная тема).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Главная: слоган «Ваш VAG в надёжных руках», марки VW / Audi / SEAT / Škoda, VIN и запись, квикс, спецпредложения, бонусы, сервисбук, чат, баннер диагностики.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Нижнее меню: Главная · Гараж · Запись · Адреса · Чаты · Профиль.</w:t>
      </w:r>
    </w:p>
    <w:p>
      <w:pPr>
        <w:spacing w:after="120" w:before="8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Скрины прототипа (сентябрь 2026):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3251"/>
        <w:gridCol w:w="3251"/>
        <w:gridCol w:w="3251"/>
      </w:tblGrid>
      <w:tr>
        <w:tc>
          <w:tcPr>
            <w:tcW w:type="dxa" w:w="3251"/>
            <w:vAlign w:val="top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72768" cy="33206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short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3320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Шортсы</w:t>
            </w:r>
          </w:p>
        </w:tc>
        <w:tc>
          <w:tcPr>
            <w:tcW w:type="dxa" w:w="3251"/>
            <w:vAlign w:val="top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72768" cy="33206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aut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3320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Вход</w:t>
            </w:r>
          </w:p>
        </w:tc>
        <w:tc>
          <w:tcPr>
            <w:tcW w:type="dxa" w:w="3251"/>
            <w:vAlign w:val="top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72768" cy="33206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auth-ot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3320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Код OTP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72768" cy="332064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h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3320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Главная</w:t>
            </w:r>
          </w:p>
        </w:tc>
        <w:tc>
          <w:tcPr>
            <w:tcW w:type="dxa" w:w="3251"/>
            <w:vAlign w:val="top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72768" cy="332064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gar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3320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Гараж</w:t>
            </w:r>
          </w:p>
        </w:tc>
        <w:tc>
          <w:tcPr>
            <w:tcW w:type="dxa" w:w="3251"/>
            <w:vAlign w:val="top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72768" cy="332064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boo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3320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Запись</w:t>
            </w:r>
          </w:p>
        </w:tc>
      </w:tr>
      <w:tr>
        <w:tc>
          <w:tcPr>
            <w:tcW w:type="dxa" w:w="3251"/>
            <w:vAlign w:val="top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72768" cy="332064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branch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3320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Адреса</w:t>
            </w:r>
          </w:p>
        </w:tc>
        <w:tc>
          <w:tcPr>
            <w:tcW w:type="dxa" w:w="3251"/>
            <w:vAlign w:val="top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72768" cy="332064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cha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3320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Чат · Егор</w:t>
            </w:r>
          </w:p>
        </w:tc>
        <w:tc>
          <w:tcPr>
            <w:tcW w:type="dxa" w:w="3251"/>
            <w:vAlign w:val="top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72768" cy="332064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profi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3320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Профиль · бонусы 5%</w:t>
            </w:r>
          </w:p>
        </w:tc>
      </w:tr>
    </w:tbl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14. Виджет на главном экране телефона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Виджет iOS WidgetKit / Android App Widget (идея как у Duolingo).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Состояния: всё в порядке; пора на ТО; авто в сервисе; машина готова.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Визуал: в т.ч. «сломанная машинка» — макеты согласуем с Заказчиком.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Тап открывает запись / статус / рекомендации.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15. Экраны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</w:tblPr>
      <w:tblGrid>
        <w:gridCol w:w="3251"/>
        <w:gridCol w:w="3251"/>
        <w:gridCol w:w="3251"/>
      </w:tblGrid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Где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Экран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Приложение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Шортсы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Вертикальный слайдер видео при открытии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Приложение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Вход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Телефон + OTP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Приложение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Главная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 макету: VIN, запись, квикс, акции, бонусы, чат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Приложение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Гараж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Авто, пробег, VIN, редактирование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Приложение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Запись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Авто → филиал → дата/слот → ожидание подтверждения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Приложение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Филиалы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3 точки, карта 2ГИС или Яндекс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Приложение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Только закрытые ЗН: пробег, работы, запчасти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Приложение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Статус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Текущий ремонт, пуш при смене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Приложение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Рекомендации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Из CRM после осмотра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Приложение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Чат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Поддержка, имя менеджера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Приложение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VIN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Заявка на подбор запчасти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Приложение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Бонусы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Баланс 5%, история, срок сгорания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Админка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Заявки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Запись, подтверждение, VIN-заявки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Админка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Чат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Ответы клиентам, имя менеджера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Админка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Рассылки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Массовые push / акции</w:t>
            </w:r>
          </w:p>
        </w:tc>
      </w:tr>
    </w:tbl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16. Архитектура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Клиент: Flutter 3.x, iOS + Android. Публикация в App Store, Google Play и RuStore на аккаунтах Исполнителя.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BFF + админка: FastAPI или Nest, PostgreSQL: сессии, журнал заявок, чат, рассылки, кэш, бонусный журнал.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Интеграции: STOCRM API; SMS OTP; FCM / APNs; карты 2ГИС или Яндекс.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0"/>
        </w:rPr>
        <w:t>Хостинг: VPS РФ. Хостинг и SMS в стоимость разработки не входят.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17. Не входит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Замена STOCRM, склад кладовщика, зарплата, приложение для механиков.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Онлайн-витрина запчастей и остатки склада клиенту (VIN — только заявка менеджеру).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ОСАГО, маркетплейс АЗС, онлайн-оплата / чеки 54-ФЗ.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Доработки ядра STOCRM со стороны вендора.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Хостинг VPS и SMS OTP — отдельно. Отправка push через FCM — без платы за штуку.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18. Нужно от Заказчика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SID и домен STOCRM, тестовый контакт, соответствие статусов воронки.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Три филиала: адреса, график, телефоны, координаты, лимиты слотов по дням.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Ролики для слайдера шортсов (вертикальное видео) или доступ к роликам на сайте.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Правило бонусов (5%, срок сгорания) и сколько часов до визита можно менять заявку.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Политика ПДн и согласие на рассылку.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19. Приёмка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Сборки iOS (TestFlight) и Android; публикация в сторах на аккаунтах Исполнителя.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При открытии — слайдер шортсов, переход на главную по макету VAG Market.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OTP на реальном номере; клиент находится по телефону в STOCRM.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Запись: слоты по филиалам, текст «ожидайте подтверждения», заявка в админке и сделка в CRM.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История: закрытый ЗН с пробегом, работами и запчастями (если поля есть в API).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Смена статуса в CRM → статус в приложении и push «Ваша машина готова!».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Рекомендации из CRM в отдельном разделе.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Чат: ответ из админки, клиент видит имя менеджера.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VIN-заявка приходит менеджеру.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Бонусы 5% по закрытому ЗН, история, push о сгорании (на тестовых данных).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Массовая push-рассылка из админки на тестовую аудиторию.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Виджет на Android и iOS меняет состояние «пора в сервис» / «в работе» / «готово».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20. Организация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Настоящее полное ТЗ v1.1 включено в Приложение № 1 договора № 10092026 и подписывается сторонами (в том числе по ЭДО).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Оплата частями согласно договору: 40% / 30% / 30%, пакет 260 000 ₽.</w:t>
      </w:r>
    </w:p>
    <w:p>
      <w:pPr>
        <w:spacing w:after="40" w:line="264" w:lineRule="auto"/>
        <w:ind w:left="340"/>
      </w:pPr>
      <w:r>
        <w:rPr>
          <w:rFonts w:ascii="Times New Roman" w:hAnsi="Times New Roman" w:cs="Times New Roman" w:eastAsia="Times New Roman"/>
          <w:b w:val="0"/>
          <w:sz w:val="20"/>
        </w:rPr>
        <w:t>• Изменение состава после подписания — доп. соглашение, 2500 ₽/час.</w:t>
      </w:r>
    </w:p>
    <w:p>
      <w:pPr>
        <w:spacing w:after="120" w:before="120" w:line="276" w:lineRule="auto"/>
      </w:pPr>
      <w:r>
        <w:rPr>
          <w:rFonts w:ascii="Times New Roman" w:hAnsi="Times New Roman" w:cs="Times New Roman" w:eastAsia="Times New Roman"/>
          <w:b w:val="0"/>
          <w:sz w:val="18"/>
        </w:rPr>
        <w:t>Карта методов STOCRM уточняется после выдачи SID. Онлайн-оплата и витрина склада в эту редакцию не входят.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</w:tblPr>
      <w:tblGrid>
        <w:gridCol w:w="4876"/>
        <w:gridCol w:w="4876"/>
      </w:tblGrid>
      <w:tr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Заказчик: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____________  Гоман П.И.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Исполнитель: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____________  Иванов А.В.</w:t>
            </w:r>
          </w:p>
        </w:tc>
      </w:tr>
    </w:tbl>
    <w:p>
      <w:r>
        <w:br w:type="page"/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6"/>
        </w:rPr>
        <w:t>Приложение № 2 к договору № 10092026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от «10» сентября 2026 г.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Календарный план и стоимость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</w:tblPr>
      <w:tblGrid>
        <w:gridCol w:w="3251"/>
        <w:gridCol w:w="3251"/>
        <w:gridCol w:w="3251"/>
      </w:tblGrid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Неделя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Работы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Сумма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Карта API STOCRM, бренд UI, BFF, OTP, гараж, запись → админка + сделка</w:t>
            </w:r>
          </w:p>
        </w:tc>
        <w:tc>
          <w:tcPr>
            <w:tcW w:type="dxa" w:w="3251"/>
            <w:vAlign w:val="top"/>
            <w:vMerge w:val="restart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175 000 ₽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 филиала и карта, история ЗН, статусы, push «машина готова»</w:t>
            </w:r>
          </w:p>
        </w:tc>
        <w:tc>
          <w:tcPr>
            <w:tcW w:type="dxa" w:w="3251"/>
            <w:vMerge/>
          </w:tcPr>
          <w:p/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Чат + имя менеджера, VIN, бонусы 5%, рекомендации, TestFlight / APK</w:t>
            </w:r>
          </w:p>
        </w:tc>
        <w:tc>
          <w:tcPr>
            <w:tcW w:type="dxa" w:w="3251"/>
            <w:vMerge/>
          </w:tcPr>
          <w:p/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Массовые рассылки, виджет, поиск, полировка, публикация в сторах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85 000 ₽</w:t>
            </w:r>
          </w:p>
        </w:tc>
      </w:tr>
      <w:tr>
        <w:tc>
          <w:tcPr>
            <w:tcW w:type="dxa" w:w="6502"/>
            <w:gridSpan w:val="2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Итого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260 000 ₽</w:t>
            </w:r>
          </w:p>
        </w:tc>
      </w:tr>
    </w:tbl>
    <w:p>
      <w:pPr>
        <w:spacing w:after="120" w:before="160" w:line="276" w:lineRule="auto"/>
      </w:pPr>
      <w:r>
        <w:rPr>
          <w:rFonts w:ascii="Times New Roman" w:hAnsi="Times New Roman" w:cs="Times New Roman" w:eastAsia="Times New Roman"/>
          <w:b w:val="0"/>
          <w:sz w:val="22"/>
        </w:rPr>
        <w:t>Срок разработки: ориентир 4 недели со дня поступления предоплаты. Исполнитель вправе выполнить работы досрочно.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2"/>
        </w:rPr>
        <w:t>Оплата: 40% (104 000 ₽) — старт; 30% (78 000 ₽) — демо записи в STOCRM; 30% (78 000 ₽) — до Акта и передачи сборок.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2"/>
        </w:rPr>
        <w:t>Изменение ТЗ: 2500 ₽/час по дополнительному соглашению.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2"/>
        </w:rPr>
        <w:t>При задержке оплаты Заказчиком срок работ увеличивается на время задержки.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2"/>
        </w:rPr>
        <w:t>Исполнитель размещает приложение в App Store, Google Play и RuStore на своих аккаунтах (п. 2.5 договора). Хостинг, SMS и push в сумму Приложения № 2 не входят и оплачиваются Заказчиком отдельно.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</w:tblPr>
      <w:tblGrid>
        <w:gridCol w:w="4876"/>
        <w:gridCol w:w="4876"/>
      </w:tblGrid>
      <w:tr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Заказчик: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____________  Гоман П.И.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Исполнитель: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____________  Иванов А.В.</w:t>
            </w:r>
          </w:p>
        </w:tc>
      </w:tr>
    </w:tbl>
    <w:p>
      <w:r>
        <w:br w:type="page"/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6"/>
        </w:rPr>
        <w:t>Приложение № 3 к договору № 10092026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от «10» сентября 2026 г.</w:t>
      </w:r>
    </w:p>
    <w:p>
      <w:pPr>
        <w:spacing w:after="160" w:before="200" w:line="276" w:lineRule="auto"/>
      </w:pPr>
      <w:r>
        <w:rPr>
          <w:rFonts w:ascii="Times New Roman" w:hAnsi="Times New Roman" w:cs="Times New Roman" w:eastAsia="Times New Roman"/>
          <w:b/>
          <w:sz w:val="26"/>
        </w:rPr>
        <w:t>Список кураторов сторон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sz w:val="22"/>
        </w:rPr>
        <w:t>г. Тюмень                    «10» сентября 2026 г.</w:t>
      </w:r>
    </w:p>
    <w:p>
      <w:pPr>
        <w:spacing w:after="120" w:before="160" w:line="276" w:lineRule="auto"/>
      </w:pPr>
      <w:r>
        <w:rPr>
          <w:rFonts w:ascii="Times New Roman" w:hAnsi="Times New Roman" w:cs="Times New Roman" w:eastAsia="Times New Roman"/>
          <w:b/>
          <w:sz w:val="22"/>
        </w:rPr>
        <w:t>Куратор со стороны Заказчика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</w:tblPr>
      <w:tblGrid>
        <w:gridCol w:w="3251"/>
        <w:gridCol w:w="3251"/>
        <w:gridCol w:w="3251"/>
      </w:tblGrid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Ф.И.О.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Отметки о прекращении полномочий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Гоман Павел Игоревич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</w:r>
          </w:p>
        </w:tc>
      </w:tr>
    </w:tbl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sz w:val="22"/>
        </w:rPr>
        <w:t>Куратор со стороны Исполнителя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</w:tblPr>
      <w:tblGrid>
        <w:gridCol w:w="3251"/>
        <w:gridCol w:w="3251"/>
        <w:gridCol w:w="3251"/>
      </w:tblGrid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Ф.И.О.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fill="F3F4F6" w:val="clea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Отметки о прекращении полномочий</w:t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Иванов Александр Викторович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</w:r>
          </w:p>
        </w:tc>
        <w:tc>
          <w:tcPr>
            <w:tcW w:type="dxa" w:w="3251"/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</w:r>
          </w:p>
        </w:tc>
      </w:tr>
    </w:tbl>
    <w:p>
      <w:pPr>
        <w:spacing w:after="120" w:before="32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</w:tblPr>
      <w:tblGrid>
        <w:gridCol w:w="4876"/>
        <w:gridCol w:w="4876"/>
      </w:tblGrid>
      <w:tr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Заказчик: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____________  Гоман П.И.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  <w:vAlign w:val="top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Исполнитель:</w:t>
            </w:r>
          </w:p>
          <w:p>
            <w:pPr>
              <w:spacing w:after="20" w:befor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____________  Иванов А.В.</w:t>
            </w:r>
          </w:p>
        </w:tc>
      </w:tr>
    </w:tbl>
    <w:sectPr w:rsidR="00FC693F" w:rsidRPr="0006063C" w:rsidSect="00034616">
      <w:pgSz w:w="11906" w:h="16838"/>
      <w:pgMar w:top="907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