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C77802C">
      <w:pPr>
        <w:pStyle w:val="style0"/>
        <w:spacing w:before="0" w:after="40"/>
        <w:rPr/>
      </w:pPr>
      <w:r>
        <w:rPr>
          <w:b/>
          <w:color w:val="1a365d"/>
          <w:sz w:val="40"/>
        </w:rPr>
        <w:t>Отчёт по домашнему заданию к Лекции №2</w:t>
      </w:r>
    </w:p>
    <w:p w14:paraId="CDA3F5FE">
      <w:pPr>
        <w:pStyle w:val="style0"/>
        <w:spacing w:after="320"/>
        <w:rPr/>
      </w:pPr>
      <w:r>
        <w:rPr>
          <w:i/>
          <w:color w:val="718096"/>
          <w:sz w:val="24"/>
        </w:rPr>
        <w:t>Тема: Виды, цели и уровни интеграции программных модулей</w:t>
      </w:r>
    </w:p>
    <w:p w14:paraId="E8F474C0">
      <w:pPr>
        <w:pStyle w:val="style0"/>
        <w:pBdr>
          <w:bottom w:val="single" w:sz="12" w:space="1" w:color="1a365d"/>
        </w:pBdr>
        <w:spacing w:after="240"/>
        <w:rPr/>
      </w:pPr>
    </w:p>
    <w:p w14:paraId="0E978A50">
      <w:pPr>
        <w:pStyle w:val="style0"/>
        <w:spacing w:before="280" w:after="120"/>
        <w:rPr/>
      </w:pPr>
      <w:r>
        <w:rPr>
          <w:b/>
          <w:color w:val="1a365d"/>
          <w:sz w:val="32"/>
        </w:rPr>
        <w:t>Задание 1. Пример бизнес-процесса и передаваемые данные</w:t>
      </w:r>
    </w:p>
    <w:p w14:paraId="181A2108">
      <w:pPr>
        <w:pStyle w:val="style0"/>
        <w:rPr/>
      </w:pPr>
      <w:r>
        <w:rPr>
          <w:b/>
        </w:rPr>
        <w:t xml:space="preserve">Бизнес-процесс: </w:t>
      </w:r>
      <w:r>
        <w:t>«Запись пациента на платную медицинскую услугу и прохождение приема в частной клинике» (Сфера: Здравоохранение / Медицинские услуги).</w:t>
      </w:r>
    </w:p>
    <w:p w14:paraId="9208C765">
      <w:pPr>
        <w:pStyle w:val="style0"/>
        <w:rPr/>
      </w:pPr>
      <w:r>
        <w:t>В данном бизнес-процессе задействованы 4 информационные системы клиники:</w:t>
      </w:r>
    </w:p>
    <w:p w14:paraId="C8361534">
      <w:pPr>
        <w:pStyle w:val="style0"/>
        <w:spacing w:after="60"/>
        <w:ind w:left="288"/>
        <w:rPr/>
      </w:pPr>
      <w:r>
        <w:rPr>
          <w:b/>
        </w:rPr>
        <w:t xml:space="preserve">1. CRM-система (Управление взаимоотношениями с клиентами): </w:t>
      </w:r>
      <w:r>
        <w:t>Отвечает за первичное обращение, контактные данные, историю звонков и онлайн-запись через сайт/приложение.</w:t>
      </w:r>
    </w:p>
    <w:p w14:paraId="62C6C034">
      <w:pPr>
        <w:pStyle w:val="style0"/>
        <w:spacing w:after="60"/>
        <w:ind w:left="288"/>
        <w:rPr/>
      </w:pPr>
      <w:r>
        <w:rPr>
          <w:b/>
        </w:rPr>
        <w:t xml:space="preserve">1. МИС (Медицинская информационная система): </w:t>
      </w:r>
      <w:r>
        <w:t>Хранит электронные медицинские карты (ЭМК), расписание врачей, протоколы осмотров, направления на анализы и назначения.</w:t>
      </w:r>
    </w:p>
    <w:p w14:paraId="3F4D7251">
      <w:pPr>
        <w:pStyle w:val="style0"/>
        <w:spacing w:after="60"/>
        <w:ind w:left="288"/>
        <w:rPr/>
      </w:pPr>
      <w:r>
        <w:rPr>
          <w:b/>
        </w:rPr>
        <w:t xml:space="preserve">1. ЛИС (Лабораторная информационная система): </w:t>
      </w:r>
      <w:r>
        <w:t>Управляет биоматериалами, выполнением лабораторных анализов и автоматическим формированием результатов.</w:t>
      </w:r>
    </w:p>
    <w:p w14:paraId="C1EC6A4D">
      <w:pPr>
        <w:pStyle w:val="style0"/>
        <w:spacing w:after="60"/>
        <w:ind w:left="288"/>
        <w:rPr/>
      </w:pPr>
      <w:r>
        <w:rPr>
          <w:b/>
        </w:rPr>
        <w:t xml:space="preserve">1. 1С:Бухгалтерия / Финансовый учет: </w:t>
      </w:r>
      <w:r>
        <w:t>Отвечает за фиксацию оплаты, кассовые чеки, учет оказанных услуг и расчет зарплаты медицинского персонала.</w:t>
      </w:r>
    </w:p>
    <w:p w14:paraId="C701D676">
      <w:pPr>
        <w:pStyle w:val="style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14:paraId="7BAEED83">
        <w:trPr>
          <w:jc w:val="center"/>
        </w:trPr>
        <w:tc>
          <w:tcPr>
            <w:tcW w:w="9936" w:type="dxa"/>
            <w:tcBorders>
              <w:top w:val="none" w:sz="4" w:space="0" w:color="auto"/>
              <w:left w:val="single" w:sz="24" w:space="0" w:color="2b6cb0"/>
              <w:bottom w:val="none" w:sz="4" w:space="0" w:color="auto"/>
              <w:right w:val="none" w:sz="4" w:space="0" w:color="auto"/>
            </w:tcBorders>
            <w:shd w:val="nil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5745A">
            <w:pPr>
              <w:pStyle w:val="style0"/>
              <w:spacing w:after="80"/>
              <w:rPr/>
            </w:pPr>
            <w:r>
              <w:rPr>
                <w:b/>
                <w:color w:val="1a365d"/>
                <w:sz w:val="22"/>
              </w:rPr>
              <w:t>Схема передачи данных между системами в ходе процесса:</w:t>
            </w:r>
          </w:p>
          <w:p w14:paraId="2080AB3F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CRM → МИС: </w:t>
            </w:r>
            <w:r>
              <w:rPr>
                <w:sz w:val="21"/>
              </w:rPr>
              <w:t>Передаются данные пациента (ФИО, дата рождения, телефон, SNILS) и параметры выбранной услуги (врач, дата, время записи).</w:t>
            </w:r>
          </w:p>
          <w:p w14:paraId="54C02585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МИС → 1С:Бухгалтерия: </w:t>
            </w:r>
            <w:r>
              <w:rPr>
                <w:sz w:val="21"/>
              </w:rPr>
              <w:t>Передается номер номенклатуры услуги, стоимость, ФИО пациента и статус «Ожидает оплаты».</w:t>
            </w:r>
          </w:p>
          <w:p w14:paraId="CCF5DFF6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1С:Бухгалтерия → МИС: </w:t>
            </w:r>
            <w:r>
              <w:rPr>
                <w:sz w:val="21"/>
              </w:rPr>
              <w:t>Передается статус оплаты («Оплачено», номер транзакции/чека), разрешающий врачу начать прием.</w:t>
            </w:r>
          </w:p>
          <w:p w14:paraId="FD971A40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МИС → ЛИС: </w:t>
            </w:r>
            <w:r>
              <w:rPr>
                <w:sz w:val="21"/>
              </w:rPr>
              <w:t>При назначении анализов передается электронное направление (ID пациента, код исследования, тип биоматериала).</w:t>
            </w:r>
          </w:p>
          <w:p w14:paraId="FF19E86A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ЛИС → МИС: </w:t>
            </w:r>
            <w:r>
              <w:rPr>
                <w:sz w:val="21"/>
              </w:rPr>
              <w:t>Передаются результаты анализов (числовые показатели, референсные значения, PDF-заключение).</w:t>
            </w:r>
          </w:p>
        </w:tc>
      </w:tr>
    </w:tbl>
    <w:p w14:paraId="A6BF35F6">
      <w:pPr>
        <w:pStyle w:val="style0"/>
        <w:spacing w:after="120"/>
        <w:rPr/>
      </w:pPr>
    </w:p>
    <w:p w14:paraId="BE428B2C">
      <w:pPr>
        <w:pStyle w:val="style0"/>
        <w:spacing w:before="280" w:after="120"/>
        <w:rPr/>
      </w:pPr>
      <w:r>
        <w:rPr>
          <w:b/>
          <w:color w:val="1a365d"/>
          <w:sz w:val="32"/>
        </w:rPr>
        <w:t>Задание 2. Определение текущего и целевого уровней интеграции</w:t>
      </w:r>
    </w:p>
    <w:p w14:paraId="5C4B4FA5">
      <w:pPr>
        <w:pStyle w:val="style0"/>
        <w:rPr/>
      </w:pPr>
      <w:r>
        <w:rPr>
          <w:b/>
        </w:rPr>
        <w:t xml:space="preserve">Текущий уровень интеграции: </w:t>
      </w:r>
      <w:r>
        <w:rPr>
          <w:b w:val="false"/>
        </w:rPr>
        <w:t>Интеграция на уровне данных (Data-level integration) / Частично Point-to-Point на уровне приложений.</w:t>
      </w:r>
    </w:p>
    <w:p w14:paraId="A2F7EAA2">
      <w:pPr>
        <w:pStyle w:val="style0"/>
        <w:rPr/>
      </w:pPr>
      <w:r>
        <w:t>На данный момент передача данных между системами происходит частично через файловый обмен (результаты из ЛИС выгружаются в расшаренную сетевую папку в формате XML/PDF раз в 15 минут, откуда МИС их забирает), а между CRM и МИС настроен прямой кастомный скрипт (Point-to-Point). Данные об оплате из кассы переносятся вручную администратором клиники или сверяются в конце дня выгрузкой реестра CSV.</w:t>
      </w:r>
    </w:p>
    <w:p w14:paraId="18B69627">
      <w:pPr>
        <w:pStyle w:val="style0"/>
        <w:rPr/>
      </w:pPr>
      <w:r>
        <w:rPr>
          <w:b/>
        </w:rPr>
        <w:t xml:space="preserve">Целевой уровень интеграции: </w:t>
      </w:r>
      <w:r>
        <w:rPr>
          <w:b w:val="false"/>
        </w:rPr>
        <w:t>Интеграция на уровне бизнес-процессов (Process-level integration) с использованием сервисной шины (ESB) или BPM-платформы.</w:t>
      </w:r>
    </w:p>
    <w:p w14:paraId="EABF10BA">
      <w:pPr>
        <w:pStyle w:val="style0"/>
        <w:rPr/>
      </w:pPr>
      <w:r>
        <w:rPr>
          <w:b/>
        </w:rPr>
        <w:t>Как подняться на этот уровень:</w:t>
      </w:r>
      <w:r>
        <w:rPr>
          <w:b/>
        </w:rPr>
        <w:br/>
      </w:r>
    </w:p>
    <w:p w14:paraId="F1688B8D">
      <w:pPr>
        <w:pStyle w:val="style0"/>
        <w:spacing w:after="60"/>
        <w:ind w:left="288"/>
        <w:rPr/>
      </w:pPr>
      <w:r>
        <w:rPr>
          <w:b/>
        </w:rPr>
        <w:t xml:space="preserve">• Внедрение центральной шины (ESB / BPM): </w:t>
      </w:r>
      <w:r>
        <w:t>Единая управляющая среда (например, Camunda BPM + RabbitMQ/Apache Kafka), которая координирует сквозной сквозной процесс «Запись → Оплата → Прием → Анализ → Заключение».</w:t>
      </w:r>
    </w:p>
    <w:p w14:paraId="AC5EEAD2">
      <w:pPr>
        <w:pStyle w:val="style0"/>
        <w:spacing w:after="60"/>
        <w:ind w:left="288"/>
        <w:rPr/>
      </w:pPr>
      <w:r>
        <w:rPr>
          <w:b/>
        </w:rPr>
        <w:t xml:space="preserve">• Оркестрация событий в реальном времени: </w:t>
      </w:r>
      <w:r>
        <w:t>Каждое действие генерирует событие: статус заказа меняется автоматически. Врач сразу видит статус оплаты, лаборатория моментально получает направление, а клиент в личном кабинете видит готовые анализы.</w:t>
      </w:r>
    </w:p>
    <w:p w14:paraId="0340BB9C">
      <w:pPr>
        <w:pStyle w:val="style0"/>
        <w:spacing w:after="60"/>
        <w:ind w:left="288"/>
        <w:rPr/>
      </w:pPr>
      <w:r>
        <w:rPr>
          <w:b/>
        </w:rPr>
        <w:t xml:space="preserve">• Отчуждение бизнес-логики: </w:t>
      </w:r>
      <w:r>
        <w:t>Правила маршрутизации и валидации выносятся из отдельных систем в единую модель процесса, что позволяет легко менять шаги (например, добавить этап SMS-информирования или онлайн-оплаты) без переписывания кода CRM или МИС.</w:t>
      </w:r>
    </w:p>
    <w:p w14:paraId="0C2CED46">
      <w:pPr>
        <w:pStyle w:val="style0"/>
        <w:rPr/>
      </w:pPr>
    </w:p>
    <w:p w14:paraId="CC0972D8">
      <w:pPr>
        <w:pStyle w:val="style0"/>
        <w:spacing w:before="280" w:after="120"/>
        <w:rPr/>
      </w:pPr>
      <w:r>
        <w:rPr>
          <w:b/>
          <w:color w:val="1a365d"/>
          <w:sz w:val="32"/>
        </w:rPr>
        <w:t>Задание 3. Типовые ошибки интеграции и способы их предотвращения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14:paraId="11935B7D">
        <w:trPr>
          <w:jc w:val="center"/>
        </w:trPr>
        <w:tc>
          <w:tcPr>
            <w:tcW w:w="9936" w:type="dxa"/>
            <w:tcBorders>
              <w:top w:val="none" w:sz="4" w:space="0" w:color="auto"/>
              <w:left w:val="single" w:sz="24" w:space="0" w:color="c53030"/>
              <w:bottom w:val="none" w:sz="4" w:space="0" w:color="auto"/>
              <w:right w:val="none" w:sz="4" w:space="0" w:color="auto"/>
            </w:tcBorders>
            <w:shd w:val="nil" w:color="auto" w:fill="ff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89971F2E">
            <w:pPr>
              <w:pStyle w:val="style0"/>
              <w:spacing w:after="80"/>
              <w:rPr/>
            </w:pPr>
            <w:r>
              <w:rPr>
                <w:b/>
                <w:color w:val="1a365d"/>
                <w:sz w:val="22"/>
              </w:rPr>
              <w:t>Ошибка 1: Рассинхронизация справочников и дублирование данных (Data Inconsistency / Master Data Issue)</w:t>
            </w:r>
          </w:p>
          <w:p w14:paraId="5DAC55AF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Суть ошибки: </w:t>
            </w:r>
            <w:r>
              <w:rPr>
                <w:sz w:val="21"/>
              </w:rPr>
              <w:t>Возникает, когда одна и та же сущность (например, пациент или услуга) создается в разных системах под разными идентификаторами или с опечатками (например, «Иванов А.А.» в CRM и «Иванов Алексей Александрович» в МИС). Это приводит к тому, что результаты анализов попадают не в ту карту или платеж не привязывается к услуге.</w:t>
            </w:r>
          </w:p>
          <w:p w14:paraId="DFBF769E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Предотвращение: </w:t>
            </w:r>
            <w:r>
              <w:rPr>
                <w:sz w:val="21"/>
              </w:rPr>
              <w:t>Способ предотвращения: Внедрение системы управления нормативно-справочной информацией (MDM — Master Data Management) и единой системы идентификаторов (GUID). Первичная идентификация пациента осуществляется по СНИЛС/паспорту, а при создании записи присваивается единый уникальный ID, используемый всеми системами.</w:t>
            </w:r>
          </w:p>
        </w:tc>
      </w:tr>
    </w:tbl>
    <w:p w14:paraId="7AE46A1E">
      <w:pPr>
        <w:pStyle w:val="style0"/>
        <w:spacing w:after="120"/>
        <w:rPr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14:paraId="22A6520C">
        <w:trPr>
          <w:jc w:val="center"/>
        </w:trPr>
        <w:tc>
          <w:tcPr>
            <w:tcW w:w="9936" w:type="dxa"/>
            <w:tcBorders>
              <w:top w:val="none" w:sz="4" w:space="0" w:color="auto"/>
              <w:left w:val="single" w:sz="24" w:space="0" w:color="c53030"/>
              <w:bottom w:val="none" w:sz="4" w:space="0" w:color="auto"/>
              <w:right w:val="none" w:sz="4" w:space="0" w:color="auto"/>
            </w:tcBorders>
            <w:shd w:val="nil" w:color="auto" w:fill="ff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9529FF9E">
            <w:pPr>
              <w:pStyle w:val="style0"/>
              <w:spacing w:after="80"/>
              <w:rPr/>
            </w:pPr>
            <w:r>
              <w:rPr>
                <w:b/>
                <w:color w:val="1a365d"/>
                <w:sz w:val="22"/>
              </w:rPr>
              <w:t>Ошибка 2: Потеря или дублирование сообщений при сбое связи (Message Loss / Delivery Failure)</w:t>
            </w:r>
          </w:p>
          <w:p w14:paraId="31CDA885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Суть ошибки: </w:t>
            </w:r>
            <w:r>
              <w:rPr>
                <w:sz w:val="21"/>
              </w:rPr>
              <w:t>Если в момент отправки направления из МИС в ЛИС происходит сетевой сбой, сообщение теряется. При повторной отправке без проверки уникальности ЛИС создаст дубликат заказа, что приведет к двойному списанию реактивов и путанице в лаборатории.</w:t>
            </w:r>
          </w:p>
          <w:p w14:paraId="AAB73CAF">
            <w:pPr>
              <w:pStyle w:val="style0"/>
              <w:spacing w:after="60"/>
              <w:ind w:left="144"/>
              <w:rPr/>
            </w:pPr>
            <w:r>
              <w:rPr>
                <w:b/>
                <w:sz w:val="21"/>
              </w:rPr>
              <w:t xml:space="preserve">• Предотвращение: </w:t>
            </w:r>
            <w:r>
              <w:rPr>
                <w:sz w:val="21"/>
              </w:rPr>
              <w:t>Способ предотвращения: Использование брокеров сообщений с гарантированной доставкой (Message Broker с поддержкой QoS/Transactional Persistent Queues) и реализация принципа идемпотентности обработчиков (Idempotent Receiver). Приемная система проверяет уникальный ID транзакции: если сообщение уже было обработано, повторный запрос игнорируется без ошибки.</w:t>
            </w:r>
          </w:p>
        </w:tc>
      </w:tr>
    </w:tbl>
    <w:p w14:paraId="3B4807CE">
      <w:pPr>
        <w:pStyle w:val="style0"/>
        <w:spacing w:after="120"/>
        <w:rPr/>
      </w:pPr>
    </w:p>
    <w:p w14:paraId="687E83B3">
      <w:pPr>
        <w:pStyle w:val="style0"/>
        <w:spacing w:before="280" w:after="120"/>
        <w:rPr/>
      </w:pPr>
      <w:r>
        <w:rPr>
          <w:b/>
          <w:color w:val="1a365d"/>
          <w:sz w:val="32"/>
        </w:rPr>
        <w:t>Задание 4. Пример системы с подходом «точка-точка» и его обоснование</w:t>
      </w:r>
    </w:p>
    <w:p w14:paraId="CF2F52D1">
      <w:pPr>
        <w:pStyle w:val="style0"/>
        <w:rPr/>
      </w:pPr>
      <w:r>
        <w:rPr>
          <w:b/>
        </w:rPr>
        <w:t xml:space="preserve">Пример системы: </w:t>
      </w:r>
      <w:r>
        <w:t>Локальный сайт-витрина / Интернет-магазин небольшого регионального бренда одежды, интегрированный напрямую с облачной кассой (например, Атол Онлайн) и базой 1С:Управление торговлей.</w:t>
      </w:r>
    </w:p>
    <w:p w14:paraId="CEE37A64">
      <w:pPr>
        <w:pStyle w:val="style0"/>
        <w:rPr/>
      </w:pPr>
      <w:r>
        <w:rPr>
          <w:b/>
        </w:rPr>
        <w:t>Почему подход «точка-точка» (Point-to-Point) в данном случае полностью оправдан:</w:t>
      </w:r>
      <w:r>
        <w:rPr>
          <w:b/>
        </w:rPr>
        <w:br/>
      </w:r>
    </w:p>
    <w:p w14:paraId="2FCFF1C8">
      <w:pPr>
        <w:pStyle w:val="style0"/>
        <w:spacing w:after="80"/>
        <w:ind w:left="288"/>
        <w:rPr/>
      </w:pPr>
      <w:r>
        <w:rPr>
          <w:b/>
        </w:rPr>
        <w:t xml:space="preserve">1. Малое количество интегрируемых систем (N = 3): </w:t>
      </w:r>
      <w:r>
        <w:t>Формула количества связей: N × (N − 1) / 2. При N = 3 количество связей равно 3 × 2 / 2 = 3 интерфейса. Архитектура остается прозрачной, простой и легко контролируемой.</w:t>
      </w:r>
    </w:p>
    <w:p w14:paraId="32F6D1CD">
      <w:pPr>
        <w:pStyle w:val="style0"/>
        <w:spacing w:after="80"/>
        <w:ind w:left="288"/>
        <w:rPr/>
      </w:pPr>
      <w:r>
        <w:rPr>
          <w:b/>
        </w:rPr>
        <w:t xml:space="preserve">1. Минимальные финансовые и временные затраты: </w:t>
      </w:r>
      <w:r>
        <w:t>Внедрение корпоративной сервисной шины (ESB) или брокера сообщений требует высоких затрат на лицензии, инфраструктуру и квалифицированных специалистов. Использование прямых REST API связей реализуется за несколько дней.</w:t>
      </w:r>
    </w:p>
    <w:p w14:paraId="A73DF7D2">
      <w:pPr>
        <w:pStyle w:val="style0"/>
        <w:spacing w:after="80"/>
        <w:ind w:left="288"/>
        <w:rPr/>
      </w:pPr>
      <w:r>
        <w:rPr>
          <w:b/>
        </w:rPr>
        <w:t xml:space="preserve">1. Низкая частота изменения бизнес-процессов: </w:t>
      </w:r>
      <w:r>
        <w:t>Логика взаимодействия крайне статична: «Сайт отправил чек в Атол» и «Сайт запросил остатки из 1С». Процессы не меняются годами, поэтому гибкость шины данных здесь избыточна.</w:t>
      </w:r>
    </w:p>
    <w:p w14:paraId="35DDC3D3">
      <w:pPr>
        <w:pStyle w:val="style0"/>
        <w:spacing w:after="80"/>
        <w:ind w:left="288"/>
        <w:rPr/>
      </w:pPr>
      <w:r>
        <w:rPr>
          <w:b/>
        </w:rPr>
        <w:t xml:space="preserve">1. Отсутствие высокой высокой нагрузки: </w:t>
      </w:r>
      <w:r>
        <w:t>Объем транзакций не превышает сотен в день, что не создаёт риска перегрузки прямого синхронного соединения.</w:t>
      </w:r>
    </w:p>
    <w:sectPr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20" w:lineRule="auto" w:line="276"/>
    </w:pPr>
    <w:rPr>
      <w:rFonts w:ascii="Calibri" w:hAnsi="Calibri"/>
      <w:color w:val="2d3748"/>
      <w:sz w:val="22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87da41b8-9694-45ce-a09c-877be547cf2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06105d42-12cf-402a-afc8-846880d7e000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575a524-7f80-47f0-91a6-c19d22e72e70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70f4ab87-d9bb-4cbf-a475-eb04c523c5b2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ca284793-678c-4d79-84b1-b00a34ae9e5f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dd1350f4-3e69-4e57-a3cd-e6a6eb9c3021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8c7d1a8b-2c92-45e7-8642-fe5188b8776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cf2987f9-092c-4aab-a60e-d54b56d5a070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62c6ce9-2ee4-43d7-b935-d8699e45f5e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22de388-6bb3-42cb-a0d5-1b3e92ec2b92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a35a0df-40d0-43c4-a1fe-fd4bc003971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2186067-8d5c-47b9-8567-58926e5ebf0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e98e5b0-900e-4ad5-be03-f6947830cf6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81bca1da-4d4e-4696-9c85-cc2590faf3ba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763</Words>
  <Pages>1</Pages>
  <Characters>5118</Characters>
  <Application>WPS Office</Application>
  <DocSecurity>0</DocSecurity>
  <Paragraphs>46</Paragraphs>
  <ScaleCrop>false</ScaleCrop>
  <LinksUpToDate>false</LinksUpToDate>
  <CharactersWithSpaces>5844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2026-10-05T07:24:40Z</dcterms:created>
  <dc:creator>python-docx</dc:creator>
  <dc:description>generated by python-docx</dc:description>
  <lastModifiedBy>ALT-LX1</lastModifiedBy>
  <dcterms:modified xsi:type="dcterms:W3CDTF">2026-10-05T07:24:40Z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e11c2894916e415d9f79def046d63386</vt:lpwstr>
  </property>
</Properties>
</file>