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69583B11" w:rsidR="0012079E" w:rsidRPr="00A21B53" w:rsidRDefault="00B44872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1</w:t>
      </w:r>
      <w:r w:rsidR="00355BC5">
        <w:rPr>
          <w:rFonts w:eastAsia="Calibri" w:cs="Times New Roman"/>
          <w:b/>
          <w:bCs/>
          <w:szCs w:val="28"/>
          <w:lang w:val="en-US"/>
        </w:rPr>
        <w:t>5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 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5272B0">
        <w:rPr>
          <w:rFonts w:eastAsia="Calibri" w:cs="Times New Roman"/>
          <w:b/>
          <w:bCs/>
          <w:szCs w:val="28"/>
          <w:lang w:val="en-US"/>
        </w:rPr>
        <w:t>1</w:t>
      </w:r>
      <w:r w:rsidR="00355BC5">
        <w:rPr>
          <w:rFonts w:eastAsia="Calibri" w:cs="Times New Roman"/>
          <w:b/>
          <w:bCs/>
          <w:szCs w:val="28"/>
          <w:lang w:val="en-US"/>
        </w:rPr>
        <w:t>2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2B8B60FC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355BC5" w:rsidRPr="00355BC5">
        <w:rPr>
          <w:rFonts w:eastAsia="Calibri" w:cs="Times New Roman"/>
          <w:bCs/>
          <w:szCs w:val="28"/>
          <w:lang w:val="en-US"/>
        </w:rPr>
        <w:t>Pythonda “Lug‘at” bilan ishlash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6421"/>
        <w:gridCol w:w="1658"/>
        <w:gridCol w:w="1569"/>
      </w:tblGrid>
      <w:tr w:rsidR="005A5355" w:rsidRPr="00355BC5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30BFFF17" w14:textId="77777777" w:rsid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</w:p>
          <w:p w14:paraId="3B48ACA5" w14:textId="3B3728A7" w:rsidR="00B9656F" w:rsidRPr="004F3F85" w:rsidRDefault="00B9656F" w:rsidP="00A41099">
            <w:pPr>
              <w:tabs>
                <w:tab w:val="left" w:pos="521"/>
              </w:tabs>
              <w:rPr>
                <w:b/>
                <w:sz w:val="26"/>
                <w:szCs w:val="26"/>
                <w:lang w:val="uz-Cyrl-UZ"/>
              </w:rPr>
            </w:pPr>
            <w:r w:rsidRPr="004F3F85">
              <w:rPr>
                <w:b/>
                <w:sz w:val="26"/>
                <w:szCs w:val="26"/>
                <w:lang w:val="uz-Cyrl-UZ"/>
              </w:rPr>
              <w:t>Mavzu:</w:t>
            </w:r>
            <w:r w:rsidR="006E3A23" w:rsidRPr="004F3F85">
              <w:rPr>
                <w:bCs/>
                <w:sz w:val="26"/>
                <w:szCs w:val="26"/>
                <w:lang w:val="uz-Cyrl-UZ"/>
              </w:rPr>
              <w:t xml:space="preserve"> </w:t>
            </w:r>
            <w:r w:rsidR="00355BC5" w:rsidRPr="00355BC5">
              <w:rPr>
                <w:bCs/>
                <w:sz w:val="26"/>
                <w:szCs w:val="26"/>
                <w:lang w:val="uz-Cyrl-UZ"/>
              </w:rPr>
              <w:t>Pythonda “Lug‘at” bilan ishlash</w:t>
            </w:r>
            <w:r w:rsidR="00A039A6" w:rsidRPr="00A039A6">
              <w:rPr>
                <w:bCs/>
                <w:sz w:val="26"/>
                <w:szCs w:val="26"/>
                <w:lang w:val="uz-Cyrl-UZ"/>
              </w:rPr>
              <w:t>.</w:t>
            </w:r>
          </w:p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7842F956" w14:textId="77777777" w:rsidR="00355BC5" w:rsidRPr="00355BC5" w:rsidRDefault="00355BC5" w:rsidP="00355BC5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355BC5">
              <w:rPr>
                <w:sz w:val="24"/>
                <w:szCs w:val="24"/>
                <w:lang w:val="en-US"/>
              </w:rPr>
              <w:t xml:space="preserve">Lug‘atlar va ularning qo‘llanilishi. </w:t>
            </w:r>
          </w:p>
          <w:p w14:paraId="3C644D6E" w14:textId="77777777" w:rsidR="00355BC5" w:rsidRPr="00355BC5" w:rsidRDefault="00355BC5" w:rsidP="00355BC5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355BC5">
              <w:rPr>
                <w:sz w:val="24"/>
                <w:szCs w:val="24"/>
                <w:lang w:val="en-US"/>
              </w:rPr>
              <w:t xml:space="preserve">Lug‘atlarni yaratish usullari. </w:t>
            </w:r>
          </w:p>
          <w:p w14:paraId="7A5F57B7" w14:textId="6EFB5218" w:rsidR="00B9656F" w:rsidRPr="00546C06" w:rsidRDefault="00355BC5" w:rsidP="00355BC5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355BC5">
              <w:rPr>
                <w:sz w:val="24"/>
                <w:szCs w:val="24"/>
                <w:lang w:val="en-US"/>
              </w:rPr>
              <w:t>Lug‘atlar bilan ishlovchi metodlar.</w:t>
            </w:r>
            <w:bookmarkStart w:id="0" w:name="_GoBack"/>
            <w:bookmarkEnd w:id="0"/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804EA"/>
    <w:rsid w:val="00257A24"/>
    <w:rsid w:val="00355BC5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8289A"/>
    <w:rsid w:val="006E3A23"/>
    <w:rsid w:val="006E446A"/>
    <w:rsid w:val="007030BF"/>
    <w:rsid w:val="007832F1"/>
    <w:rsid w:val="007A311C"/>
    <w:rsid w:val="007C4004"/>
    <w:rsid w:val="007E626E"/>
    <w:rsid w:val="007E7196"/>
    <w:rsid w:val="00802749"/>
    <w:rsid w:val="009D6742"/>
    <w:rsid w:val="00A039A6"/>
    <w:rsid w:val="00A21B53"/>
    <w:rsid w:val="00A2516F"/>
    <w:rsid w:val="00A32355"/>
    <w:rsid w:val="00A34CBD"/>
    <w:rsid w:val="00A41099"/>
    <w:rsid w:val="00AA68D0"/>
    <w:rsid w:val="00AC4B78"/>
    <w:rsid w:val="00B44872"/>
    <w:rsid w:val="00B9656F"/>
    <w:rsid w:val="00C52CEB"/>
    <w:rsid w:val="00CF6FC2"/>
    <w:rsid w:val="00D67831"/>
    <w:rsid w:val="00D8324F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54</cp:revision>
  <dcterms:created xsi:type="dcterms:W3CDTF">2023-02-20T14:16:00Z</dcterms:created>
  <dcterms:modified xsi:type="dcterms:W3CDTF">2023-03-30T12:17:00Z</dcterms:modified>
</cp:coreProperties>
</file>