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5-masala rasmiy yechimi va bizning yechim bilan taqqoslash</w:t>
      </w:r>
    </w:p>
    <w:p>
      <w:r>
        <w:rPr>
          <w:b/>
        </w:rPr>
        <w:t>1. Rasmiy yechim mazmuni</w:t>
        <w:br/>
      </w:r>
      <w:r>
        <w:t>Rasmiy yechimda shunday deyiladi:</w:t>
        <w:br/>
        <w:t>Avvalo chiziqli tenglamalar sistemasini (СЛУ) yechib, (b₁,…,b₄) qiymatlarni topamiz. Ularning holatida (b₁,…,b₄) = (1,0,0,0) chiqqan. So‘ngra (x₁,…,x₈) o‘zgaruvchilar ishtirokidagi kvadratik tenglamalar sistemasida x₆,x₇,x₈ ni ixtiyoriy qilib belgilab olamiz va qolgan o‘zgaruvchilar bo‘yicha hosil bo‘lgan chiziqli tenglamalar sistemasini yechamiz. Agar hosil bo‘lgan sistema mos kelmasa (masalan, x₆=1,x₇=0,x₈=1 holatda), x₆,x₇,x₈ qiymatlari boshqa tarzda belgilanadi.</w:t>
        <w:br/>
        <w:br/>
        <w:t>Masalan, ular x₆=1,x₇=0,x₈=0 holatda yechim olgan: x₁=0, x₂=0, x₄=1, x₃=x₅. Demak, bu holatda ikkita yechim mavjud: x₃=x₅=0 yoki x₃=x₅=1.</w:t>
      </w:r>
    </w:p>
    <w:p>
      <w:r>
        <w:rPr>
          <w:b/>
        </w:rPr>
        <w:br/>
        <w:t>2. Rasmiy yechimning mohiyati</w:t>
        <w:br/>
      </w:r>
      <w:r>
        <w:t>Bu yechimdagi asosiy fikr shuki:</w:t>
        <w:br/>
        <w:t>1) avval (a₁,…,a₄) dan (b₁,…,b₄) uchun chiziqli sistema tuziladi;</w:t>
        <w:br/>
        <w:t>2) so‘ng (b₁,…,b₄) ni b₁,…,b₄ formulalarida o‘rniga qo‘yib, (x₁,…,x₈) uchun kvadratik sistema olinadi;</w:t>
        <w:br/>
        <w:t>3) kvadratik sistemani yechish uchun ayrim o‘zgaruvchilar (x₆,x₇,x₈) ni tasodifiy belgilanadi va qolganlar uchun oddiy chiziqli sistema hosil bo‘ladi.</w:t>
        <w:br/>
        <w:t>Agar sistema qarama-qarshi bo‘lsa, x₆,x₇,x₈ qaytadan belgilanadi.</w:t>
        <w:br/>
        <w:t>Bu usul ko‘p yechimli bo‘lishi mumkin, chunki x₆,x₇,x₈ tasodifiy belgilanadi.</w:t>
      </w:r>
    </w:p>
    <w:p>
      <w:r>
        <w:rPr>
          <w:b/>
        </w:rPr>
        <w:br/>
        <w:t>3. Bizning yechim bilan solishtirish</w:t>
        <w:br/>
      </w:r>
      <w:r>
        <w:t>Biz ishlagan masalada xabar (a₁,a₂,a₃,a₄) = (0,1,1,1) edi.</w:t>
        <w:br/>
        <w:t>Shu asosda chiziqli sistemani yechib, bizda (b₁,b₂,b₃,b₄) = (0,1,0,0) chiqdi.</w:t>
        <w:br/>
        <w:t>Bu qiymatlar (1,0,0,0) dan farq qiladi, ya’ni rasmiy yechim boshqa xabar (ehtimol (1,0,1,1)) uchun yozilgan.</w:t>
        <w:br/>
        <w:br/>
        <w:t>Demak, usul bir xil bo‘lsa-da, sonlar boshqacha: ular boshqa variantni yechgan yoki matnda kichik xato bor.</w:t>
        <w:br/>
      </w:r>
    </w:p>
    <w:p>
      <w:r>
        <w:rPr>
          <w:b/>
        </w:rPr>
        <w:br/>
        <w:t>4. Biz topgan imzo</w:t>
        <w:br/>
      </w:r>
      <w:r>
        <w:t>Bizning xabar (0,1,1,1) uchun quyidagi imzo mos keldi:</w:t>
        <w:br/>
        <w:t>(x₁,…,x₈) = (1,0,0,1,0,0,1,0).</w:t>
        <w:br/>
        <w:br/>
        <w:t>U holda:</w:t>
        <w:br/>
        <w:t>b = (0,1,0,0),</w:t>
        <w:br/>
        <w:t>a = (0,1,1,1),</w:t>
        <w:br/>
        <w:t>ya’ni masaladagi xabar bilan to‘liq mos keladi. Rasmiy yechimdagi sonlar esa (1,0,0,0) holatiga tegishli bo‘lib, u (1,0,1,1) xabariga mos keladi.</w:t>
        <w:br/>
      </w:r>
    </w:p>
    <w:p>
      <w:r>
        <w:rPr>
          <w:b/>
        </w:rPr>
        <w:br/>
        <w:t>5. Xulosa</w:t>
        <w:br/>
      </w:r>
      <w:r>
        <w:t>– Rasmiy yechimdagi metod bizning yechim usuli bilan to‘liq mos.</w:t>
        <w:br/>
        <w:t>– Farq faqat kiritilgan xabar qiymatlarida (a₁,…,a₄) bo‘lib, ular boshqa variantni ishlagan.</w:t>
        <w:br/>
        <w:t>– Bizning imzo (1,0,0,1,0,0,1,0) to‘g‘ri yechim bo‘lib, (0,1,1,1) xabarini to‘liq qanoatlantiradi.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