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ind w:left="4779"/>
        <w:spacing w:before="0" w:after="0" w:line="240" w:lineRule="auto"/>
      </w:pPr>
      <w:r>
        <w:rPr>
          <w:rFonts w:ascii="Times New Roman" w:hAnsi="Times New Roman" w:cs="Times New Roman"/>
          <w:b/>
          <w:bCs/>
          <w:sz w:val="24"/>
          <w:szCs w:val="24"/>
        </w:rPr>
        <w:t>TASDIQLAYMAN</w:t>
      </w:r>
    </w:p>
    <w:p>
      <w:pPr>
        <w:jc w:val="center"/>
        <w:ind w:left="4779"/>
        <w:spacing w:before="0" w:after="0" w:line="240" w:lineRule="auto"/>
      </w:pPr>
      <w:r>
        <w:rPr>
          <w:rFonts w:ascii="Times New Roman" w:hAnsi="Times New Roman" w:cs="Times New Roman"/>
          <w:sz w:val="24"/>
          <w:szCs w:val="24"/>
        </w:rPr>
        <w:t>OʻR HX VA MU AKT VA HAI</w:t>
      </w:r>
    </w:p>
    <w:p>
      <w:pPr>
        <w:jc w:val="center"/>
        <w:ind w:left="4779"/>
        <w:spacing w:before="0" w:after="0" w:line="240" w:lineRule="auto"/>
      </w:pPr>
      <w:r>
        <w:rPr>
          <w:rFonts w:ascii="Times New Roman" w:hAnsi="Times New Roman" w:cs="Times New Roman"/>
          <w:sz w:val="24"/>
          <w:szCs w:val="24"/>
        </w:rPr>
        <w:t>KIBERXAVFSIZLIK KAFEDRASI BOSHLIGʻI</w:t>
      </w:r>
    </w:p>
    <w:p>
      <w:pPr>
        <w:ind w:left="4779"/>
        <w:spacing w:before="0" w:after="0" w:line="240" w:lineRule="auto"/>
      </w:pPr>
      <w:r>
        <w:rPr>
          <w:rFonts w:ascii="Times New Roman" w:hAnsi="Times New Roman" w:cs="Times New Roman"/>
          <w:sz w:val="28"/>
          <w:szCs w:val="28"/>
        </w:rPr>
        <w:t>kapitan</w:t>
      </w:r>
    </w:p>
    <w:p>
      <w:pPr>
        <w:jc w:val="right"/>
        <w:ind w:left="4779" w:right="35"/>
        <w:spacing w:before="0" w:after="0" w:line="240" w:lineRule="auto"/>
      </w:pPr>
      <w:r>
        <w:rPr>
          <w:rFonts w:ascii="Times New Roman" w:hAnsi="Times New Roman" w:cs="Times New Roman"/>
          <w:sz w:val="28"/>
          <w:szCs w:val="28"/>
        </w:rPr>
        <w:t>D.Xayitov</w:t>
      </w:r>
    </w:p>
    <w:p>
      <w:pPr>
        <w:ind w:left="4779"/>
        <w:spacing w:before="0" w:after="0" w:line="240" w:lineRule="auto"/>
      </w:pPr>
      <w:r>
        <w:rPr>
          <w:rFonts w:ascii="Times New Roman" w:hAnsi="Times New Roman" w:cs="Times New Roman"/>
          <w:sz w:val="28"/>
          <w:szCs w:val="28"/>
        </w:rPr>
        <w:t>2026-y. “__” __________</w:t>
      </w:r>
    </w:p>
    <w:p>
      <w:pPr>
        <w:spacing w:before="0" w:after="0" w:line="240" w:lineRule="auto"/>
      </w:pPr>
    </w:p>
    <w:p>
      <w:pPr>
        <w:spacing w:before="0" w:after="0" w:line="240" w:lineRule="auto"/>
      </w:pPr>
    </w:p>
    <w:p>
      <w:pPr>
        <w:jc w:val="center"/>
        <w:spacing w:before="0" w:after="0" w:line="240" w:lineRule="auto"/>
      </w:pPr>
      <w:r>
        <w:rPr>
          <w:rFonts w:ascii="Times New Roman" w:hAnsi="Times New Roman" w:cs="Times New Roman"/>
          <w:b/>
          <w:bCs/>
          <w:sz w:val="28"/>
          <w:szCs w:val="28"/>
        </w:rPr>
        <w:t>“KIBER KRIMINALISTIKA VA ETIKAL HAKING” FANIDAN MASHGʻULOT REJASI</w:t>
      </w:r>
    </w:p>
    <w:p>
      <w:pPr>
        <w:jc w:val="center"/>
        <w:spacing w:before="120" w:after="0" w:line="240" w:lineRule="auto"/>
      </w:pPr>
      <w:r>
        <w:rPr>
          <w:rFonts w:ascii="Times New Roman" w:hAnsi="Times New Roman" w:cs="Times New Roman"/>
          <w:b/>
          <w:bCs/>
          <w:sz w:val="28"/>
          <w:szCs w:val="28"/>
        </w:rPr>
        <w:t>2-MAVZU.</w:t>
      </w:r>
    </w:p>
    <w:p>
      <w:pPr>
        <w:jc w:val="center"/>
        <w:spacing w:before="0" w:after="0" w:line="240" w:lineRule="auto"/>
      </w:pPr>
      <w:r>
        <w:rPr>
          <w:rFonts w:ascii="Times New Roman" w:hAnsi="Times New Roman" w:cs="Times New Roman"/>
          <w:b/>
          <w:bCs/>
          <w:sz w:val="28"/>
          <w:szCs w:val="28"/>
        </w:rPr>
        <w:t>“Linux OT”</w:t>
      </w:r>
    </w:p>
    <w:p>
      <w:pPr>
        <w:jc w:val="center"/>
        <w:spacing w:before="120" w:after="0" w:line="240" w:lineRule="auto"/>
      </w:pPr>
      <w:r>
        <w:rPr>
          <w:rFonts w:ascii="Times New Roman" w:hAnsi="Times New Roman" w:cs="Times New Roman"/>
          <w:b/>
          <w:bCs/>
          <w:sz w:val="28"/>
          <w:szCs w:val="28"/>
        </w:rPr>
        <w:t>5-MASHGʻULOT.</w:t>
      </w:r>
    </w:p>
    <w:p>
      <w:pPr>
        <w:jc w:val="center"/>
        <w:spacing w:before="0" w:after="0" w:line="240" w:lineRule="auto"/>
      </w:pPr>
      <w:r>
        <w:rPr>
          <w:rFonts w:ascii="Times New Roman" w:hAnsi="Times New Roman" w:cs="Times New Roman"/>
          <w:b/>
          <w:bCs/>
          <w:sz w:val="28"/>
          <w:szCs w:val="28"/>
        </w:rPr>
        <w:t>Linux OT</w:t>
      </w:r>
    </w:p>
    <w:p>
      <w:pPr>
        <w:spacing w:before="0" w:after="0" w:line="240" w:lineRule="auto"/>
      </w:pPr>
    </w:p>
    <w:p>
      <w:pPr>
        <w:jc w:val="both"/>
        <w:ind w:firstLine="709"/>
        <w:spacing w:before="0" w:after="0" w:line="240" w:lineRule="auto"/>
      </w:pPr>
      <w:r>
        <w:rPr>
          <w:rFonts w:ascii="Times New Roman" w:hAnsi="Times New Roman" w:cs="Times New Roman"/>
          <w:b/>
          <w:bCs/>
          <w:sz w:val="28"/>
          <w:szCs w:val="28"/>
        </w:rPr>
        <w:t xml:space="preserve">Mashgʻulotning oʻquv va tarbiyaviy maqsadi: </w:t>
      </w:r>
      <w:r>
        <w:rPr>
          <w:rFonts w:ascii="Times New Roman" w:hAnsi="Times New Roman" w:cs="Times New Roman"/>
          <w:sz w:val="28"/>
          <w:szCs w:val="28"/>
        </w:rPr>
        <w:t xml:space="preserve">Kursantlarda tarmoq razvedkasi (recon) tushunchasi va metodikasi boʻyicha bilimlarini shakllantirishdan iborat. </w:t>
      </w:r>
      <w:r>
        <w:rPr>
          <w:rFonts w:ascii="Times New Roman" w:hAnsi="Times New Roman" w:cs="Times New Roman"/>
          <w:i/>
          <w:iCs/>
          <w:sz w:val="28"/>
          <w:szCs w:val="28"/>
        </w:rPr>
        <w:t>Tarbiyaviy maqsad</w:t>
      </w:r>
      <w:r>
        <w:rPr>
          <w:rFonts w:ascii="Times New Roman" w:hAnsi="Times New Roman" w:cs="Times New Roman"/>
          <w:sz w:val="28"/>
          <w:szCs w:val="28"/>
        </w:rPr>
        <w:t>: kursantlarda axborot tizimlari bilan ishlashda masʼuliyatlilik, intizomlilik, ish natijalariga puxta va aniq yondashish hamda kasbiy burchga sodiqlik kabi harbiy-tarbiyaviy fazilatlarni shakllantirishdan iborat.</w:t>
      </w:r>
    </w:p>
    <w:p>
      <w:pPr>
        <w:jc w:val="both"/>
        <w:ind w:firstLine="709"/>
        <w:spacing w:before="0" w:after="0" w:line="240" w:lineRule="auto"/>
      </w:pPr>
      <w:r>
        <w:rPr>
          <w:rFonts w:ascii="Times New Roman" w:hAnsi="Times New Roman" w:cs="Times New Roman"/>
          <w:b/>
          <w:bCs/>
          <w:sz w:val="28"/>
          <w:szCs w:val="28"/>
        </w:rPr>
        <w:t xml:space="preserve">Oʻquv guruhlari: </w:t>
      </w:r>
      <w:r>
        <w:rPr>
          <w:rFonts w:ascii="Times New Roman" w:hAnsi="Times New Roman" w:cs="Times New Roman"/>
          <w:sz w:val="28"/>
          <w:szCs w:val="28"/>
        </w:rPr>
        <w:t>KX-3/12-26.</w:t>
      </w:r>
    </w:p>
    <w:p>
      <w:pPr>
        <w:ind w:firstLine="709"/>
        <w:spacing w:before="0" w:after="0" w:line="240" w:lineRule="auto"/>
      </w:pPr>
      <w:r>
        <w:rPr>
          <w:rFonts w:ascii="Times New Roman" w:hAnsi="Times New Roman" w:cs="Times New Roman"/>
          <w:b/>
          <w:bCs/>
          <w:sz w:val="28"/>
          <w:szCs w:val="28"/>
        </w:rPr>
        <w:t xml:space="preserve">Vaqt: </w:t>
      </w:r>
      <w:r>
        <w:rPr>
          <w:rFonts w:ascii="Times New Roman" w:hAnsi="Times New Roman" w:cs="Times New Roman"/>
          <w:sz w:val="28"/>
          <w:szCs w:val="28"/>
        </w:rPr>
        <w:t>80 daqiqa.</w:t>
      </w:r>
    </w:p>
    <w:p>
      <w:pPr>
        <w:ind w:firstLine="709"/>
        <w:spacing w:before="0" w:after="0" w:line="240" w:lineRule="auto"/>
      </w:pPr>
      <w:r>
        <w:rPr>
          <w:rFonts w:ascii="Times New Roman" w:hAnsi="Times New Roman" w:cs="Times New Roman"/>
          <w:b/>
          <w:bCs/>
          <w:sz w:val="28"/>
          <w:szCs w:val="28"/>
        </w:rPr>
        <w:t xml:space="preserve">Oʻtish joyi: </w:t>
      </w:r>
      <w:r>
        <w:rPr>
          <w:rFonts w:ascii="Times New Roman" w:hAnsi="Times New Roman" w:cs="Times New Roman"/>
          <w:sz w:val="28"/>
          <w:szCs w:val="28"/>
        </w:rPr>
        <w:t>304-oʻquv sinfi.</w:t>
      </w:r>
    </w:p>
    <w:p>
      <w:pPr>
        <w:ind w:firstLine="709"/>
        <w:spacing w:before="0" w:after="0" w:line="240" w:lineRule="auto"/>
      </w:pPr>
      <w:r>
        <w:rPr>
          <w:rFonts w:ascii="Times New Roman" w:hAnsi="Times New Roman" w:cs="Times New Roman"/>
          <w:b/>
          <w:bCs/>
          <w:sz w:val="28"/>
          <w:szCs w:val="28"/>
        </w:rPr>
        <w:t xml:space="preserve">Mashgʻulot turi: </w:t>
      </w:r>
      <w:r>
        <w:rPr>
          <w:rFonts w:ascii="Times New Roman" w:hAnsi="Times New Roman" w:cs="Times New Roman"/>
          <w:sz w:val="28"/>
          <w:szCs w:val="28"/>
        </w:rPr>
        <w:t>Amaliy.</w:t>
      </w:r>
    </w:p>
    <w:p>
      <w:pPr>
        <w:ind w:firstLine="709"/>
        <w:spacing w:before="0" w:after="0" w:line="240" w:lineRule="auto"/>
      </w:pPr>
      <w:r>
        <w:rPr>
          <w:rFonts w:ascii="Times New Roman" w:hAnsi="Times New Roman" w:cs="Times New Roman"/>
          <w:b/>
          <w:bCs/>
          <w:sz w:val="28"/>
          <w:szCs w:val="28"/>
        </w:rPr>
        <w:t xml:space="preserve">Oʻquv-moddiy taʼminot: </w:t>
      </w:r>
      <w:r>
        <w:rPr>
          <w:rFonts w:ascii="Times New Roman" w:hAnsi="Times New Roman" w:cs="Times New Roman"/>
          <w:sz w:val="28"/>
          <w:szCs w:val="28"/>
        </w:rPr>
        <w:t>Taqdimot va elektron maʼlumotlar.</w:t>
      </w:r>
    </w:p>
    <w:p>
      <w:pPr>
        <w:ind w:firstLine="709"/>
        <w:spacing w:before="0" w:after="0" w:line="240" w:lineRule="auto"/>
      </w:pPr>
      <w:r>
        <w:rPr>
          <w:rFonts w:ascii="Times New Roman" w:hAnsi="Times New Roman" w:cs="Times New Roman"/>
          <w:b/>
          <w:bCs/>
          <w:sz w:val="28"/>
          <w:szCs w:val="28"/>
        </w:rPr>
        <w:t xml:space="preserve">Oʻquv texnik vositalar: </w:t>
      </w:r>
      <w:r>
        <w:rPr>
          <w:rFonts w:ascii="Times New Roman" w:hAnsi="Times New Roman" w:cs="Times New Roman"/>
          <w:sz w:val="28"/>
          <w:szCs w:val="28"/>
        </w:rPr>
        <w:t>Interaktiv panel, kompyuter.</w:t>
      </w:r>
    </w:p>
    <w:p>
      <w:pPr>
        <w:ind w:firstLine="709"/>
        <w:spacing w:before="0" w:after="0" w:line="240" w:lineRule="auto"/>
      </w:pPr>
      <w:r>
        <w:rPr>
          <w:rFonts w:ascii="Times New Roman" w:hAnsi="Times New Roman" w:cs="Times New Roman"/>
          <w:b/>
          <w:bCs/>
          <w:sz w:val="28"/>
          <w:szCs w:val="28"/>
        </w:rPr>
        <w:t>Tinglovchilar mustaqil tayyorgarligi uchun mavzu boʻyicha adabiyotlar:</w:t>
      </w:r>
    </w:p>
    <w:p>
      <w:pPr>
        <w:jc w:val="both"/>
        <w:ind w:firstLine="709"/>
        <w:spacing w:before="0" w:after="0" w:line="240" w:lineRule="auto"/>
      </w:pPr>
      <w:r>
        <w:rPr>
          <w:rFonts w:ascii="Times New Roman" w:hAnsi="Times New Roman" w:cs="Times New Roman"/>
          <w:sz w:val="28"/>
          <w:szCs w:val="28"/>
        </w:rPr>
        <w:t>1. Kiberkriminalistika va etikal haking: Darslik. I.I.Nishanov, M.J.Xusenov Toshkent-2024.-390 b.</w:t>
      </w:r>
    </w:p>
    <w:p>
      <w:pPr>
        <w:jc w:val="both"/>
        <w:ind w:firstLine="709"/>
        <w:spacing w:before="0" w:after="0" w:line="240" w:lineRule="auto"/>
      </w:pPr>
      <w:r>
        <w:rPr>
          <w:rFonts w:ascii="Times New Roman" w:hAnsi="Times New Roman" w:cs="Times New Roman"/>
          <w:sz w:val="28"/>
          <w:szCs w:val="28"/>
        </w:rPr>
        <w:t>2. Kiberkriminalistika va etikal haking: Oʻquv qoʻllanma. I.I.Nishanov, M.J.Xusenov Toshkent-2024.-268 b.</w:t>
      </w:r>
    </w:p>
    <w:p>
      <w:pPr>
        <w:jc w:val="both"/>
        <w:ind w:firstLine="709"/>
        <w:spacing w:before="0" w:after="0" w:line="240" w:lineRule="auto"/>
      </w:pPr>
      <w:r>
        <w:rPr>
          <w:rFonts w:ascii="Times New Roman" w:hAnsi="Times New Roman" w:cs="Times New Roman"/>
          <w:sz w:val="28"/>
          <w:szCs w:val="28"/>
        </w:rPr>
        <w:t>3. Jennifer Minella, Stephen Orr. Wireless Security Architecture: Designing and Maintaining Secure Wireless for Enterprise. 2022. - 624 s.</w:t>
      </w:r>
    </w:p>
    <w:p>
      <w:pPr>
        <w:jc w:val="both"/>
        <w:ind w:firstLine="709"/>
        <w:spacing w:before="0" w:after="0" w:line="240" w:lineRule="auto"/>
      </w:pPr>
      <w:r>
        <w:rPr>
          <w:rFonts w:ascii="Times New Roman" w:hAnsi="Times New Roman" w:cs="Times New Roman"/>
          <w:sz w:val="28"/>
          <w:szCs w:val="28"/>
        </w:rPr>
        <w:t>4. Sylvain Kerkour. Black Hat Rust. 2022.</w:t>
      </w:r>
    </w:p>
    <w:p>
      <w:pPr>
        <w:jc w:val="both"/>
        <w:ind w:firstLine="709"/>
        <w:spacing w:before="0" w:after="0" w:line="240" w:lineRule="auto"/>
      </w:pPr>
      <w:r>
        <w:rPr>
          <w:rFonts w:ascii="Times New Roman" w:hAnsi="Times New Roman" w:cs="Times New Roman"/>
          <w:sz w:val="28"/>
          <w:szCs w:val="28"/>
        </w:rPr>
        <w:t>5. Greg Gogolin. Digital Forensics Explained. 2021.</w:t>
      </w:r>
    </w:p>
    <w:p>
      <w:pPr>
        <w:jc w:val="both"/>
        <w:ind w:firstLine="709"/>
        <w:spacing w:before="0" w:after="0" w:line="240" w:lineRule="auto"/>
      </w:pPr>
      <w:r>
        <w:rPr>
          <w:rFonts w:ascii="Times New Roman" w:hAnsi="Times New Roman" w:cs="Times New Roman"/>
          <w:sz w:val="28"/>
          <w:szCs w:val="28"/>
        </w:rPr>
        <w:t>6. Brian W. Kernighan. Understanding the Digital World: What You Need to Know about Computers, the Internet, Privacy, and Security, Second Edition. 2022.</w:t>
      </w:r>
    </w:p>
    <w:p>
      <w:pPr>
        <w:jc w:val="both"/>
        <w:ind w:firstLine="709"/>
        <w:spacing w:before="0" w:after="0" w:line="240" w:lineRule="auto"/>
      </w:pPr>
      <w:r>
        <w:rPr>
          <w:rFonts w:ascii="Times New Roman" w:hAnsi="Times New Roman" w:cs="Times New Roman"/>
          <w:sz w:val="28"/>
          <w:szCs w:val="28"/>
        </w:rPr>
        <w:t>7. PenTest: Pentesting Skillset for Red Teamers.</w:t>
      </w:r>
    </w:p>
    <w:p>
      <w:pPr>
        <w:jc w:val="both"/>
        <w:ind w:firstLine="709"/>
        <w:spacing w:before="0" w:after="0" w:line="240" w:lineRule="auto"/>
      </w:pPr>
      <w:r>
        <w:rPr>
          <w:rFonts w:ascii="Times New Roman" w:hAnsi="Times New Roman" w:cs="Times New Roman"/>
          <w:sz w:val="28"/>
          <w:szCs w:val="28"/>
        </w:rPr>
        <w:t>8. Colin OʻFlynn and Jasper van Woudenberg. The Hardware Hacking Handbook. 2021.</w:t>
      </w:r>
    </w:p>
    <w:p>
      <w:pPr>
        <w:jc w:val="center"/>
        <w:spacing w:before="120" w:after="120" w:line="240" w:lineRule="auto"/>
      </w:pPr>
      <w:r>
        <w:rPr>
          <w:rFonts w:ascii="Times New Roman" w:hAnsi="Times New Roman" w:cs="Times New Roman"/>
          <w:b/>
          <w:bCs/>
          <w:sz w:val="28"/>
          <w:szCs w:val="28"/>
        </w:rPr>
        <w:t>OʻQUV SAVOLLARI VA VAQT HISOBI</w:t>
      </w:r>
    </w:p>
    <w:tbl>
      <w:tblPr>
        <w:tblW w:type="auto" w:w="0"/>
        <w:jc w:val="center"/>
        <w:tblLook w:firstColumn="1" w:firstRow="1" w:lastColumn="0" w:lastRow="0" w:noHBand="0" w:noVBand="1" w:val="04A0"/>
        <w:tblW w:w="9623"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7"/>
        <w:gridCol w:w="6178"/>
        <w:gridCol w:w="1080"/>
        <w:gridCol w:w="1798"/>
      </w:tblGrid>
      <w:tr>
        <w:trPr>
          <w:tblHeader w:val="true"/>
          <w:jc w:val="center"/>
        </w:trPr>
        <w:tc>
          <w:tcPr>
            <w:tcW w:type="dxa" w:w="2409"/>
            <w:tcW w:w="567"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b/>
                <w:bCs/>
                <w:sz w:val="28"/>
                <w:szCs w:val="28"/>
              </w:rPr>
              <w:t>№</w:t>
            </w:r>
          </w:p>
        </w:tc>
        <w:tc>
          <w:tcPr>
            <w:tcW w:type="dxa" w:w="2409"/>
            <w:tcW w:w="617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b/>
                <w:bCs/>
                <w:sz w:val="28"/>
                <w:szCs w:val="28"/>
              </w:rPr>
              <w:t>Oʻquv savollari</w:t>
            </w:r>
          </w:p>
        </w:tc>
        <w:tc>
          <w:tcPr>
            <w:tcW w:type="dxa" w:w="2409"/>
            <w:tcW w:w="1080"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b/>
                <w:bCs/>
                <w:sz w:val="28"/>
                <w:szCs w:val="28"/>
              </w:rPr>
              <w:t>Vaqt, daqiqa</w:t>
            </w:r>
          </w:p>
        </w:tc>
        <w:tc>
          <w:tcPr>
            <w:tcW w:type="dxa" w:w="2409"/>
            <w:tcW w:w="179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b/>
                <w:bCs/>
                <w:sz w:val="28"/>
                <w:szCs w:val="28"/>
              </w:rPr>
              <w:t>Koʻrgazmali qoʻllanma va OʻTV</w:t>
            </w:r>
          </w:p>
        </w:tc>
      </w:tr>
      <w:tr>
        <w:trPr>
          <w:jc w:val="center"/>
        </w:trPr>
        <w:tc>
          <w:tcPr>
            <w:tcW w:type="dxa" w:w="2409"/>
            <w:tcW w:w="567"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1.</w:t>
            </w:r>
          </w:p>
        </w:tc>
        <w:tc>
          <w:tcPr>
            <w:tcW w:type="dxa" w:w="2409"/>
            <w:tcW w:w="617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I. KIRISH QISMI</w:t>
            </w:r>
          </w:p>
          <w:p>
            <w:pPr>
              <w:numPr>
                <w:ilvl w:val="0"/>
                <w:numId w:val="9000"/>
              </w:numPr>
              <w:ind w:left="360" w:hanging="360"/>
              <w:jc w:val="both"/>
              <w:spacing w:before="0" w:after="0" w:line="240" w:lineRule="auto"/>
            </w:pPr>
            <w:r>
              <w:rPr>
                <w:rFonts w:ascii="Times New Roman" w:hAnsi="Times New Roman" w:cs="Times New Roman"/>
                <w:sz w:val="28"/>
                <w:szCs w:val="28"/>
              </w:rPr>
              <w:t>Dalolat qabul qilish, tinglovchilar davomatini, tashqi koʻrinishini, mashgʻulotga tayyorgarligini tekshirish;</w:t>
            </w:r>
          </w:p>
          <w:p>
            <w:pPr>
              <w:numPr>
                <w:ilvl w:val="0"/>
                <w:numId w:val="9000"/>
              </w:numPr>
              <w:ind w:left="360" w:hanging="360"/>
              <w:jc w:val="both"/>
              <w:spacing w:before="0" w:after="0" w:line="240" w:lineRule="auto"/>
            </w:pPr>
            <w:r>
              <w:rPr>
                <w:rFonts w:ascii="Times New Roman" w:hAnsi="Times New Roman" w:cs="Times New Roman"/>
                <w:sz w:val="28"/>
                <w:szCs w:val="28"/>
              </w:rPr>
              <w:t>Tezkor axborotni nafaqat taqdimot, balki internetdan yuklab olingan soʻnggi yangiliklar videosi va dayjestlari orqali ham yetkazish;</w:t>
            </w:r>
          </w:p>
          <w:p>
            <w:pPr>
              <w:numPr>
                <w:ilvl w:val="0"/>
                <w:numId w:val="9000"/>
              </w:numPr>
              <w:ind w:left="360" w:hanging="360"/>
              <w:jc w:val="both"/>
              <w:spacing w:before="0" w:after="0" w:line="240" w:lineRule="auto"/>
            </w:pPr>
            <w:r>
              <w:rPr>
                <w:rFonts w:ascii="Times New Roman" w:hAnsi="Times New Roman" w:cs="Times New Roman"/>
                <w:sz w:val="28"/>
                <w:szCs w:val="28"/>
              </w:rPr>
              <w:t>Mavzu va mashgʻulot maqsadini eʼlon qilish;</w:t>
            </w:r>
          </w:p>
          <w:p>
            <w:pPr>
              <w:numPr>
                <w:ilvl w:val="0"/>
                <w:numId w:val="9000"/>
              </w:numPr>
              <w:ind w:left="360" w:hanging="360"/>
              <w:jc w:val="both"/>
              <w:spacing w:before="0" w:after="0" w:line="240" w:lineRule="auto"/>
            </w:pPr>
            <w:r>
              <w:rPr>
                <w:rFonts w:ascii="Times New Roman" w:hAnsi="Times New Roman" w:cs="Times New Roman"/>
                <w:sz w:val="28"/>
                <w:szCs w:val="28"/>
              </w:rPr>
              <w:t>Mavzu materialini bayon etishga kirishish.</w:t>
            </w:r>
          </w:p>
        </w:tc>
        <w:tc>
          <w:tcPr>
            <w:tcW w:type="dxa" w:w="2409"/>
            <w:tcW w:w="1080"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10</w:t>
            </w:r>
          </w:p>
        </w:tc>
        <w:tc>
          <w:tcPr>
            <w:tcW w:type="dxa" w:w="2409"/>
            <w:tcW w:w="179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Taqdimot</w:t>
            </w:r>
          </w:p>
        </w:tc>
      </w:tr>
      <w:tr>
        <w:trPr>
          <w:jc w:val="center"/>
        </w:trPr>
        <w:tc>
          <w:tcPr>
            <w:tcW w:type="dxa" w:w="2409"/>
            <w:tcW w:w="567"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2.</w:t>
            </w:r>
          </w:p>
        </w:tc>
        <w:tc>
          <w:tcPr>
            <w:tcW w:type="dxa" w:w="2409"/>
            <w:tcW w:w="617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II. ASOSIY QISM</w:t>
            </w:r>
          </w:p>
          <w:p>
            <w:pPr>
              <w:jc w:val="both"/>
              <w:spacing w:before="0" w:after="0" w:line="240" w:lineRule="auto"/>
            </w:pPr>
            <w:r>
              <w:rPr>
                <w:rFonts w:ascii="Times New Roman" w:hAnsi="Times New Roman" w:cs="Times New Roman"/>
                <w:sz w:val="28"/>
                <w:szCs w:val="28"/>
              </w:rPr>
              <w:t>Oʻquv savollari:</w:t>
            </w:r>
          </w:p>
          <w:p>
            <w:pPr>
              <w:jc w:val="both"/>
              <w:spacing w:before="0" w:after="0" w:line="240" w:lineRule="auto"/>
            </w:pPr>
            <w:r>
              <w:rPr>
                <w:rFonts w:ascii="Times New Roman" w:hAnsi="Times New Roman" w:cs="Times New Roman"/>
                <w:b/>
                <w:bCs/>
                <w:sz w:val="28"/>
                <w:szCs w:val="28"/>
              </w:rPr>
              <w:t>1. Linux OTda recon amallar.</w:t>
            </w:r>
          </w:p>
          <w:p>
            <w:pPr>
              <w:jc w:val="both"/>
              <w:spacing w:before="0" w:after="0" w:line="240" w:lineRule="auto"/>
            </w:pPr>
            <w:r>
              <w:rPr>
                <w:rFonts w:ascii="Times New Roman" w:hAnsi="Times New Roman" w:cs="Times New Roman"/>
                <w:sz w:val="28"/>
                <w:szCs w:val="28"/>
              </w:rPr>
              <w:t>Kursantlar tarmoq razvedkasi (reconnaissance, recon) tushunchasi va uning etikal haking jarayonidagi oʻrni bilan tanishadilar. Passiv va aktiv razvedka farqi, nishon (target) haqida ochiq manbalardan maʼlumot toʻplash hamda tarmoqdagi tugunlarni (host) va ochiq portlarni aniqlashning umumiy metodikasi koʻrib chiqiladi. Barcha amallar faqat oʻquv laboratoriyasida (nazorat qilinadigan tarmoqda) bajarilishi shartligi alohida taʼkidlanadi.</w:t>
            </w:r>
          </w:p>
        </w:tc>
        <w:tc>
          <w:tcPr>
            <w:tcW w:type="dxa" w:w="2409"/>
            <w:tcW w:w="1080"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60</w:t>
            </w:r>
          </w:p>
          <w:p>
            <w:pPr>
              <w:jc w:val="center"/>
              <w:spacing w:before="0" w:after="0" w:line="240" w:lineRule="auto"/>
            </w:pPr>
          </w:p>
        </w:tc>
        <w:tc>
          <w:tcPr>
            <w:tcW w:type="dxa" w:w="2409"/>
            <w:tcW w:w="179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Interaktiv panel, elektron taqdimot</w:t>
            </w:r>
          </w:p>
        </w:tc>
      </w:tr>
      <w:tr>
        <w:trPr>
          <w:jc w:val="center"/>
        </w:trPr>
        <w:tc>
          <w:tcPr>
            <w:tcW w:type="dxa" w:w="2409"/>
            <w:tcW w:w="567"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3.</w:t>
            </w:r>
          </w:p>
        </w:tc>
        <w:tc>
          <w:tcPr>
            <w:tcW w:type="dxa" w:w="2409"/>
            <w:tcW w:w="617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III. YAKUNIY QISM</w:t>
            </w:r>
          </w:p>
          <w:p>
            <w:pPr>
              <w:numPr>
                <w:ilvl w:val="0"/>
                <w:numId w:val="9000"/>
              </w:numPr>
              <w:ind w:left="360" w:hanging="360"/>
              <w:jc w:val="both"/>
              <w:spacing w:before="0" w:after="0" w:line="240" w:lineRule="auto"/>
            </w:pPr>
            <w:r>
              <w:rPr>
                <w:rFonts w:ascii="Times New Roman" w:hAnsi="Times New Roman" w:cs="Times New Roman"/>
                <w:sz w:val="28"/>
                <w:szCs w:val="28"/>
              </w:rPr>
              <w:t>Mavzu yuzasidan qoʻyilgan maqsadga mashgʻulot jarayonida erishilganligini tekshirish.</w:t>
            </w:r>
          </w:p>
          <w:p>
            <w:pPr>
              <w:numPr>
                <w:ilvl w:val="0"/>
                <w:numId w:val="9000"/>
              </w:numPr>
              <w:ind w:left="360" w:hanging="360"/>
              <w:jc w:val="both"/>
              <w:spacing w:before="0" w:after="0" w:line="240" w:lineRule="auto"/>
            </w:pPr>
            <w:r>
              <w:rPr>
                <w:rFonts w:ascii="Times New Roman" w:hAnsi="Times New Roman" w:cs="Times New Roman"/>
                <w:sz w:val="28"/>
                <w:szCs w:val="28"/>
              </w:rPr>
              <w:t>Savollarga javob berish.</w:t>
            </w:r>
          </w:p>
          <w:p>
            <w:pPr>
              <w:numPr>
                <w:ilvl w:val="0"/>
                <w:numId w:val="9000"/>
              </w:numPr>
              <w:ind w:left="360" w:hanging="360"/>
              <w:jc w:val="both"/>
              <w:spacing w:before="0" w:after="0" w:line="240" w:lineRule="auto"/>
            </w:pPr>
            <w:r>
              <w:rPr>
                <w:rFonts w:ascii="Times New Roman" w:hAnsi="Times New Roman" w:cs="Times New Roman"/>
                <w:sz w:val="28"/>
                <w:szCs w:val="28"/>
              </w:rPr>
              <w:t>Mustaqil tayyorgarlikka topshiriq berish.</w:t>
            </w:r>
          </w:p>
          <w:p>
            <w:pPr>
              <w:numPr>
                <w:ilvl w:val="0"/>
                <w:numId w:val="9000"/>
              </w:numPr>
              <w:ind w:left="360" w:hanging="360"/>
              <w:jc w:val="both"/>
              <w:spacing w:before="0" w:after="0" w:line="240" w:lineRule="auto"/>
            </w:pPr>
            <w:r>
              <w:rPr>
                <w:rFonts w:ascii="Times New Roman" w:hAnsi="Times New Roman" w:cs="Times New Roman"/>
                <w:sz w:val="28"/>
                <w:szCs w:val="28"/>
              </w:rPr>
              <w:t>Keyingi mashgʻulot mavzusi va oʻtish joyini eʼlon qilish.</w:t>
            </w:r>
          </w:p>
        </w:tc>
        <w:tc>
          <w:tcPr>
            <w:tcW w:type="dxa" w:w="2409"/>
            <w:tcW w:w="1080"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10</w:t>
            </w:r>
          </w:p>
        </w:tc>
        <w:tc>
          <w:tcPr>
            <w:tcW w:type="dxa" w:w="2409"/>
            <w:tcW w:w="1798" w:type="dxa"/>
            <w:tcMar>
              <w:top w:w="40" w:type="dxa"/>
              <w:left w:w="60" w:type="dxa"/>
              <w:bottom w:w="40" w:type="dxa"/>
              <w:right w:w="60" w:type="dxa"/>
            </w:tcMar>
            <w:vAlign w:val="center"/>
          </w:tcPr>
          <w:p>
            <w:pPr>
              <w:jc w:val="center"/>
              <w:spacing w:before="0" w:after="0" w:line="240" w:lineRule="auto"/>
            </w:pPr>
            <w:r>
              <w:rPr>
                <w:rFonts w:ascii="Times New Roman" w:hAnsi="Times New Roman" w:cs="Times New Roman"/>
                <w:sz w:val="28"/>
                <w:szCs w:val="28"/>
              </w:rPr>
              <w:t>Taqdimot</w:t>
            </w:r>
          </w:p>
        </w:tc>
      </w:tr>
    </w:tbl>
    <w:p>
      <w:pPr>
        <w:spacing w:before="0" w:after="0" w:line="240" w:lineRule="auto"/>
      </w:pPr>
    </w:p>
    <w:p>
      <w:pPr>
        <w:spacing w:before="0" w:after="0" w:line="240" w:lineRule="auto"/>
      </w:pPr>
    </w:p>
    <w:p>
      <w:pPr>
        <w:jc w:val="center"/>
        <w:spacing w:before="0" w:after="0" w:line="240" w:lineRule="auto"/>
      </w:pPr>
      <w:r>
        <w:rPr>
          <w:rFonts w:ascii="Times New Roman" w:hAnsi="Times New Roman" w:cs="Times New Roman"/>
          <w:sz w:val="24"/>
          <w:szCs w:val="24"/>
        </w:rPr>
        <w:t>OʻR HX VA MU AKT VA HAI</w:t>
      </w:r>
    </w:p>
    <w:p>
      <w:pPr>
        <w:jc w:val="center"/>
        <w:spacing w:before="0" w:after="0" w:line="240" w:lineRule="auto"/>
      </w:pPr>
      <w:r>
        <w:rPr>
          <w:rFonts w:ascii="Times New Roman" w:hAnsi="Times New Roman" w:cs="Times New Roman"/>
          <w:sz w:val="24"/>
          <w:szCs w:val="24"/>
        </w:rPr>
        <w:t>KIBERXAVFSIZLIK KAFEDRASI</w:t>
      </w:r>
    </w:p>
    <w:p>
      <w:pPr>
        <w:jc w:val="center"/>
        <w:spacing w:before="0" w:after="0" w:line="240" w:lineRule="auto"/>
      </w:pPr>
      <w:r>
        <w:rPr>
          <w:rFonts w:ascii="Times New Roman" w:hAnsi="Times New Roman" w:cs="Times New Roman"/>
          <w:sz w:val="24"/>
          <w:szCs w:val="24"/>
        </w:rPr>
        <w:t>KATTA OʻQITUVCHISI</w:t>
      </w:r>
    </w:p>
    <w:p>
      <w:pPr>
        <w:jc w:val="center"/>
        <w:spacing w:before="0" w:after="0" w:line="240" w:lineRule="auto"/>
      </w:pPr>
      <w:r>
        <w:rPr>
          <w:rFonts w:ascii="Times New Roman" w:hAnsi="Times New Roman" w:cs="Times New Roman"/>
          <w:sz w:val="28"/>
          <w:szCs w:val="28"/>
        </w:rPr>
        <w:t>kapitan          M.Isakov</w:t>
      </w:r>
    </w:p>
    <w:sectPr w:rsidR="00FC693F" w:rsidRPr="0006063C" w:rsidSect="00034616">
      <w:footerReference w:type="default" r:id="rId9"/>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4"/>
        <w:szCs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00">
    <w:lvl w:ilvl="0">
      <w:numFmt w:val="bullet"/>
      <w:lvlText w:val="•"/>
      <w:lvlJc w:val="left"/>
      <w:pPr>
        <w:ind w:left="36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00">
    <w:abstractNumId w:val="90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