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Introduction :</w:t>
      </w:r>
    </w:p>
    <w:p w:rsidR="00000000" w:rsidDel="00000000" w:rsidP="00000000" w:rsidRDefault="00000000" w:rsidRPr="00000000">
      <w:pPr>
        <w:contextualSpacing w:val="0"/>
      </w:pPr>
      <w:r w:rsidDel="00000000" w:rsidR="00000000" w:rsidRPr="00000000">
        <w:rPr>
          <w:rtl w:val="0"/>
        </w:rPr>
        <w:t xml:space="preserve">Suite à la commandite que nous avons reçue, nous avons réalisé le mandat qui nous avait été confié. Ce mandat, comme entendu comportait les analyses globales et fonctionnelles ainsi que la réalisation des parties suivantes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Gestion des contrats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Gestion des artistes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Gestion des catégories d’artiste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réaliser tout cela, plusieurs documents ont étés produits. Tout d’abord un diagramme de classe général comportant également une documentation précise des différents éléments qui le composent. Deuxièmement, des diagrammes de cas d’utilisations ont étés mis en forme afin de de spécifier le fonctionnement particulier de chaque parties du mandat. Des descriptions narratives de chaque fonctionnalité ont également était réalisées dans le but de formaliser par le texte les différentes manières dont les différentes parties du projet pourraient être utilisées une fois celui-ci terminé. Enfin une série d’interfaces correspondantes aux descriptions narratives citées plus haut ont aussi étés réalisées dans le but de donner une idée de la manière dont sera présenté le projet une fois fini.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