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10275.0" w:type="dxa"/>
        <w:jc w:val="left"/>
        <w:tblInd w:w="-5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75"/>
        <w:gridCol w:w="2520"/>
        <w:gridCol w:w="2880"/>
        <w:tblGridChange w:id="0">
          <w:tblGrid>
            <w:gridCol w:w="4875"/>
            <w:gridCol w:w="2520"/>
            <w:gridCol w:w="288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Titre du cas d’utilisation : Consulter le sommaire des contrats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Numéro: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Description: Permet de consulter tous les contrats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primaire: Gestionnaire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secondaire : Réceptionniste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création : 05/04/2016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modification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Version :1.0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: Kevin Bradford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" w:lineRule="auto"/>
              <w:ind w:left="-400" w:right="10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PréConditions : </w:t>
            </w:r>
            <w:r w:rsidDel="00000000" w:rsidR="00000000" w:rsidRPr="00000000">
              <w:rPr>
                <w:rtl w:val="0"/>
              </w:rPr>
              <w:t xml:space="preserve">Être authentifié avec les droits de lecture des contrats.</w:t>
            </w:r>
          </w:p>
          <w:p w:rsidR="00000000" w:rsidDel="00000000" w:rsidP="00000000" w:rsidRDefault="00000000" w:rsidRPr="00000000">
            <w:pPr>
              <w:spacing w:before="20" w:line="261" w:lineRule="auto"/>
              <w:ind w:left="-400" w:right="10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15" w:firstLine="0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Déclencheur :  </w:t>
            </w:r>
            <w:r w:rsidDel="00000000" w:rsidR="00000000" w:rsidRPr="00000000">
              <w:rPr>
                <w:rtl w:val="0"/>
              </w:rPr>
              <w:t xml:space="preserve">L’utilisateur désire consulter les contrats dans le système à partir du menu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" w:lineRule="auto"/>
              <w:ind w:left="-400" w:right="8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Processus nominal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left="-40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88" w:lineRule="auto"/>
              <w:ind w:left="820" w:right="80" w:hanging="360"/>
              <w:contextualSpacing w:val="1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système affiche la fenêtre du sommaire des contrats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88" w:lineRule="auto"/>
              <w:ind w:left="820" w:right="80" w:hanging="360"/>
              <w:contextualSpacing w:val="1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La réceptionniste consulte le sommaire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61" w:lineRule="auto"/>
              <w:ind w:left="820" w:hanging="360"/>
              <w:contextualSpacing w:val="1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La réceptionniste veut fermer la fenêtre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61" w:lineRule="auto"/>
              <w:ind w:left="820" w:hanging="360"/>
              <w:contextualSpacing w:val="1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système ferme la fenêtre</w:t>
            </w:r>
          </w:p>
          <w:p w:rsidR="00000000" w:rsidDel="00000000" w:rsidP="00000000" w:rsidRDefault="00000000" w:rsidRPr="00000000">
            <w:pPr>
              <w:spacing w:before="20" w:line="261" w:lineRule="auto"/>
              <w:ind w:left="75" w:right="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" w:lineRule="auto"/>
              <w:ind w:left="60" w:right="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Arrêt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70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 cas se termine lorsque la fenêtre du sommaire des contrats est fermée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firstLine="32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PostConditions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40" w:line="240" w:lineRule="auto"/>
              <w:ind w:left="705" w:right="-2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 :</w:t>
              <w:tab/>
              <w:t xml:space="preserve">Ajouter un contrat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400" w:hanging="36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</w:t>
              <w:tab/>
              <w:t xml:space="preserve">L’utilisateur veut ajouter un contrat en appuyant sur le bouton ajouter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48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 :</w:t>
              <w:tab/>
              <w:t xml:space="preserve">Voir les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La réceptionniste veut voir les détails d’un contrat en appuyant sur le bouton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 -&gt; A1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 :</w:t>
              <w:tab/>
              <w:t xml:space="preserve">Modifier un contrat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La réceptionniste veut modifier un contrat en appuyant sur le bouton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 -&gt; A3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 :</w:t>
              <w:tab/>
              <w:t xml:space="preserve">Supprimer un contrat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La réceptionniste veut supprimer un contrat en appuyant sur le bouton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 -&gt; A2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Scénarios Alternatifs: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 : Rechercher un contrat.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  <w:tab/>
              <w:t xml:space="preserve">La réceptionniste entre une chaîne de caractères correspondant aux termes qu’elle souhaite rechercher dans l’ensemble des champs du contrat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  <w:tab/>
              <w:t xml:space="preserve">La réceptionniste envoie la requête au système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  <w:tab/>
              <w:t xml:space="preserve">Le système affiche les résultats de la requête au même endroit que la liste originale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non-fonctionnelles: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liées à l'IHM: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Tri par nom, date, etc. Tri par défaut: date d’évènement plus récente à plus ancienne (croissant)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Champ recherche dans les détails (fenêtre).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Les boutons pour ajouter, modifier et supprimer sont désactivés si l’utilisateur n’a pas le droit d’ajouter, de modifier et de supprimer.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fenêtre devra être pleine largeur et la hauteur ajustée au contenu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Filtre à voir dépendamment du temps, budget, énergie, etc.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Réviser la colonne liée à l’engagement. (après les tests vérifier avec le client)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