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73DB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814F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C665F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B6A3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E9AE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F0D0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A1BA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45BA7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E70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4560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B7D1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FF04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00F5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2F37D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r w:rsidR="00A91FCD">
        <w:rPr>
          <w:rFonts w:ascii="나눔고딕" w:eastAsia="나눔고딕" w:hAnsi="나눔고딕" w:cs="돋움체" w:hint="eastAsia"/>
          <w:sz w:val="22"/>
        </w:rPr>
        <w:t xml:space="preserve">, 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5834F9">
        <w:rPr>
          <w:rFonts w:ascii="나눔고딕" w:eastAsia="나눔고딕" w:hAnsi="나눔고딕" w:cs="돋움체" w:hint="eastAsia"/>
          <w:sz w:val="22"/>
        </w:rPr>
        <w:t>마을 발전</w:t>
      </w:r>
      <w:r w:rsidR="006C061F">
        <w:rPr>
          <w:rFonts w:ascii="나눔고딕" w:eastAsia="나눔고딕" w:hAnsi="나눔고딕" w:cs="돋움체" w:hint="eastAsia"/>
          <w:sz w:val="22"/>
        </w:rPr>
        <w:t xml:space="preserve">, </w:t>
      </w:r>
      <w:r w:rsidR="001A279B">
        <w:rPr>
          <w:rFonts w:ascii="나눔고딕" w:eastAsia="나눔고딕" w:hAnsi="나눔고딕" w:cs="돋움체" w:hint="eastAsia"/>
          <w:sz w:val="22"/>
        </w:rPr>
        <w:t>마을 투자에 따른 길 변경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하정 :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6C794C">
        <w:rPr>
          <w:rFonts w:ascii="나눔고딕" w:eastAsia="나눔고딕" w:hAnsi="나눔고딕" w:cs="돋움체" w:hint="eastAsia"/>
          <w:strike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 w:rsidRPr="007D55B6">
        <w:rPr>
          <w:rFonts w:ascii="나눔고딕" w:eastAsia="나눔고딕" w:hAnsi="나눔고딕" w:cs="돋움체" w:hint="eastAsia"/>
          <w:strike/>
          <w:sz w:val="22"/>
        </w:rPr>
        <w:t>몬스터 이동, 몬스터 공격</w:t>
      </w:r>
      <w:r w:rsidR="00525310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A91FCD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r w:rsidR="00171D9D">
        <w:rPr>
          <w:rFonts w:ascii="나눔고딕" w:eastAsia="나눔고딕" w:hAnsi="나눔고딕" w:cs="돋움체" w:hint="eastAsia"/>
          <w:sz w:val="22"/>
        </w:rPr>
        <w:t>,</w:t>
      </w:r>
      <w:r w:rsidR="00171D9D" w:rsidRPr="00171D9D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="00171D9D" w:rsidRPr="00171D9D">
        <w:rPr>
          <w:rFonts w:ascii="나눔고딕" w:eastAsia="나눔고딕" w:hAnsi="나눔고딕" w:cs="돋움체" w:hint="eastAsia"/>
          <w:strike/>
          <w:sz w:val="22"/>
        </w:rPr>
        <w:t>채집</w:t>
      </w:r>
      <w:bookmarkStart w:id="0" w:name="_GoBack"/>
      <w:bookmarkEnd w:id="0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928" w:rsidRDefault="00294928" w:rsidP="006F620E">
      <w:r>
        <w:separator/>
      </w:r>
    </w:p>
  </w:endnote>
  <w:endnote w:type="continuationSeparator" w:id="0">
    <w:p w:rsidR="00294928" w:rsidRDefault="00294928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928" w:rsidRDefault="00294928" w:rsidP="006F620E">
      <w:r>
        <w:separator/>
      </w:r>
    </w:p>
  </w:footnote>
  <w:footnote w:type="continuationSeparator" w:id="0">
    <w:p w:rsidR="00294928" w:rsidRDefault="00294928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06547"/>
    <w:rsid w:val="00171D9D"/>
    <w:rsid w:val="00174B7C"/>
    <w:rsid w:val="00176B0D"/>
    <w:rsid w:val="00197632"/>
    <w:rsid w:val="001A279B"/>
    <w:rsid w:val="001A40A4"/>
    <w:rsid w:val="001C6615"/>
    <w:rsid w:val="00234262"/>
    <w:rsid w:val="0028259A"/>
    <w:rsid w:val="00294928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84644"/>
    <w:rsid w:val="004A46BD"/>
    <w:rsid w:val="004C0F85"/>
    <w:rsid w:val="004E4441"/>
    <w:rsid w:val="004F7B14"/>
    <w:rsid w:val="00525310"/>
    <w:rsid w:val="00571EC1"/>
    <w:rsid w:val="005834F9"/>
    <w:rsid w:val="00590A2E"/>
    <w:rsid w:val="005C2BC6"/>
    <w:rsid w:val="006606C1"/>
    <w:rsid w:val="006A3AF6"/>
    <w:rsid w:val="006B0C25"/>
    <w:rsid w:val="006C061F"/>
    <w:rsid w:val="006C794C"/>
    <w:rsid w:val="006F620E"/>
    <w:rsid w:val="007143AA"/>
    <w:rsid w:val="007145A2"/>
    <w:rsid w:val="007D55B6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07E41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15B55"/>
  <w15:docId w15:val="{A5B2EEF3-5216-4E3D-86CE-062A51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82</cp:revision>
  <cp:lastPrinted>2018-09-07T06:42:00Z</cp:lastPrinted>
  <dcterms:created xsi:type="dcterms:W3CDTF">2018-09-07T06:40:00Z</dcterms:created>
  <dcterms:modified xsi:type="dcterms:W3CDTF">2018-10-19T06:34:00Z</dcterms:modified>
</cp:coreProperties>
</file>