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Milestones of IUT</w:t>
      </w:r>
      <w:r/>
    </w:p>
    <w:tbl>
      <w:tblPr>
        <w:tblStyle w:val="4-5"/>
        <w:tblW w:w="8290" w:type="dxa"/>
        <w:jc w:val="left"/>
        <w:tblInd w:w="-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(2016)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Java</w:t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C++</w:t>
            </w:r>
            <w:r/>
          </w:p>
        </w:tc>
      </w:tr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4.13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An instrumentation program that enable recording function calls.</w:t>
            </w:r>
            <w:r/>
          </w:p>
        </w:tc>
      </w:tr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5.4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Java IUT with a simplified workflow</w:t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 diff program that finds difference between two versions of the target project.</w:t>
            </w:r>
            <w:r/>
          </w:p>
        </w:tc>
      </w:tr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5.25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Java IUT with a simplified and optimized workflow</w:t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 xml:space="preserve">Continue to implement and compare AspectC++ and gcov methods.  Choose one.  Continue to finish 'diff'. Learn to run </w:t>
            </w:r>
            <w:bookmarkStart w:id="0" w:name="__DdeLink__154_1450573583"/>
            <w:r>
              <w:rPr/>
              <w:t xml:space="preserve">certain </w:t>
            </w:r>
            <w:bookmarkEnd w:id="0"/>
            <w:r>
              <w:rPr/>
              <w:t>test cases under gtest framework,  mapping functions to test cases.</w:t>
            </w:r>
            <w:r/>
          </w:p>
        </w:tc>
      </w:tr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6.15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M</w:t>
            </w:r>
            <w:r>
              <w:rPr/>
              <w:t xml:space="preserve">apping functions to test cases. Set up database, utility for database operations. </w:t>
            </w:r>
            <w:r>
              <w:rPr/>
              <w:t>A basic runnable version of iut for java.</w:t>
            </w:r>
            <w:r/>
          </w:p>
        </w:tc>
      </w:tr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7.6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Support</w:t>
            </w:r>
            <w:r>
              <w:rPr/>
              <w:t xml:space="preserve"> git commit </w:t>
            </w:r>
            <w:r>
              <w:rPr/>
              <w:t>integration.</w:t>
            </w:r>
            <w:r/>
          </w:p>
        </w:tc>
      </w:tr>
      <w:tr>
        <w:trPr>
          <w:trHeight w:val="283" w:hRule="atLeast"/>
        </w:trPr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7.25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IUT with both</w:t>
            </w:r>
            <w:bookmarkStart w:id="1" w:name="_GoBack1"/>
            <w:bookmarkEnd w:id="1"/>
            <w:r>
              <w:rPr/>
              <w:t xml:space="preserve"> Java and C++. </w:t>
            </w:r>
            <w:r>
              <w:rPr/>
              <w:t>Provide unified interface.</w:t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</w:pPr>
            <w:bookmarkStart w:id="2" w:name="__DdeLink__652_565505189"/>
            <w:r>
              <w:rPr/>
              <w:t>IUT with both</w:t>
            </w:r>
            <w:bookmarkStart w:id="3" w:name="_GoBack"/>
            <w:bookmarkEnd w:id="3"/>
            <w:r>
              <w:rPr/>
              <w:t xml:space="preserve"> Java and C++. </w:t>
            </w:r>
            <w:bookmarkEnd w:id="2"/>
            <w:r>
              <w:rPr/>
              <w:t>Provide unified interface.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QFormat="0" w:defUnhideWhenUsed="0" w:defSemiHidden="0" w:count="380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d47417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字符"/>
    <w:basedOn w:val="DefaultParagraphFont"/>
    <w:link w:val="1"/>
    <w:uiPriority w:val="9"/>
    <w:rsid w:val="00d47417"/>
    <w:rPr>
      <w:b/>
      <w:bCs/>
      <w:sz w:val="44"/>
      <w:szCs w:val="4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485f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a3e6a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a3e6a"/>
    <w:tblPr>
      <w:tblStyleRowBandSize w:val="1"/>
      <w:tblStyleColBandSize w:val="1"/>
      <w:tblInd w:type="dxa" w:w="0"/>
      <w:tblBorders>
        <w:top w:space="0" w:sz="4" w:themeColor="accent1" w:themeTint="66" w:color="BDD6EE" w:val="single"/>
        <w:left w:space="0" w:sz="4" w:themeColor="accent1" w:themeTint="66" w:color="BDD6EE" w:val="single"/>
        <w:bottom w:space="0" w:sz="4" w:themeColor="accent1" w:themeTint="66" w:color="BDD6EE" w:val="single"/>
        <w:right w:space="0" w:sz="4" w:themeColor="accent1" w:themeTint="66" w:color="BDD6EE" w:val="single"/>
        <w:insideH w:space="0" w:sz="4" w:themeColor="accent1" w:themeTint="66" w:color="BDD6EE" w:val="single"/>
        <w:insideV w:space="0" w:sz="4" w:themeColor="accent1" w:themeTint="66" w:color="BDD6EE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1" w:color="9CC2E5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3">
    <w:name w:val="Grid Table 3"/>
    <w:basedOn w:val="a1"/>
    <w:uiPriority w:val="48"/>
    <w:rsid w:val="00ba3e6a"/>
    <w:tblPr>
      <w:tblStyleRowBandSize w:val="1"/>
      <w:tblStyleColBandSize w:val="1"/>
      <w:tblInd w:type="dxa" w:w="0"/>
      <w:tblBorders>
        <w:top w:space="0" w:sz="4" w:themeColor="text1" w:themeTint="99" w:color="666666" w:val="single"/>
        <w:left w:space="0" w:sz="4" w:themeColor="text1" w:themeTint="99" w:color="666666" w:val="single"/>
        <w:bottom w:space="0" w:sz="4" w:themeColor="text1" w:themeTint="99" w:color="666666" w:val="single"/>
        <w:right w:space="0" w:sz="4" w:themeColor="text1" w:themeTint="99" w:color="666666" w:val="single"/>
        <w:insideH w:space="0" w:sz="4" w:themeColor="text1" w:themeTint="99" w:color="666666" w:val="single"/>
        <w:insideV w:space="0" w:sz="4" w:themeColor="text1" w:themeTint="99" w:color="66666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4-5">
    <w:name w:val="Grid Table 4 Accent 5"/>
    <w:basedOn w:val="a1"/>
    <w:uiPriority w:val="49"/>
    <w:rsid w:val="00ba3e6a"/>
    <w:tblPr>
      <w:tblStyleRowBandSize w:val="1"/>
      <w:tblStyleColBandSize w:val="1"/>
      <w:tblInd w:type="dxa" w:w="0"/>
      <w:tblBorders>
        <w:top w:space="0" w:sz="4" w:themeColor="accent5" w:themeTint="99" w:color="8EAADB" w:val="single"/>
        <w:left w:space="0" w:sz="4" w:themeColor="accent5" w:themeTint="99" w:color="8EAADB" w:val="single"/>
        <w:bottom w:space="0" w:sz="4" w:themeColor="accent5" w:themeTint="99" w:color="8EAADB" w:val="single"/>
        <w:right w:space="0" w:sz="4" w:themeColor="accent5" w:themeTint="99" w:color="8EAADB" w:val="single"/>
        <w:insideH w:space="0" w:sz="4" w:themeColor="accent5" w:themeTint="99" w:color="8EAADB" w:val="single"/>
        <w:insideV w:space="0" w:sz="4" w:themeColor="accent5" w:themeTint="99" w:color="8EAADB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4472C4" w:val="single"/>
          <w:left w:space="0" w:sz="4" w:themeColor="accent5" w:color="4472C4" w:val="single"/>
          <w:bottom w:space="0" w:sz="4" w:themeColor="accent5" w:color="4472C4" w:val="single"/>
          <w:right w:space="0" w:sz="4" w:themeColor="accent5" w:color="4472C4" w:val="single"/>
          <w:insideH w:val="nil"/>
          <w:insideV w:val="nil"/>
        </w:tcBorders>
        <w:shd w:themeFill="accent5" w:fill="4472C4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4472C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D9E2F3" w:color="auto" w:val="clear"/>
      </w:tcPr>
    </w:tblStylePr>
    <w:tblStylePr w:type="band1Horz">
      <w:tblPr/>
      <w:tcPr>
        <w:shd w:themeFillTint="33" w:themeFill="accent5" w:fill="D9E2F3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2016-03-29T06:51:00Z</dcterms:created>
  <dc:creator>Microsoft Office 用户</dc:creator>
  <dc:language>en-US</dc:language>
  <dcterms:modified xsi:type="dcterms:W3CDTF">2016-05-26T21:58:29Z</dcterms:modified>
  <cp:revision>18</cp:revision>
</cp:coreProperties>
</file>