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HelveticaNeue-bold.ttf" ContentType="application/x-font-ttf"/>
  <Override PartName="/word/fonts/HelveticaNeue-boldItalic.ttf" ContentType="application/x-font-ttf"/>
  <Override PartName="/word/fonts/HelveticaNeue-italic.ttf" ContentType="application/x-font-ttf"/>
  <Override PartName="/word/fonts/HelveticaNeue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before="2360" w:after="400"/>
      </w:pPr>
      <w:r>
        <w:rPr>
          <w:b/>
          <w:i w:val="0"/>
          <w:sz w:val="60"/>
        </w:rPr>
        <w:t>Техническое задание дизайнеру</w:t>
      </w:r>
    </w:p>
    <w:p>
      <w:pPr>
        <w:spacing w:after="560"/>
      </w:pPr>
      <w:r>
        <w:rPr>
          <w:b w:val="0"/>
          <w:i w:val="0"/>
          <w:color w:val="666666"/>
          <w:sz w:val="40"/>
        </w:rPr>
        <w:t>Доработка десктопной версии ALEX² для врачей</w:t>
      </w:r>
    </w:p>
    <w:p>
      <w:pPr>
        <w:pBdr>
          <w:bottom w:val="single" w:sz="14" w:space="8" w:color="111111"/>
        </w:pBdr>
      </w:pPr>
    </w:p>
    <w:p>
      <w:pPr>
        <w:spacing w:before="480" w:line="312" w:lineRule="auto"/>
      </w:pPr>
      <w:r>
        <w:rPr>
          <w:b/>
          <w:i w:val="0"/>
        </w:rPr>
        <w:t xml:space="preserve">Эталон: </w:t>
      </w:r>
      <w:r>
        <w:rPr>
          <w:b w:val="0"/>
          <w:i w:val="0"/>
        </w:rPr>
        <w:t>согласованная десктопная версия для пациентов</w:t>
        <w:br/>
      </w:r>
      <w:r>
        <w:rPr>
          <w:b/>
          <w:i w:val="0"/>
        </w:rPr>
        <w:t xml:space="preserve">Объект доработки: </w:t>
      </w:r>
      <w:r>
        <w:rPr>
          <w:b w:val="0"/>
          <w:i w:val="0"/>
        </w:rPr>
        <w:t>десктопная версия для врачей</w:t>
        <w:br/>
      </w:r>
      <w:r>
        <w:rPr>
          <w:b/>
          <w:i w:val="0"/>
        </w:rPr>
        <w:t xml:space="preserve">Дата: </w:t>
      </w:r>
      <w:r>
        <w:rPr>
          <w:b w:val="0"/>
          <w:i w:val="0"/>
        </w:rPr>
        <w:t>29 июля 2026</w:t>
      </w:r>
    </w:p>
    <w:p>
      <w:pPr>
        <w:spacing w:before="1120" w:after="200"/>
      </w:pPr>
      <w:r>
        <w:rPr>
          <w:b w:val="0"/>
          <w:i/>
          <w:color w:val="666666"/>
        </w:rPr>
        <w:t>В документе рассматриваются только крупные структурные и визуальные расхождения. Мобильные экраны и детальная проверка контента/стилей находятся вне задачи.</w:t>
      </w:r>
    </w:p>
    <w:p>
      <w:r>
        <w:br w:type="page"/>
      </w:r>
    </w:p>
    <w:p>
      <w:pPr>
        <w:pStyle w:val="Heading1"/>
        <w:keepNext/>
        <w:keepLines/>
      </w:pPr>
      <w:r>
        <w:t>1. Цель и границы задачи</w:t>
      </w:r>
    </w:p>
    <w:p>
      <w:pPr>
        <w:spacing w:before="100" w:after="200"/>
        <w:ind w:left="230" w:right="173"/>
        <w:pBdr>
          <w:bottom w:val="single" w:sz="10" w:space="6" w:color="2E6D46"/>
        </w:pBdr>
      </w:pPr>
      <w:r>
        <w:rPr>
          <w:b/>
          <w:i w:val="0"/>
          <w:color w:val="2E6D46"/>
        </w:rPr>
        <w:t xml:space="preserve">Цель. </w:t>
      </w:r>
      <w:r>
        <w:t>довести врачебную десктопную ветку до понятного, целостного и готового к передаче набора экранов, используя пациентскую ветку как согласованный визуальный и структурный ориентир.</w:t>
      </w:r>
    </w:p>
    <w:p>
      <w:pPr>
        <w:numPr>
          <w:ilvl w:val="0"/>
          <w:numId w:val="3"/>
        </w:numPr>
        <w:spacing w:after="80" w:line="259" w:lineRule="auto"/>
      </w:pPr>
      <w:r>
        <w:t>Сравнивать только десктопные экраны 1920×1080.</w:t>
      </w:r>
    </w:p>
    <w:p>
      <w:pPr>
        <w:numPr>
          <w:ilvl w:val="0"/>
          <w:numId w:val="3"/>
        </w:numPr>
        <w:spacing w:after="80" w:line="259" w:lineRule="auto"/>
      </w:pPr>
      <w:r>
        <w:t>Пациентская версия задаёт уровень законченности, композиционную логику и полноту сценария; врачебный текст может оставаться специализированным.</w:t>
      </w:r>
    </w:p>
    <w:p>
      <w:pPr>
        <w:numPr>
          <w:ilvl w:val="0"/>
          <w:numId w:val="3"/>
        </w:numPr>
        <w:spacing w:after="80" w:line="259" w:lineRule="auto"/>
      </w:pPr>
      <w:r>
        <w:t>Блок «Истории людей» удаляется из врачебной версии и не считается отсутствующим контентом.</w:t>
      </w:r>
    </w:p>
    <w:p>
      <w:pPr>
        <w:numPr>
          <w:ilvl w:val="0"/>
          <w:numId w:val="3"/>
        </w:numPr>
        <w:spacing w:after="80" w:line="259" w:lineRule="auto"/>
      </w:pPr>
      <w:r>
        <w:t>Не проводить контентный аудит и построчное сравнение формулировок.</w:t>
      </w:r>
    </w:p>
    <w:p>
      <w:pPr>
        <w:numPr>
          <w:ilvl w:val="0"/>
          <w:numId w:val="3"/>
        </w:numPr>
        <w:spacing w:after="80" w:line="259" w:lineRule="auto"/>
      </w:pPr>
      <w:r>
        <w:t>Не проводить детальную типографическую сверку.</w:t>
      </w:r>
    </w:p>
    <w:p>
      <w:pPr>
        <w:pStyle w:val="Heading2"/>
        <w:keepNext/>
        <w:keepLines/>
      </w:pPr>
      <w:r>
        <w:t>Текущий объём после исключений</w:t>
      </w:r>
    </w:p>
    <w:p>
      <w:pPr>
        <w:spacing w:after="120" w:line="264" w:lineRule="auto"/>
      </w:pPr>
      <w:r>
        <w:t>После исключения мобильных экранов и четырёх экранов историй остаётся 10 релевантных врачебных экранов против 19 релевантных экранов пациентского эталона. Разница объясняется прежде всего отсутствием целых сценарных групп, а не мелкими оформительскими деталями.</w:t>
      </w:r>
    </w:p>
    <w:p>
      <w:pPr>
        <w:pStyle w:val="Heading1"/>
        <w:keepNext/>
        <w:keepLines/>
      </w:pPr>
      <w:r>
        <w:t>2. Реестр обязательных работ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0D0D0"/>
          <w:left w:val="single" w:sz="6" w:space="0" w:color="D0D0D0"/>
          <w:bottom w:val="single" w:sz="6" w:space="0" w:color="D0D0D0"/>
          <w:right w:val="single" w:sz="6" w:space="0" w:color="D0D0D0"/>
          <w:insideH w:val="single" w:sz="6" w:space="0" w:color="D0D0D0"/>
          <w:insideV w:val="single" w:sz="6" w:space="0" w:color="D0D0D0"/>
        </w:tblBorders>
        <w:tblInd w:w="110" w:type="dxa"/>
      </w:tblPr>
      <w:tblGrid>
        <w:gridCol w:w="1080"/>
        <w:gridCol w:w="2088"/>
        <w:gridCol w:w="6192"/>
      </w:tblGrid>
      <w:tr>
        <w:trPr>
          <w:tblHeader w:val="true"/>
        </w:trPr>
        <w:tc>
          <w:tcPr>
            <w:tcW w:type="dxa" w:w="1080"/>
            <w:shd w:fill="11111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  <w:color w:val="FFFFFF"/>
                <w:sz w:val="17"/>
              </w:rPr>
              <w:t>Приоритет</w:t>
            </w:r>
          </w:p>
        </w:tc>
        <w:tc>
          <w:tcPr>
            <w:tcW w:type="dxa" w:w="2088"/>
            <w:shd w:fill="11111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  <w:color w:val="FFFFFF"/>
                <w:sz w:val="17"/>
              </w:rPr>
              <w:t>Область</w:t>
            </w:r>
          </w:p>
        </w:tc>
        <w:tc>
          <w:tcPr>
            <w:tcW w:type="dxa" w:w="6192"/>
            <w:shd w:fill="11111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  <w:color w:val="FFFFFF"/>
                <w:sz w:val="17"/>
              </w:rPr>
              <w:t>Что сделать</w:t>
            </w:r>
          </w:p>
        </w:tc>
      </w:tr>
      <w:tr>
        <w:tc>
          <w:tcPr>
            <w:tcW w:type="dxa" w:w="1080"/>
            <w:shd w:fill="F6E1DE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A63A32"/>
                <w:sz w:val="16"/>
              </w:rPr>
              <w:t>P0</w:t>
            </w:r>
          </w:p>
        </w:tc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Истории людей</w:t>
            </w:r>
          </w:p>
        </w:tc>
        <w:tc>
          <w:tcPr>
            <w:tcW w:type="dxa" w:w="61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Удалить пункт из навигации на всех врачебных экранах. Черновые фреймы историй исключить из финального handoff.</w:t>
            </w:r>
          </w:p>
        </w:tc>
      </w:tr>
      <w:tr>
        <w:tc>
          <w:tcPr>
            <w:tcW w:type="dxa" w:w="1080"/>
            <w:shd w:fill="F6E1DE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A63A32"/>
                <w:sz w:val="16"/>
              </w:rPr>
              <w:t>P0</w:t>
            </w:r>
          </w:p>
        </w:tc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Блок результатов</w:t>
            </w:r>
          </w:p>
        </w:tc>
        <w:tc>
          <w:tcPr>
            <w:tcW w:type="dxa" w:w="61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Создать врачебный аналог вводного экрана и набора состояний результатов либо явно зафиксировать согласованную замену этого блока.</w:t>
            </w:r>
          </w:p>
        </w:tc>
      </w:tr>
      <w:tr>
        <w:tc>
          <w:tcPr>
            <w:tcW w:type="dxa" w:w="1080"/>
            <w:shd w:fill="F6E1DE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A63A32"/>
                <w:sz w:val="16"/>
              </w:rPr>
              <w:t>P0</w:t>
            </w:r>
          </w:p>
        </w:tc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Сценарий назначения</w:t>
            </w:r>
          </w:p>
        </w:tc>
        <w:tc>
          <w:tcPr>
            <w:tcW w:type="dxa" w:w="61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После вводного экрана «Как назначать тест пациентам» добавить последовательность шагов; сейчас сценарий обрывается.</w:t>
            </w:r>
          </w:p>
        </w:tc>
      </w:tr>
      <w:tr>
        <w:tc>
          <w:tcPr>
            <w:tcW w:type="dxa" w:w="1080"/>
            <w:shd w:fill="F6E1DE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A63A32"/>
                <w:sz w:val="16"/>
              </w:rPr>
              <w:t>P0</w:t>
            </w:r>
          </w:p>
        </w:tc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Финал страницы</w:t>
            </w:r>
          </w:p>
        </w:tc>
        <w:tc>
          <w:tcPr>
            <w:tcW w:type="dxa" w:w="61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Добавить самостоятельный финальный CTA и контактно-навигационный экран для врачебной ветки.</w:t>
            </w:r>
          </w:p>
        </w:tc>
      </w:tr>
      <w:tr>
        <w:tc>
          <w:tcPr>
            <w:tcW w:type="dxa" w:w="1080"/>
            <w:shd w:fill="FAEED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9C6B14"/>
                <w:sz w:val="16"/>
              </w:rPr>
              <w:t>P1</w:t>
            </w:r>
          </w:p>
        </w:tc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Навигация</w:t>
            </w:r>
          </w:p>
        </w:tc>
        <w:tc>
          <w:tcPr>
            <w:tcW w:type="dxa" w:w="61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После удаления историй перестроить список разделов и добавить отдельный пункт для сценария назначения.</w:t>
            </w:r>
          </w:p>
        </w:tc>
      </w:tr>
      <w:tr>
        <w:tc>
          <w:tcPr>
            <w:tcW w:type="dxa" w:w="1080"/>
            <w:shd w:fill="FAEED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9C6B14"/>
                <w:sz w:val="16"/>
              </w:rPr>
              <w:t>P1</w:t>
            </w:r>
          </w:p>
        </w:tc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Визуальное направление</w:t>
            </w:r>
          </w:p>
        </w:tc>
        <w:tc>
          <w:tcPr>
            <w:tcW w:type="dxa" w:w="61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Определить, является ли коричневая врачебная тема осознанным ответвлением. Если нет — привести фон, светлоту и цветовую логику к пациентскому эталону.</w:t>
            </w:r>
          </w:p>
        </w:tc>
      </w:tr>
      <w:tr>
        <w:tc>
          <w:tcPr>
            <w:tcW w:type="dxa" w:w="1080"/>
            <w:shd w:fill="FAEED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9C6B14"/>
                <w:sz w:val="16"/>
              </w:rPr>
              <w:t>P1</w:t>
            </w:r>
          </w:p>
        </w:tc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Компоненты</w:t>
            </w:r>
          </w:p>
        </w:tc>
        <w:tc>
          <w:tcPr>
            <w:tcW w:type="dxa" w:w="61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Собрать общие элементы страницы как единые компоненты/варианты и использовать их во всех врачебных экранах.</w:t>
            </w:r>
          </w:p>
        </w:tc>
      </w:tr>
      <w:tr>
        <w:tc>
          <w:tcPr>
            <w:tcW w:type="dxa" w:w="1080"/>
            <w:shd w:fill="F8F8F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111111"/>
                <w:sz w:val="16"/>
              </w:rPr>
              <w:t>P2</w:t>
            </w:r>
          </w:p>
        </w:tc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Handoff</w:t>
            </w:r>
          </w:p>
        </w:tc>
        <w:tc>
          <w:tcPr>
            <w:tcW w:type="dxa" w:w="61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Переименовать фреймы по назначению и состоянию, отметить финальные экраны и порядок просмотра.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t>3. Визуальное направление врачебной ветки</w:t>
      </w:r>
    </w:p>
    <w:p>
      <w:pPr>
        <w:spacing w:after="120" w:line="264" w:lineRule="auto"/>
      </w:pPr>
      <w:r>
        <w:t>Сейчас врачебная версия построена в тёплой коричневой гамме и использует более тёмные фотографические подложки. Пациентский эталон — светлый, нейтральный, с зелёной боковой панелью и белыми рабочими областями. Это различие проходит через hero, преимущества, FAQ и блог и воспринимается как отдельный дизайн-продукт.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10" w:type="dxa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2F2"/>
          </w:tcPr>
          <w:p>
            <w:pPr>
              <w:jc w:val="center"/>
            </w:pPr>
            <w:r>
              <w:rPr>
                <w:b/>
                <w:sz w:val="17"/>
              </w:rPr>
              <w:t>Врачебная версия</w:t>
            </w:r>
          </w:p>
        </w:tc>
        <w:tc>
          <w:tcPr>
            <w:tcW w:type="dxa" w:w="46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2F2"/>
          </w:tcPr>
          <w:p>
            <w:pPr>
              <w:jc w:val="center"/>
            </w:pPr>
            <w:r>
              <w:rPr>
                <w:b/>
                <w:sz w:val="17"/>
              </w:rPr>
              <w:t>Пациентская версия — эталон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drawing>
                <wp:inline>
                  <wp:extent cx="2761488" cy="1553337"/>
                  <wp:docPr id="1" name="Picture 1" descr="Сравнение hero-экранов; Врачебная версия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doctors_her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1488" cy="155333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 w:val="0"/>
                <w:i/>
                <w:color w:val="666666"/>
                <w:sz w:val="15"/>
              </w:rPr>
              <w:t>Hero, node 202:1538</w:t>
            </w:r>
          </w:p>
        </w:tc>
        <w:tc>
          <w:tcPr>
            <w:tcW w:type="dxa" w:w="46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drawing>
                <wp:inline>
                  <wp:extent cx="2761488" cy="1553337"/>
                  <wp:docPr id="2" name="Picture 2" descr="Сравнение hero-экранов; Пациентская версия — эталон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patients_her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1488" cy="155333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 w:val="0"/>
                <w:i/>
                <w:color w:val="666666"/>
                <w:sz w:val="15"/>
              </w:rPr>
              <w:t>Hero, node 39:3671</w:t>
            </w:r>
          </w:p>
        </w:tc>
      </w:tr>
    </w:tbl>
    <w:p>
      <w:pPr>
        <w:pStyle w:val="Heading2"/>
        <w:keepNext/>
        <w:keepLines/>
      </w:pPr>
      <w:r>
        <w:t>Требование</w:t>
      </w:r>
    </w:p>
    <w:p>
      <w:pPr>
        <w:numPr>
          <w:ilvl w:val="0"/>
          <w:numId w:val="3"/>
        </w:numPr>
        <w:spacing w:after="80" w:line="259" w:lineRule="auto"/>
      </w:pPr>
      <w:r>
        <w:t>Получить от ответственного лица однозначное решение: сохраняем отдельную врачебную палитру или используем пациентскую визуальную систему.</w:t>
      </w:r>
    </w:p>
    <w:p>
      <w:pPr>
        <w:numPr>
          <w:ilvl w:val="0"/>
          <w:numId w:val="3"/>
        </w:numPr>
        <w:spacing w:after="80" w:line="259" w:lineRule="auto"/>
      </w:pPr>
      <w:r>
        <w:t>Если отдельная палитра не утверждена — перенести на врачебные экраны светлую логику фона, контраст и характер изображений из пациентской ветки.</w:t>
      </w:r>
    </w:p>
    <w:p>
      <w:pPr>
        <w:numPr>
          <w:ilvl w:val="0"/>
          <w:numId w:val="3"/>
        </w:numPr>
        <w:spacing w:after="80" w:line="259" w:lineRule="auto"/>
      </w:pPr>
      <w:r>
        <w:t>Если отдельная палитра утверждена — оформить её как системный вариант и применить последовательно ко всем разделам, а не как набор локальных фонов.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10" w:type="dxa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2F2"/>
          </w:tcPr>
          <w:p>
            <w:pPr>
              <w:jc w:val="center"/>
            </w:pPr>
            <w:r>
              <w:rPr>
                <w:b/>
                <w:sz w:val="17"/>
              </w:rPr>
              <w:t>Врачебная версия</w:t>
            </w:r>
          </w:p>
        </w:tc>
        <w:tc>
          <w:tcPr>
            <w:tcW w:type="dxa" w:w="46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2F2"/>
          </w:tcPr>
          <w:p>
            <w:pPr>
              <w:jc w:val="center"/>
            </w:pPr>
            <w:r>
              <w:rPr>
                <w:b/>
                <w:sz w:val="17"/>
              </w:rPr>
              <w:t>Пациентская версия — эталон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drawing>
                <wp:inline>
                  <wp:extent cx="2761488" cy="1553337"/>
                  <wp:docPr id="3" name="Picture 3" descr="Сравнение одинакового типа экрана преимуществ; Врачебная версия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_doctors_benefi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1488" cy="155333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 w:val="0"/>
                <w:i/>
                <w:color w:val="666666"/>
                <w:sz w:val="15"/>
              </w:rPr>
              <w:t>Преимущество 1, node 202:1694</w:t>
            </w:r>
          </w:p>
        </w:tc>
        <w:tc>
          <w:tcPr>
            <w:tcW w:type="dxa" w:w="46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drawing>
                <wp:inline>
                  <wp:extent cx="2761488" cy="1553337"/>
                  <wp:docPr id="4" name="Picture 4" descr="Сравнение одинакового типа экрана преимуществ; Пациентская версия — эталон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_patients_benefit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1488" cy="155333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 w:val="0"/>
                <w:i/>
                <w:color w:val="666666"/>
                <w:sz w:val="15"/>
              </w:rPr>
              <w:t>Преимущество 1, node 39:897</w:t>
            </w:r>
          </w:p>
        </w:tc>
      </w:tr>
    </w:tbl>
    <w:p>
      <w:pPr>
        <w:spacing w:before="100" w:after="200"/>
        <w:ind w:left="230" w:right="173"/>
        <w:pBdr>
          <w:bottom w:val="single" w:sz="10" w:space="6" w:color="2E6D46"/>
        </w:pBdr>
      </w:pPr>
      <w:r>
        <w:rPr>
          <w:b/>
          <w:i w:val="0"/>
          <w:color w:val="2E6D46"/>
        </w:rPr>
        <w:t xml:space="preserve">Результат. </w:t>
      </w:r>
      <w:r>
        <w:t>один выбранный визуальный принцип должен одинаково работать на hero, преимуществах, блоке результатов, процессе, FAQ, материалах и финальном экране.</w:t>
      </w:r>
    </w:p>
    <w:p>
      <w:r>
        <w:br w:type="page"/>
      </w:r>
    </w:p>
    <w:p>
      <w:pPr>
        <w:pStyle w:val="Heading1"/>
        <w:keepNext/>
        <w:keepLines/>
      </w:pPr>
      <w:r>
        <w:t>4. Навигация после удаления историй</w:t>
      </w:r>
    </w:p>
    <w:p>
      <w:pPr>
        <w:spacing w:after="120" w:line="264" w:lineRule="auto"/>
      </w:pPr>
      <w:r>
        <w:t>Решение удалить «Истории людей» должно быть отражено не только в наборе фреймов, но и в навигации. Сейчас пункт продолжает отображаться на врачебных экранах.</w:t>
      </w:r>
    </w:p>
    <w:p>
      <w:pPr>
        <w:pStyle w:val="Heading2"/>
        <w:keepNext/>
        <w:keepLines/>
      </w:pPr>
      <w:r>
        <w:t>Что сделать</w:t>
      </w:r>
    </w:p>
    <w:p>
      <w:pPr>
        <w:numPr>
          <w:ilvl w:val="0"/>
          <w:numId w:val="3"/>
        </w:numPr>
        <w:spacing w:after="80" w:line="259" w:lineRule="auto"/>
      </w:pPr>
      <w:r>
        <w:t>Удалить «Истории людей» из меню на каждом врачебном экране.</w:t>
      </w:r>
    </w:p>
    <w:p>
      <w:pPr>
        <w:numPr>
          <w:ilvl w:val="0"/>
          <w:numId w:val="3"/>
        </w:numPr>
        <w:spacing w:after="80" w:line="259" w:lineRule="auto"/>
      </w:pPr>
      <w:r>
        <w:t>Черновые фреймы 202:294, 202:101, 202:447 и 202:641 исключить из финальной последовательности и пометить как архив/не использовать.</w:t>
      </w:r>
    </w:p>
    <w:p>
      <w:pPr>
        <w:numPr>
          <w:ilvl w:val="0"/>
          <w:numId w:val="3"/>
        </w:numPr>
        <w:spacing w:after="80" w:line="259" w:lineRule="auto"/>
      </w:pPr>
      <w:r>
        <w:t>Добавить самостоятельный пункт «Как назначить тест» или согласованный эквивалент; экран процесса не должен находиться внутри чужого активного раздела.</w:t>
      </w:r>
    </w:p>
    <w:p>
      <w:pPr>
        <w:numPr>
          <w:ilvl w:val="0"/>
          <w:numId w:val="3"/>
        </w:numPr>
        <w:spacing w:after="80" w:line="259" w:lineRule="auto"/>
      </w:pPr>
      <w:r>
        <w:t>Пересобрать порядок пунктов после решения по блоку результатов и финалу.</w:t>
      </w:r>
    </w:p>
    <w:p>
      <w:pPr>
        <w:numPr>
          <w:ilvl w:val="0"/>
          <w:numId w:val="3"/>
        </w:numPr>
        <w:spacing w:after="80" w:line="259" w:lineRule="auto"/>
      </w:pPr>
      <w:r>
        <w:t>На каждом экране показать корректный активный пункт и сохранить один и тот же порядок меню.</w:t>
      </w:r>
    </w:p>
    <w:p>
      <w:pPr>
        <w:spacing w:before="100" w:after="200"/>
        <w:ind w:left="230" w:right="173"/>
        <w:pBdr>
          <w:bottom w:val="single" w:sz="10" w:space="6" w:color="9C6B14"/>
        </w:pBdr>
      </w:pPr>
      <w:r>
        <w:rPr>
          <w:b/>
          <w:i w:val="0"/>
          <w:color w:val="9C6B14"/>
        </w:rPr>
        <w:t xml:space="preserve">Рекомендуемая логика. </w:t>
      </w:r>
      <w:r>
        <w:t>Преимущества → О результатах → Как назначить тест → FAQ → Материалы. Финальный порядок подтвердить после ответа на вопросы в разделе 9.</w:t>
      </w:r>
    </w:p>
    <w:p>
      <w:pPr>
        <w:pStyle w:val="Heading1"/>
        <w:keepNext/>
        <w:keepLines/>
      </w:pPr>
      <w:r>
        <w:t>5. Добавить врачебный блок результатов</w:t>
      </w:r>
    </w:p>
    <w:p>
      <w:pPr>
        <w:spacing w:after="120" w:line="264" w:lineRule="auto"/>
      </w:pPr>
      <w:r>
        <w:t>В пациентском эталоне есть отдельная группа «Что вы получите по итогам теста»: вводный экран и три состояния карусели. Во врачебной ветке соответствующей законченной группы нет.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10" w:type="dxa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drawing>
                <wp:inline>
                  <wp:extent cx="2807208" cy="1579054"/>
                  <wp:docPr id="5" name="Picture 5" descr="Эталонный экран пациентской версии: Вводный экран, node 39:15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_patients_results_intr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7208" cy="15790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drawing>
                <wp:inline>
                  <wp:extent cx="2807208" cy="1579054"/>
                  <wp:docPr id="6" name="Picture 6" descr="Эталонный экран пациентской версии: Состояние результата 1/3, node 39:13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_patients_result_exampl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7208" cy="15790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 w:val="0"/>
                <w:i/>
                <w:color w:val="666666"/>
                <w:sz w:val="14"/>
              </w:rPr>
              <w:t>Вводный экран, node 39:1543</w:t>
            </w:r>
          </w:p>
        </w:tc>
        <w:tc>
          <w:tcPr>
            <w:tcW w:type="dxa" w:w="46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 w:val="0"/>
                <w:i/>
                <w:color w:val="666666"/>
                <w:sz w:val="14"/>
              </w:rPr>
              <w:t>Состояние результата 1/3, node 39:1381</w:t>
            </w:r>
          </w:p>
        </w:tc>
      </w:tr>
    </w:tbl>
    <w:p>
      <w:pPr>
        <w:spacing w:before="100" w:after="200"/>
        <w:ind w:left="230" w:right="173"/>
        <w:pBdr>
          <w:bottom w:val="single" w:sz="10" w:space="6" w:color="A63A32"/>
        </w:pBdr>
      </w:pPr>
      <w:r>
        <w:rPr>
          <w:b/>
          <w:i w:val="0"/>
          <w:color w:val="A63A32"/>
        </w:rPr>
        <w:t xml:space="preserve">Расхождение. </w:t>
      </w:r>
      <w:r>
        <w:t>у врача отсутствует самостоятельный визуальный сценарий, объясняющий, какой результат он получает и что может с ним делать.</w:t>
      </w:r>
    </w:p>
    <w:p>
      <w:pPr>
        <w:pStyle w:val="Heading2"/>
        <w:keepNext/>
        <w:keepLines/>
      </w:pPr>
      <w:r>
        <w:t>Что сделать</w:t>
      </w:r>
    </w:p>
    <w:p>
      <w:pPr>
        <w:numPr>
          <w:ilvl w:val="0"/>
          <w:numId w:val="3"/>
        </w:numPr>
        <w:spacing w:after="80" w:line="259" w:lineRule="auto"/>
      </w:pPr>
      <w:r>
        <w:t>Создать вводный врачебный экран блока результатов.</w:t>
      </w:r>
    </w:p>
    <w:p>
      <w:pPr>
        <w:numPr>
          <w:ilvl w:val="0"/>
          <w:numId w:val="3"/>
        </w:numPr>
        <w:spacing w:after="80" w:line="259" w:lineRule="auto"/>
      </w:pPr>
      <w:r>
        <w:t>Подготовить набор из 3 последовательных состояний по логике пациентской карусели либо согласовать другое количество состояний.</w:t>
      </w:r>
    </w:p>
    <w:p>
      <w:pPr>
        <w:numPr>
          <w:ilvl w:val="0"/>
          <w:numId w:val="3"/>
        </w:numPr>
        <w:spacing w:after="80" w:line="259" w:lineRule="auto"/>
      </w:pPr>
      <w:r>
        <w:t>Сохранить общий принцип: один вводный экран + понятная навигация по состояниям + финальный переход к следующему разделу.</w:t>
      </w:r>
    </w:p>
    <w:p>
      <w:pPr>
        <w:numPr>
          <w:ilvl w:val="0"/>
          <w:numId w:val="3"/>
        </w:numPr>
        <w:spacing w:after="80" w:line="259" w:lineRule="auto"/>
      </w:pPr>
      <w:r>
        <w:t>Содержимое адаптировать под задачи врача; копировать пациентские формулировки не требуется.</w:t>
      </w:r>
    </w:p>
    <w:p>
      <w:pPr>
        <w:numPr>
          <w:ilvl w:val="0"/>
          <w:numId w:val="3"/>
        </w:numPr>
        <w:spacing w:after="80" w:line="259" w:lineRule="auto"/>
      </w:pPr>
      <w:r>
        <w:t>В Figma явно связать группу с пунктом меню «О результатах» и показать активное состояние.</w:t>
      </w:r>
    </w:p>
    <w:p>
      <w:r>
        <w:br w:type="page"/>
      </w:r>
    </w:p>
    <w:p>
      <w:pPr>
        <w:pStyle w:val="Heading1"/>
        <w:keepNext/>
        <w:keepLines/>
      </w:pPr>
      <w:r>
        <w:t>6. Завершить сценарий «Как назначить тест»</w:t>
      </w:r>
    </w:p>
    <w:p>
      <w:pPr>
        <w:spacing w:after="120" w:line="264" w:lineRule="auto"/>
      </w:pPr>
      <w:r>
        <w:t>Во врачебной версии есть только вводный экран «Как назначать тест пациентам». В пациентской версии аналогичный процесс раскрыт тремя последовательными экранами. Поэтому врачебный сценарий визуально начинается, но не продолжается.</w:t>
      </w:r>
    </w:p>
    <w:p>
      <w:pPr>
        <w:jc w:val="center"/>
      </w:pPr>
      <w:r>
        <w:drawing>
          <wp:inline>
            <wp:extent cx="5715000" cy="3214688"/>
            <wp:docPr id="7" name="Picture 7" descr="Врачебный вводный экран процесса назначения, node 202:10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doctors_process_intr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666666"/>
          <w:sz w:val="16"/>
        </w:rPr>
        <w:t>Врачебная версия: только вводный экран, node 202:1006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10" w:type="dxa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drawing>
                <wp:inline>
                  <wp:extent cx="1816608" cy="1021842"/>
                  <wp:docPr id="8" name="Picture 8" descr="Эталонный экран пациентской версии: Шаг 1, node 39:23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_patients_process_1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6608" cy="10218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drawing>
                <wp:inline>
                  <wp:extent cx="1816608" cy="1021842"/>
                  <wp:docPr id="9" name="Picture 9" descr="Эталонный экран пациентской версии: Шаг 2, node 39:25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_patients_process_2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6608" cy="10218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drawing>
                <wp:inline>
                  <wp:extent cx="1816608" cy="1021842"/>
                  <wp:docPr id="10" name="Picture 10" descr="Эталонный экран пациентской версии: Шаг 3, node 39:27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_patients_process_3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6608" cy="10218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 w:val="0"/>
                <w:i/>
                <w:color w:val="666666"/>
                <w:sz w:val="14"/>
              </w:rPr>
              <w:t>Шаг 1, node 39:2393</w:t>
            </w:r>
          </w:p>
        </w:tc>
        <w:tc>
          <w:tcPr>
            <w:tcW w:type="dxa" w:w="31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 w:val="0"/>
                <w:i/>
                <w:color w:val="666666"/>
                <w:sz w:val="14"/>
              </w:rPr>
              <w:t>Шаг 2, node 39:2558</w:t>
            </w:r>
          </w:p>
        </w:tc>
        <w:tc>
          <w:tcPr>
            <w:tcW w:type="dxa" w:w="31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 w:val="0"/>
                <w:i/>
                <w:color w:val="666666"/>
                <w:sz w:val="14"/>
              </w:rPr>
              <w:t>Шаг 3, node 39:2723</w:t>
            </w:r>
          </w:p>
        </w:tc>
      </w:tr>
    </w:tbl>
    <w:p>
      <w:pPr>
        <w:pStyle w:val="Heading2"/>
        <w:keepNext/>
        <w:keepLines/>
      </w:pPr>
      <w:r>
        <w:t>Что сделать</w:t>
      </w:r>
    </w:p>
    <w:p>
      <w:pPr>
        <w:numPr>
          <w:ilvl w:val="0"/>
          <w:numId w:val="3"/>
        </w:numPr>
        <w:spacing w:after="80" w:line="259" w:lineRule="auto"/>
      </w:pPr>
      <w:r>
        <w:t>Согласовать врачебную последовательность из 3 шагов и подготовить по одному экрану на каждый шаг.</w:t>
      </w:r>
    </w:p>
    <w:p>
      <w:pPr>
        <w:numPr>
          <w:ilvl w:val="0"/>
          <w:numId w:val="3"/>
        </w:numPr>
        <w:spacing w:after="80" w:line="259" w:lineRule="auto"/>
      </w:pPr>
      <w:r>
        <w:t>Использовать пациентский процесс как композиционный ориентир: заголовок сценария, иллюстрация действия, индикатор шага, короткое пояснение.</w:t>
      </w:r>
    </w:p>
    <w:p>
      <w:pPr>
        <w:numPr>
          <w:ilvl w:val="0"/>
          <w:numId w:val="3"/>
        </w:numPr>
        <w:spacing w:after="80" w:line="259" w:lineRule="auto"/>
      </w:pPr>
      <w:r>
        <w:t>Предлагаемый черновой маршрут для согласования: назначить тест → передать пациенту инструкцию/направление → получить и использовать результат.</w:t>
      </w:r>
    </w:p>
    <w:p>
      <w:pPr>
        <w:numPr>
          <w:ilvl w:val="0"/>
          <w:numId w:val="3"/>
        </w:numPr>
        <w:spacing w:after="80" w:line="259" w:lineRule="auto"/>
      </w:pPr>
      <w:r>
        <w:t>После утверждения маршрута обновить пункт меню и активные состояния на всех трёх экранах.</w:t>
      </w:r>
    </w:p>
    <w:p>
      <w:pPr>
        <w:numPr>
          <w:ilvl w:val="0"/>
          <w:numId w:val="3"/>
        </w:numPr>
        <w:spacing w:after="80" w:line="259" w:lineRule="auto"/>
      </w:pPr>
      <w:r>
        <w:t>Связать экраны прототипными переходами «следующий/предыдущий» или явно указать логику переключения для разработки.</w:t>
      </w:r>
    </w:p>
    <w:p>
      <w:pPr>
        <w:pStyle w:val="Heading1"/>
        <w:keepNext/>
        <w:keepLines/>
      </w:pPr>
      <w:r>
        <w:t>7. Добавить финальный экран</w:t>
      </w:r>
    </w:p>
    <w:p>
      <w:pPr>
        <w:spacing w:after="120" w:line="264" w:lineRule="auto"/>
      </w:pPr>
      <w:r>
        <w:t>Пациентская ветка завершена отдельным экраном с итоговым сообщением, CTA, контактами и навигацией. У врачебной ветки отдельного финального состояния нет.</w:t>
      </w:r>
    </w:p>
    <w:p>
      <w:pPr>
        <w:jc w:val="center"/>
      </w:pPr>
      <w:r>
        <w:drawing>
          <wp:inline>
            <wp:extent cx="5715000" cy="3214688"/>
            <wp:docPr id="11" name="Picture 11" descr="Финальный экран пациентской версии, node 39:28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patients_fina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666666"/>
          <w:sz w:val="16"/>
        </w:rPr>
        <w:t>Пациентский эталон финального экрана, node 39:2888</w:t>
      </w:r>
    </w:p>
    <w:p>
      <w:pPr>
        <w:pStyle w:val="Heading2"/>
        <w:keepNext/>
        <w:keepLines/>
      </w:pPr>
      <w:r>
        <w:t>Что сделать</w:t>
      </w:r>
    </w:p>
    <w:p>
      <w:pPr>
        <w:numPr>
          <w:ilvl w:val="0"/>
          <w:numId w:val="3"/>
        </w:numPr>
        <w:spacing w:after="80" w:line="259" w:lineRule="auto"/>
      </w:pPr>
      <w:r>
        <w:t>Создать врачебный финальный экран в той же роли: завершить просмотр страницы и дать одно основное действие.</w:t>
      </w:r>
    </w:p>
    <w:p>
      <w:pPr>
        <w:numPr>
          <w:ilvl w:val="0"/>
          <w:numId w:val="3"/>
        </w:numPr>
        <w:spacing w:after="80" w:line="259" w:lineRule="auto"/>
      </w:pPr>
      <w:r>
        <w:t>Определить целевой CTA: назначить тест, перейти в личный кабинет, получить материалы или связаться с лабораторией.</w:t>
      </w:r>
    </w:p>
    <w:p>
      <w:pPr>
        <w:numPr>
          <w:ilvl w:val="0"/>
          <w:numId w:val="3"/>
        </w:numPr>
        <w:spacing w:after="80" w:line="259" w:lineRule="auto"/>
      </w:pPr>
      <w:r>
        <w:t>Сохранить контактно-навигационную часть как общий компонент с пациентской версией, меняя только необходимые врачебные пункты.</w:t>
      </w:r>
    </w:p>
    <w:p>
      <w:pPr>
        <w:numPr>
          <w:ilvl w:val="0"/>
          <w:numId w:val="3"/>
        </w:numPr>
        <w:spacing w:after="80" w:line="259" w:lineRule="auto"/>
      </w:pPr>
      <w:r>
        <w:t>Показать финальный переход из предыдущего раздела и корректное состояние боковой навигации.</w:t>
      </w:r>
    </w:p>
    <w:p>
      <w:r>
        <w:br w:type="page"/>
      </w:r>
    </w:p>
    <w:p>
      <w:pPr>
        <w:pStyle w:val="Heading1"/>
        <w:keepNext/>
        <w:keepLines/>
      </w:pPr>
      <w:r>
        <w:t>8. Привести повторяющиеся разделы к одной системе</w:t>
      </w:r>
    </w:p>
    <w:p>
      <w:pPr>
        <w:spacing w:after="120" w:line="264" w:lineRule="auto"/>
      </w:pPr>
      <w:r>
        <w:t>FAQ и материалы присутствуют в обеих версиях и по структуре близки, но врачебные экраны оформлены как тёмные фотографические сцены, а пациентские — как светлые рабочие поверхности. После решения по палитре эти блоки нужно привести к общей системе.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10" w:type="dxa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2F2"/>
          </w:tcPr>
          <w:p>
            <w:pPr>
              <w:jc w:val="center"/>
            </w:pPr>
            <w:r>
              <w:rPr>
                <w:b/>
                <w:sz w:val="17"/>
              </w:rPr>
              <w:t>Врачебная версия</w:t>
            </w:r>
          </w:p>
        </w:tc>
        <w:tc>
          <w:tcPr>
            <w:tcW w:type="dxa" w:w="46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2F2"/>
          </w:tcPr>
          <w:p>
            <w:pPr>
              <w:jc w:val="center"/>
            </w:pPr>
            <w:r>
              <w:rPr>
                <w:b/>
                <w:sz w:val="17"/>
              </w:rPr>
              <w:t>Пациентская версия — эталон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drawing>
                <wp:inline>
                  <wp:extent cx="2761488" cy="1553337"/>
                  <wp:docPr id="12" name="Picture 12" descr="Сравнение FAQ; Врачебная версия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_doctors_faq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1488" cy="155333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 w:val="0"/>
                <w:i/>
                <w:color w:val="666666"/>
                <w:sz w:val="15"/>
              </w:rPr>
              <w:t>FAQ, node 202:1164</w:t>
            </w:r>
          </w:p>
        </w:tc>
        <w:tc>
          <w:tcPr>
            <w:tcW w:type="dxa" w:w="46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drawing>
                <wp:inline>
                  <wp:extent cx="2761488" cy="1553337"/>
                  <wp:docPr id="13" name="Picture 13" descr="Сравнение FAQ; Пациентская версия — эталон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_patients_faq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1488" cy="155333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 w:val="0"/>
                <w:i/>
                <w:color w:val="666666"/>
                <w:sz w:val="15"/>
              </w:rPr>
              <w:t>FAQ, node 39:2026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10" w:type="dxa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2F2"/>
          </w:tcPr>
          <w:p>
            <w:pPr>
              <w:jc w:val="center"/>
            </w:pPr>
            <w:r>
              <w:rPr>
                <w:b/>
                <w:sz w:val="17"/>
              </w:rPr>
              <w:t>Врачебная версия</w:t>
            </w:r>
          </w:p>
        </w:tc>
        <w:tc>
          <w:tcPr>
            <w:tcW w:type="dxa" w:w="46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2F2"/>
          </w:tcPr>
          <w:p>
            <w:pPr>
              <w:jc w:val="center"/>
            </w:pPr>
            <w:r>
              <w:rPr>
                <w:b/>
                <w:sz w:val="17"/>
              </w:rPr>
              <w:t>Пациентская версия — эталон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drawing>
                <wp:inline>
                  <wp:extent cx="2761488" cy="1553337"/>
                  <wp:docPr id="14" name="Picture 14" descr="Сравнение экранов материалов; Врачебная версия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_doctors_blog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1488" cy="155333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 w:val="0"/>
                <w:i/>
                <w:color w:val="666666"/>
                <w:sz w:val="15"/>
              </w:rPr>
              <w:t>Материалы, node 202:1343</w:t>
            </w:r>
          </w:p>
        </w:tc>
        <w:tc>
          <w:tcPr>
            <w:tcW w:type="dxa" w:w="46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drawing>
                <wp:inline>
                  <wp:extent cx="2761488" cy="1553337"/>
                  <wp:docPr id="15" name="Picture 15" descr="Сравнение экранов материалов; Пациентская версия — эталон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_patients_blog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1488" cy="155333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 w:val="0"/>
                <w:i/>
                <w:color w:val="666666"/>
                <w:sz w:val="15"/>
              </w:rPr>
              <w:t>Блог, node 39:2201</w:t>
            </w:r>
          </w:p>
        </w:tc>
      </w:tr>
    </w:tbl>
    <w:p>
      <w:pPr>
        <w:pStyle w:val="Heading2"/>
        <w:keepNext/>
        <w:keepLines/>
      </w:pPr>
      <w:r>
        <w:t>Что сделать</w:t>
      </w:r>
    </w:p>
    <w:p>
      <w:pPr>
        <w:numPr>
          <w:ilvl w:val="0"/>
          <w:numId w:val="3"/>
        </w:numPr>
        <w:spacing w:after="80" w:line="259" w:lineRule="auto"/>
      </w:pPr>
      <w:r>
        <w:t>Не менять содержание в рамках этого ТЗ; работать только с композицией и выбранной визуальной системой.</w:t>
      </w:r>
    </w:p>
    <w:p>
      <w:pPr>
        <w:numPr>
          <w:ilvl w:val="0"/>
          <w:numId w:val="3"/>
        </w:numPr>
        <w:spacing w:after="80" w:line="259" w:lineRule="auto"/>
      </w:pPr>
      <w:r>
        <w:t>Свести FAQ к одному компоненту аккордеона с одинаковой логикой раскрытого/закрытого состояния.</w:t>
      </w:r>
    </w:p>
    <w:p>
      <w:pPr>
        <w:numPr>
          <w:ilvl w:val="0"/>
          <w:numId w:val="3"/>
        </w:numPr>
        <w:spacing w:after="80" w:line="259" w:lineRule="auto"/>
      </w:pPr>
      <w:r>
        <w:t>Свести карточки материалов к общему компоненту карточки; врачебная специализация должна задаваться контентом, а не отдельной конструкцией.</w:t>
      </w:r>
    </w:p>
    <w:p>
      <w:pPr>
        <w:numPr>
          <w:ilvl w:val="0"/>
          <w:numId w:val="3"/>
        </w:numPr>
        <w:spacing w:after="80" w:line="259" w:lineRule="auto"/>
      </w:pPr>
      <w:r>
        <w:t>Проверить, что фон не ухудшает читаемость и не создаёт ощущение другого сайта.</w:t>
      </w:r>
    </w:p>
    <w:p>
      <w:pPr>
        <w:pStyle w:val="Heading1"/>
        <w:keepNext/>
        <w:keepLines/>
      </w:pPr>
      <w:r>
        <w:t>9. Вопросы, которые нужно закрыть до финальной отрисовки</w:t>
      </w:r>
    </w:p>
    <w:p>
      <w:pPr>
        <w:numPr>
          <w:ilvl w:val="0"/>
          <w:numId w:val="3"/>
        </w:numPr>
        <w:spacing w:after="80" w:line="259" w:lineRule="auto"/>
      </w:pPr>
      <w:r>
        <w:t>Коричневая врачебная палитра утверждена как отдельная тема или это ранняя версия, которую нужно привести к пациентской?</w:t>
      </w:r>
    </w:p>
    <w:p>
      <w:pPr>
        <w:numPr>
          <w:ilvl w:val="0"/>
          <w:numId w:val="3"/>
        </w:numPr>
        <w:spacing w:after="80" w:line="259" w:lineRule="auto"/>
      </w:pPr>
      <w:r>
        <w:t>Нужен ли врачебный блок результатов в формате «вводный экран + 3 состояния»? Если формат другой — сколько экранов и какую задачу решает каждый?</w:t>
      </w:r>
    </w:p>
    <w:p>
      <w:pPr>
        <w:numPr>
          <w:ilvl w:val="0"/>
          <w:numId w:val="3"/>
        </w:numPr>
        <w:spacing w:after="80" w:line="259" w:lineRule="auto"/>
      </w:pPr>
      <w:r>
        <w:t>Какова точная последовательность действий врача в разделе «Как назначить тест»?</w:t>
      </w:r>
    </w:p>
    <w:p>
      <w:pPr>
        <w:numPr>
          <w:ilvl w:val="0"/>
          <w:numId w:val="3"/>
        </w:numPr>
        <w:spacing w:after="80" w:line="259" w:lineRule="auto"/>
      </w:pPr>
      <w:r>
        <w:t>Какой один CTA должен быть главным на финальном экране врачебной версии?</w:t>
      </w:r>
    </w:p>
    <w:p>
      <w:pPr>
        <w:numPr>
          <w:ilvl w:val="0"/>
          <w:numId w:val="3"/>
        </w:numPr>
        <w:spacing w:after="80" w:line="259" w:lineRule="auto"/>
      </w:pPr>
      <w:r>
        <w:t>После удаления историй какой окончательный порядок пунктов меню утверждаем?</w:t>
      </w:r>
    </w:p>
    <w:p>
      <w:pPr>
        <w:numPr>
          <w:ilvl w:val="0"/>
          <w:numId w:val="3"/>
        </w:numPr>
        <w:spacing w:after="80" w:line="259" w:lineRule="auto"/>
      </w:pPr>
      <w:r>
        <w:t>Нужен ли врачу аналог пациентского квиза в боковой панели или его отсутствие является согласованным решением?</w:t>
      </w:r>
    </w:p>
    <w:p>
      <w:pPr>
        <w:numPr>
          <w:ilvl w:val="0"/>
          <w:numId w:val="3"/>
        </w:numPr>
        <w:spacing w:after="80" w:line="259" w:lineRule="auto"/>
      </w:pPr>
      <w:r>
        <w:t>FAQ и материалы остаются в основном сценарии или должны быть вынесены в отдельные страницы/разделы?</w:t>
      </w:r>
    </w:p>
    <w:p>
      <w:pPr>
        <w:numPr>
          <w:ilvl w:val="0"/>
          <w:numId w:val="3"/>
        </w:numPr>
        <w:spacing w:after="80" w:line="259" w:lineRule="auto"/>
      </w:pPr>
      <w:r>
        <w:t>Какие из врачебных экранов считаются финальными, а какие нужно перенести в архив?</w:t>
      </w:r>
    </w:p>
    <w:p>
      <w:pPr>
        <w:pStyle w:val="Heading1"/>
        <w:keepNext/>
        <w:keepLines/>
      </w:pPr>
      <w:r>
        <w:t>10. Требования к подготовке Figma-файла</w:t>
      </w:r>
    </w:p>
    <w:p>
      <w:pPr>
        <w:numPr>
          <w:ilvl w:val="0"/>
          <w:numId w:val="3"/>
        </w:numPr>
        <w:spacing w:after="80" w:line="259" w:lineRule="auto"/>
      </w:pPr>
      <w:r>
        <w:t>Назвать каждый фрейм по схеме «Раздел / состояние / аудитория», а не «Главная».</w:t>
      </w:r>
    </w:p>
    <w:p>
      <w:pPr>
        <w:numPr>
          <w:ilvl w:val="0"/>
          <w:numId w:val="3"/>
        </w:numPr>
        <w:spacing w:after="80" w:line="259" w:lineRule="auto"/>
      </w:pPr>
      <w:r>
        <w:t>Собрать отдельную линейную последовательность финальных врачебных экранов слева направо.</w:t>
      </w:r>
    </w:p>
    <w:p>
      <w:pPr>
        <w:numPr>
          <w:ilvl w:val="0"/>
          <w:numId w:val="3"/>
        </w:numPr>
        <w:spacing w:after="80" w:line="259" w:lineRule="auto"/>
      </w:pPr>
      <w:r>
        <w:t>Пометить статус каждого экрана: Final, Draft или Archive.</w:t>
      </w:r>
    </w:p>
    <w:p>
      <w:pPr>
        <w:numPr>
          <w:ilvl w:val="0"/>
          <w:numId w:val="3"/>
        </w:numPr>
        <w:spacing w:after="80" w:line="259" w:lineRule="auto"/>
      </w:pPr>
      <w:r>
        <w:t>Использовать компоненты и варианты для боковой панели, меню, CTA, карточек, FAQ и индикаторов.</w:t>
      </w:r>
    </w:p>
    <w:p>
      <w:pPr>
        <w:numPr>
          <w:ilvl w:val="0"/>
          <w:numId w:val="3"/>
        </w:numPr>
        <w:spacing w:after="80" w:line="259" w:lineRule="auto"/>
      </w:pPr>
      <w:r>
        <w:t>Добавить прототипные переходы для каруселей и последовательных шагов.</w:t>
      </w:r>
    </w:p>
    <w:p>
      <w:pPr>
        <w:numPr>
          <w:ilvl w:val="0"/>
          <w:numId w:val="3"/>
        </w:numPr>
        <w:spacing w:after="80" w:line="259" w:lineRule="auto"/>
      </w:pPr>
      <w:r>
        <w:t>Не включать мобильные фреймы в текущий handoff.</w:t>
      </w:r>
    </w:p>
    <w:p>
      <w:pPr>
        <w:pStyle w:val="Heading1"/>
        <w:keepNext/>
        <w:keepLines/>
      </w:pPr>
      <w:r>
        <w:t>11. Критерии приёмки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0D0D0"/>
          <w:left w:val="single" w:sz="6" w:space="0" w:color="D0D0D0"/>
          <w:bottom w:val="single" w:sz="6" w:space="0" w:color="D0D0D0"/>
          <w:right w:val="single" w:sz="6" w:space="0" w:color="D0D0D0"/>
          <w:insideH w:val="single" w:sz="6" w:space="0" w:color="D0D0D0"/>
          <w:insideV w:val="single" w:sz="6" w:space="0" w:color="D0D0D0"/>
        </w:tblBorders>
        <w:tblInd w:w="110" w:type="dxa"/>
      </w:tblPr>
      <w:tblGrid>
        <w:gridCol w:w="2088"/>
        <w:gridCol w:w="7272"/>
      </w:tblGrid>
      <w:tr>
        <w:trPr>
          <w:tblHeader w:val="true"/>
        </w:trPr>
        <w:tc>
          <w:tcPr>
            <w:tcW w:type="dxa" w:w="2088"/>
            <w:shd w:fill="11111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  <w:color w:val="FFFFFF"/>
                <w:sz w:val="17"/>
              </w:rPr>
              <w:t>Область</w:t>
            </w:r>
          </w:p>
        </w:tc>
        <w:tc>
          <w:tcPr>
            <w:tcW w:type="dxa" w:w="7272"/>
            <w:shd w:fill="11111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  <w:color w:val="FFFFFF"/>
                <w:sz w:val="17"/>
              </w:rPr>
              <w:t>Готово, если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Истории</w:t>
            </w:r>
          </w:p>
        </w:tc>
        <w:tc>
          <w:tcPr>
            <w:tcW w:type="dxa" w:w="72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Пункт удалён из меню; четыре врачебных фрейма историй не входят в финальную последовательность.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Результаты</w:t>
            </w:r>
          </w:p>
        </w:tc>
        <w:tc>
          <w:tcPr>
            <w:tcW w:type="dxa" w:w="72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Есть законченная врачебная группа либо в Figma зафиксировано согласованное решение не включать её.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Назначение</w:t>
            </w:r>
          </w:p>
        </w:tc>
        <w:tc>
          <w:tcPr>
            <w:tcW w:type="dxa" w:w="72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После вводного экрана есть согласованная последовательность шагов с понятным переключением.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Финал</w:t>
            </w:r>
          </w:p>
        </w:tc>
        <w:tc>
          <w:tcPr>
            <w:tcW w:type="dxa" w:w="72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Есть отдельный финальный экран с утверждённым CTA и контактно-навигационной частью.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Навигация</w:t>
            </w:r>
          </w:p>
        </w:tc>
        <w:tc>
          <w:tcPr>
            <w:tcW w:type="dxa" w:w="72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Порядок пунктов одинаков на всех экранах; активный пункт соответствует текущему разделу.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Визуальная система</w:t>
            </w:r>
          </w:p>
        </w:tc>
        <w:tc>
          <w:tcPr>
            <w:tcW w:type="dxa" w:w="72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Выбрана одна логика палитры/фонов и последовательно применена ко всем разделам.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Компоненты</w:t>
            </w:r>
          </w:p>
        </w:tc>
        <w:tc>
          <w:tcPr>
            <w:tcW w:type="dxa" w:w="72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Повторяющиеся элементы собраны как компоненты/варианты, а не дублируются локально.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Handoff</w:t>
            </w:r>
          </w:p>
        </w:tc>
        <w:tc>
          <w:tcPr>
            <w:tcW w:type="dxa" w:w="72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Фреймы названы по смыслу, расставлены по порядку и отмечены статусами.</w:t>
            </w:r>
          </w:p>
        </w:tc>
      </w:tr>
    </w:tbl>
    <w:p>
      <w:pPr>
        <w:spacing w:after="40"/>
      </w:pPr>
    </w:p>
    <w:p>
      <w:pPr>
        <w:spacing w:before="100" w:after="200"/>
        <w:ind w:left="230" w:right="173"/>
        <w:pBdr>
          <w:bottom w:val="single" w:sz="10" w:space="6" w:color="2E6D46"/>
        </w:pBdr>
      </w:pPr>
      <w:r>
        <w:rPr>
          <w:b/>
          <w:i w:val="0"/>
          <w:color w:val="2E6D46"/>
        </w:rPr>
        <w:t xml:space="preserve">Definition of Done. </w:t>
      </w:r>
      <w:r>
        <w:t>врачебная ветка представляет собой последовательный набор финальных десктопных экранов без блока историй, с закрытым сценарием результатов, назначения и финального действия, а её визуальная связь с пациентским эталоном является осознанной и зафиксированной.</w:t>
      </w:r>
    </w:p>
    <w:p>
      <w:pPr>
        <w:pStyle w:val="Heading1"/>
        <w:keepNext/>
        <w:keepLines/>
      </w:pPr>
      <w:r>
        <w:t>12. Карта экранов и ссылки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0D0D0"/>
          <w:left w:val="single" w:sz="6" w:space="0" w:color="D0D0D0"/>
          <w:bottom w:val="single" w:sz="6" w:space="0" w:color="D0D0D0"/>
          <w:right w:val="single" w:sz="6" w:space="0" w:color="D0D0D0"/>
          <w:insideH w:val="single" w:sz="6" w:space="0" w:color="D0D0D0"/>
          <w:insideV w:val="single" w:sz="6" w:space="0" w:color="D0D0D0"/>
        </w:tblBorders>
        <w:tblInd w:w="110" w:type="dxa"/>
      </w:tblPr>
      <w:tblGrid>
        <w:gridCol w:w="1512"/>
        <w:gridCol w:w="4608"/>
        <w:gridCol w:w="3240"/>
      </w:tblGrid>
      <w:tr>
        <w:trPr>
          <w:tblHeader w:val="true"/>
        </w:trPr>
        <w:tc>
          <w:tcPr>
            <w:tcW w:type="dxa" w:w="1512"/>
            <w:shd w:fill="11111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  <w:color w:val="FFFFFF"/>
                <w:sz w:val="17"/>
              </w:rPr>
              <w:t>Ветка</w:t>
            </w:r>
          </w:p>
        </w:tc>
        <w:tc>
          <w:tcPr>
            <w:tcW w:type="dxa" w:w="4608"/>
            <w:shd w:fill="11111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  <w:color w:val="FFFFFF"/>
                <w:sz w:val="17"/>
              </w:rPr>
              <w:t>Экран/группа</w:t>
            </w:r>
          </w:p>
        </w:tc>
        <w:tc>
          <w:tcPr>
            <w:tcW w:type="dxa" w:w="3240"/>
            <w:shd w:fill="11111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  <w:color w:val="FFFFFF"/>
                <w:sz w:val="17"/>
              </w:rPr>
              <w:t>Node ID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Врачи</w:t>
            </w:r>
          </w:p>
        </w:tc>
        <w:tc>
          <w:tcPr>
            <w:tcW w:type="dxa" w:w="46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Hero</w:t>
            </w:r>
          </w:p>
        </w:tc>
        <w:tc>
          <w:tcPr>
            <w:tcW w:type="dxa" w:w="32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202:1538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Врачи</w:t>
            </w:r>
          </w:p>
        </w:tc>
        <w:tc>
          <w:tcPr>
            <w:tcW w:type="dxa" w:w="46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Вводный экран</w:t>
            </w:r>
          </w:p>
        </w:tc>
        <w:tc>
          <w:tcPr>
            <w:tcW w:type="dxa" w:w="32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202:1864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Врачи</w:t>
            </w:r>
          </w:p>
        </w:tc>
        <w:tc>
          <w:tcPr>
            <w:tcW w:type="dxa" w:w="46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Преимущества, 5 состояний</w:t>
            </w:r>
          </w:p>
        </w:tc>
        <w:tc>
          <w:tcPr>
            <w:tcW w:type="dxa" w:w="32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202:1694; 2356; 2184; 2014; 835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Врачи</w:t>
            </w:r>
          </w:p>
        </w:tc>
        <w:tc>
          <w:tcPr>
            <w:tcW w:type="dxa" w:w="46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Как назначать тест — вводный</w:t>
            </w:r>
          </w:p>
        </w:tc>
        <w:tc>
          <w:tcPr>
            <w:tcW w:type="dxa" w:w="32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202:1006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Врачи</w:t>
            </w:r>
          </w:p>
        </w:tc>
        <w:tc>
          <w:tcPr>
            <w:tcW w:type="dxa" w:w="46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FAQ</w:t>
            </w:r>
          </w:p>
        </w:tc>
        <w:tc>
          <w:tcPr>
            <w:tcW w:type="dxa" w:w="32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202:1164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Врачи</w:t>
            </w:r>
          </w:p>
        </w:tc>
        <w:tc>
          <w:tcPr>
            <w:tcW w:type="dxa" w:w="46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Материалы</w:t>
            </w:r>
          </w:p>
        </w:tc>
        <w:tc>
          <w:tcPr>
            <w:tcW w:type="dxa" w:w="32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202:1343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Пациенты</w:t>
            </w:r>
          </w:p>
        </w:tc>
        <w:tc>
          <w:tcPr>
            <w:tcW w:type="dxa" w:w="46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Hero</w:t>
            </w:r>
          </w:p>
        </w:tc>
        <w:tc>
          <w:tcPr>
            <w:tcW w:type="dxa" w:w="32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39:3671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Пациенты</w:t>
            </w:r>
          </w:p>
        </w:tc>
        <w:tc>
          <w:tcPr>
            <w:tcW w:type="dxa" w:w="46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Преимущества</w:t>
            </w:r>
          </w:p>
        </w:tc>
        <w:tc>
          <w:tcPr>
            <w:tcW w:type="dxa" w:w="32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39:897; 3502; 3334; 3164; 1212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Пациенты</w:t>
            </w:r>
          </w:p>
        </w:tc>
        <w:tc>
          <w:tcPr>
            <w:tcW w:type="dxa" w:w="46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Результаты</w:t>
            </w:r>
          </w:p>
        </w:tc>
        <w:tc>
          <w:tcPr>
            <w:tcW w:type="dxa" w:w="32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39:1543; 1381; 1699; 1861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Пациенты</w:t>
            </w:r>
          </w:p>
        </w:tc>
        <w:tc>
          <w:tcPr>
            <w:tcW w:type="dxa" w:w="46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Процесс, 3 шага</w:t>
            </w:r>
          </w:p>
        </w:tc>
        <w:tc>
          <w:tcPr>
            <w:tcW w:type="dxa" w:w="32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39:2393; 2558; 2723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Пациенты</w:t>
            </w:r>
          </w:p>
        </w:tc>
        <w:tc>
          <w:tcPr>
            <w:tcW w:type="dxa" w:w="46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FAQ</w:t>
            </w:r>
          </w:p>
        </w:tc>
        <w:tc>
          <w:tcPr>
            <w:tcW w:type="dxa" w:w="32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39:2026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Пациенты</w:t>
            </w:r>
          </w:p>
        </w:tc>
        <w:tc>
          <w:tcPr>
            <w:tcW w:type="dxa" w:w="46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Блог</w:t>
            </w:r>
          </w:p>
        </w:tc>
        <w:tc>
          <w:tcPr>
            <w:tcW w:type="dxa" w:w="32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39:2201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Пациенты</w:t>
            </w:r>
          </w:p>
        </w:tc>
        <w:tc>
          <w:tcPr>
            <w:tcW w:type="dxa" w:w="46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Финал</w:t>
            </w:r>
          </w:p>
        </w:tc>
        <w:tc>
          <w:tcPr>
            <w:tcW w:type="dxa" w:w="32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39:2888</w:t>
            </w:r>
          </w:p>
        </w:tc>
      </w:tr>
    </w:tbl>
    <w:p>
      <w:pPr>
        <w:spacing w:after="40"/>
      </w:pPr>
    </w:p>
    <w:p>
      <w:pPr>
        <w:spacing w:after="120" w:line="264" w:lineRule="auto"/>
      </w:pPr>
      <w:r>
        <w:t>Врачебная секция: https://www.figma.com/design/Ho1FCasrcIfitKInlPy86v/Untitled?node-id=202-100</w:t>
      </w:r>
    </w:p>
    <w:p>
      <w:pPr>
        <w:spacing w:after="120" w:line="264" w:lineRule="auto"/>
      </w:pPr>
      <w:r>
        <w:t>Пациентская секция: https://www.figma.com/design/Ho1FCasrcIfitKInlPy86v/Untitled?node-id=39-115</w:t>
      </w:r>
    </w:p>
    <w:sectPr>
      <w:headerReference r:id="rId9" w:type="default"/>
      <w:footerReference r:id="rId10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8.00000000000006" w:lineRule="auto"/>
      <w:ind w:left="0" w:right="0" w:firstLine="0"/>
      <w:jc w:val="righ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7a7a7a"/>
        <w:sz w:val="18"/>
        <w:szCs w:val="18"/>
        <w:u w:val="none"/>
        <w:shd w:fill="auto" w:val="clear"/>
        <w:vertAlign w:val="baseline"/>
      </w:rPr>
    </w:pPr>
    <w:r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7a7a7a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51">
    <w:pPr>
      <w:rPr/>
    </w:pPr>
    <w:r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d9d9d9" w:space="5" w:sz="4" w:val="single"/>
        <w:right w:space="0" w:sz="0" w:val="nil"/>
        <w:between w:space="0" w:sz="0" w:val="nil"/>
      </w:pBdr>
      <w:shd w:fill="auto" w:val="clear"/>
      <w:spacing w:after="80" w:before="0" w:line="278.00000000000006" w:lineRule="auto"/>
      <w:ind w:left="0" w:right="0" w:firstLine="0"/>
      <w:jc w:val="left"/>
      <w:rPr>
        <w:color w:val="7a7a7a"/>
        <w:sz w:val="17"/>
        <w:szCs w:val="17"/>
      </w:rPr>
    </w:pPr>
    <w:r>
      <w:rPr>
        <w:rtl w:val="0"/>
      </w:rPr>
    </w:r>
  </w:p>
  <w:sdt>
    <w:sdtPr>
      <w:lock w:val="contentLocked"/>
      <w:id w:val="2109222018"/>
      <w:tag w:val="goog_rdk_0"/>
    </w:sdtPr>
    <w:sdtContent>
      <w:tbl>
        <w:tblPr>
          <w:tblStyle w:val="Table3"/>
          <w:tblW w:w="9360.0" w:type="dxa"/>
          <w:jc w:val="left"/>
          <w:tblLayout w:type="fixed"/>
          <w:tblLook w:val="0600"/>
        </w:tblPr>
        <w:tblGrid>
          <w:gridCol w:w="4680"/>
          <w:gridCol w:w="4680"/>
          <w:tblGridChange w:id="0">
            <w:tblGrid>
              <w:gridCol w:w="4680"/>
              <w:gridCol w:w="4680"/>
            </w:tblGrid>
          </w:tblGridChange>
        </w:tblGrid>
        <w:tr>
          <w:trPr>
            <w:cantSplit w:val="1"/>
            <w:trHeight w:val="325.74149576822384" w:hRule="atLeast"/>
            <w:tblHeader w:val="0"/>
          </w:trPr>
          <w:tc>
            <w:tcPr>
              <w:shd w:fill="auto" w:val="clear"/>
              <w:tcMar>
                <w:top w:w="0.0" w:type="dxa"/>
                <w:left w:w="0.0" w:type="dxa"/>
                <w:bottom w:w="0.0" w:type="dxa"/>
                <w:right w:w="0.0" w:type="dxa"/>
              </w:tcMar>
              <w:vAlign w:val="top"/>
            </w:tcPr>
            <w:p w14:paraId="0000004C">
              <w:pPr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80" w:line="278.00000000000006" w:lineRule="auto"/>
                <w:rPr>
                  <w:color w:val="7a7a7a"/>
                  <w:sz w:val="17"/>
                  <w:szCs w:val="17"/>
                </w:rPr>
              </w:pPr>
              <w:r>
                <w:rPr>
                  <w:color w:val="7a7a7a"/>
                  <w:sz w:val="17"/>
                  <w:szCs w:val="17"/>
                  <w:rtl w:val="0"/>
                </w:rPr>
                <w:t xml:space="preserve">Report title</w:t>
              </w:r>
            </w:p>
            <w:p w14:paraId="0000004D">
              <w:pPr>
                <w:keepNext w:val="0"/>
                <w:keepLines w:val="0"/>
                <w:pageBreakBefore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40" w:lineRule="auto"/>
                <w:ind w:left="0" w:right="0" w:firstLine="0"/>
                <w:jc w:val="left"/>
                <w:rPr>
                  <w:color w:val="7a7a7a"/>
                  <w:sz w:val="17"/>
                  <w:szCs w:val="17"/>
                </w:rPr>
              </w:pPr>
              <w:r>
                <w:rPr>
                  <w:rtl w:val="0"/>
                </w:rPr>
              </w:r>
            </w:p>
          </w:tc>
          <w:tc>
            <w:tcPr>
              <w:shd w:fill="auto" w:val="clear"/>
              <w:tcMar>
                <w:top w:w="0.0" w:type="dxa"/>
                <w:left w:w="0.0" w:type="dxa"/>
                <w:bottom w:w="0.0" w:type="dxa"/>
                <w:right w:w="0.0" w:type="dxa"/>
              </w:tcMar>
              <w:vAlign w:val="top"/>
            </w:tcPr>
            <w:p w14:paraId="0000004E">
              <w:pPr>
                <w:keepNext w:val="0"/>
                <w:keepLines w:val="0"/>
                <w:pageBreakBefore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40" w:lineRule="auto"/>
                <w:ind w:left="0" w:right="0" w:firstLine="0"/>
                <w:jc w:val="right"/>
                <w:rPr>
                  <w:color w:val="7a7a7a"/>
                  <w:sz w:val="17"/>
                  <w:szCs w:val="17"/>
                </w:rPr>
              </w:pPr>
              <w:r>
                <w:rPr>
                  <w:color w:val="7a7a7a"/>
                  <w:sz w:val="17"/>
                  <w:szCs w:val="17"/>
                  <w:rtl w:val="0"/>
                </w:rPr>
                <w:t xml:space="preserve">Date</w:t>
              </w:r>
            </w:p>
          </w:tc>
        </w:tr>
      </w:tbl>
    </w:sdtContent>
  </w:sdt>
  <w:p w14:paraId="0000004F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70"/>
      </w:pPr>
      <w:rPr>
        <w:rFonts w:ascii="Helvetica Neue" w:cs="Helvetica Neue" w:eastAsia="Helvetica Neue" w:hAnsi="Helvetica Neu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540" w:hanging="270"/>
      </w:pPr>
      <w:rPr>
        <w:rFonts w:ascii="Helvetica Neue" w:cs="Helvetica Neue" w:eastAsia="Helvetica Neue" w:hAnsi="Helvetica Neu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abstractNum w:abstractNumId="3">
    <w:multiLevelType w:val="singleLevel"/>
    <w:lvl w:ilvl="0">
      <w:start w:val="1"/>
      <w:numFmt w:val="bullet"/>
      <w:lvlText w:val="•"/>
      <w:pPr>
        <w:ind w:left="540" w:hanging="240"/>
      </w:pPr>
    </w:lvl>
  </w:abstract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sz w:val="22"/>
        <w:szCs w:val="22"/>
        <w:lang w:val="en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360" w:lineRule="auto"/>
    </w:pPr>
    <w:rPr>
      <w:rFonts w:ascii="Helvetica Neue" w:cs="Helvetica Neue" w:eastAsia="Helvetica Neue" w:hAnsi="Helvetica Neue"/>
      <w:b w:val="0"/>
      <w:bCs w:val="0"/>
      <w:color w:val="000000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80" w:lineRule="auto"/>
    </w:pPr>
    <w:rPr>
      <w:rFonts w:ascii="Helvetica Neue" w:cs="Helvetica Neue" w:eastAsia="Helvetica Neue" w:hAnsi="Helvetica Neue"/>
      <w:b w:val="0"/>
      <w:bCs w:val="0"/>
      <w:color w:val="000000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00" w:lineRule="auto"/>
    </w:pPr>
    <w:rPr>
      <w:rFonts w:ascii="Helvetica Neue" w:cs="Helvetica Neue" w:eastAsia="Helvetica Neue" w:hAnsi="Helvetica Neue"/>
      <w:b w:val="1"/>
      <w:bCs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100" w:line="278.00000000000006" w:lineRule="auto"/>
    </w:pPr>
    <w:rPr>
      <w:b w:val="1"/>
      <w:bCs w:val="1"/>
      <w:sz w:val="80"/>
      <w:szCs w:val="80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footer" Target="footer2.xml"/><Relationship Id="rId6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ТЗ дизайнеру — десктопная версия ALEX² для врачей</dc:title>
  <cp:lastModifiedBy>python-docx</cp:lastModifiedBy>
  <cp:revision>1</cp:revision>
  <dcterms:modified xsi:type="dcterms:W3CDTF">2026-07-29T10:11:34Z</dcterms:modified>
  <dc:subject>Крупные структурные и визуальные расхождения с согласованной пациентской версией</dc:subject>
  <dc:creator>Команда проекта</dc:creator>
</cp:coreProperties>
</file>