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60"/>
      </w:pPr>
      <w:r>
        <w:rPr>
          <w:rFonts w:ascii="MS ゴシック" w:hAnsi="MS ゴシック" w:eastAsia="MS ゴシック"/>
          <w:sz w:val="30"/>
        </w:rPr>
        <w:t>統合失調症の心理教育資料（本人用）／章立て案A（6章）</w:t>
      </w:r>
    </w:p>
    <w:p>
      <w:pPr>
        <w:widowControl/>
        <w:spacing w:after="160"/>
      </w:pPr>
      <w:r>
        <w:rPr>
          <w:rFonts w:ascii="MS ゴシック" w:hAnsi="MS ゴシック" w:eastAsia="MS ゴシック"/>
          <w:sz w:val="23"/>
        </w:rPr>
        <w:t>【架空資料】事例02／佐藤 恵子 様（仮）向け／再発予防と生活再建の整理</w:t>
      </w:r>
    </w:p>
    <w:p>
      <w:pPr>
        <w:widowControl/>
        <w:spacing w:after="160"/>
      </w:pPr>
      <w:r>
        <w:rPr>
          <w:rFonts w:ascii="MS ゴシック" w:hAnsi="MS ゴシック" w:eastAsia="MS ゴシック"/>
          <w:sz w:val="21"/>
        </w:rPr>
        <w:t>2026年5月6日作成（あくまで教育用モデルであり実在しない症例です）</w:t>
      </w:r>
    </w:p>
    <w:p/>
    <w:p>
      <w:pPr>
        <w:keepNext/>
        <w:widowControl/>
        <w:spacing w:before="320" w:after="200"/>
        <w:pBdr>
          <w:bottom w:val="single" w:sz="6" w:space="3" w:color="B0B0B0"/>
        </w:pBdr>
      </w:pPr>
      <w:r>
        <w:rPr>
          <w:rFonts w:ascii="MS ゴシック" w:hAnsi="MS ゴシック" w:eastAsia="MS ゴシック"/>
          <w:b/>
          <w:sz w:val="26"/>
        </w:rPr>
        <w:t>① 統合失調症とは（症状・経過・よくある誤解）</w:t>
      </w:r>
    </w:p>
    <w:p>
      <w:pPr>
        <w:widowControl/>
        <w:spacing w:lineRule="auto" w:line="324" w:after="120"/>
      </w:pPr>
      <w:r>
        <w:rPr>
          <w:rFonts w:ascii="MS ゴシック" w:hAnsi="MS ゴシック" w:eastAsia="MS ゴシック"/>
          <w:b w:val="0"/>
          <w:sz w:val="22"/>
        </w:rPr>
        <w:t>統合失調症は、「考え方」「感じ方」「見え方・聞こえ方」「行動」などが、普段の自分に比べてつながりにくくなる病気として理解されています。診断名は医療者が症状の整理のために用いるもので、一人ひとりの体験とは必ずしもぴったり重ならないことがあります。</w:t>
      </w:r>
    </w:p>
    <w:p>
      <w:pPr>
        <w:keepNext/>
        <w:widowControl/>
        <w:spacing w:before="280" w:after="160"/>
      </w:pPr>
      <w:r>
        <w:rPr>
          <w:rFonts w:ascii="MS ゴシック" w:hAnsi="MS ゴシック" w:eastAsia="MS ゴシック"/>
          <w:b/>
          <w:sz w:val="24"/>
        </w:rPr>
        <w:t>症状のわかりやすい整理（一例）</w:t>
      </w:r>
    </w:p>
    <w:p>
      <w:pPr>
        <w:widowControl/>
        <w:spacing w:lineRule="auto" w:line="324" w:after="80"/>
      </w:pPr>
      <w:r>
        <w:rPr>
          <w:rFonts w:ascii="MS ゴシック" w:hAnsi="MS ゴシック" w:eastAsia="MS ゴシック"/>
          <w:b/>
          <w:sz w:val="21"/>
        </w:rPr>
        <w:t>すべての人に同じ組み合わせがあるわけではありません。気になる点をチェックする目安として使ってください。</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側面</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本人にこう感じられやすい例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陽性症状</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幻聴／被害感／根拠が少ない確信（妄想）など</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陰性症状</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やる気や興味が出にくい、表情が乏しい、社会的に引きこもりやすいなど</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解体症状</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考えが散らばる、言葉が空を飛ぶような印象、体が不自由に感じるなど</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気分・不安</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落ち込み、焦燥、眠れなさ（別診断や併存もあり）</w:t>
            </w:r>
          </w:p>
        </w:tc>
      </w:tr>
    </w:tbl>
    <w:p>
      <w:pPr>
        <w:spacing w:after="200"/>
      </w:pPr>
    </w:p>
    <w:p>
      <w:pPr>
        <w:keepNext/>
        <w:widowControl/>
        <w:spacing w:before="280" w:after="160"/>
      </w:pPr>
      <w:r>
        <w:rPr>
          <w:rFonts w:ascii="MS ゴシック" w:hAnsi="MS ゴシック" w:eastAsia="MS ゴシック"/>
          <w:b/>
          <w:sz w:val="24"/>
        </w:rPr>
        <w:t>経過のイメージ（一般論）</w:t>
      </w:r>
    </w:p>
    <w:p>
      <w:pPr>
        <w:pStyle w:val="ListBullet"/>
        <w:widowControl/>
        <w:spacing w:after="120" w:lineRule="auto" w:line="324"/>
        <w:ind w:left="360" w:hanging="120"/>
      </w:pPr>
      <w:r>
        <w:rPr>
          <w:rFonts w:ascii="MS ゴシック" w:hAnsi="MS ゴシック" w:eastAsia="MS ゴシック"/>
          <w:sz w:val="22"/>
        </w:rPr>
        <w:t>よく「波」があります。症状が強い時期と、比較的落ち着いた時期がありうる。</w:t>
      </w:r>
    </w:p>
    <w:p>
      <w:pPr>
        <w:pStyle w:val="ListBullet"/>
        <w:widowControl/>
        <w:spacing w:after="120" w:lineRule="auto" w:line="324"/>
        <w:ind w:left="360" w:hanging="120"/>
      </w:pPr>
      <w:r>
        <w:rPr>
          <w:rFonts w:ascii="MS ゴシック" w:hAnsi="MS ゴシック" w:eastAsia="MS ゴシック"/>
          <w:sz w:val="22"/>
        </w:rPr>
        <w:t>再発はありうる病気として捉え、早めの受診や生活調整で傷を小さくすることが大切、と説明されることが多い。</w:t>
      </w:r>
    </w:p>
    <w:p>
      <w:pPr>
        <w:pStyle w:val="ListBullet"/>
        <w:widowControl/>
        <w:spacing w:after="120" w:lineRule="auto" w:line="324"/>
        <w:ind w:left="360" w:hanging="120"/>
      </w:pPr>
      <w:r>
        <w:rPr>
          <w:rFonts w:ascii="MS ゴシック" w:hAnsi="MS ゴシック" w:eastAsia="MS ゴシック"/>
          <w:sz w:val="22"/>
        </w:rPr>
        <w:t>回復の形は人それぞれ（学業・就労・趣味・地域参加など、目標は本人と相談して決める）。</w:t>
      </w:r>
    </w:p>
    <w:p>
      <w:pPr>
        <w:keepNext/>
        <w:widowControl/>
        <w:spacing w:before="280" w:after="160"/>
      </w:pPr>
      <w:r>
        <w:rPr>
          <w:rFonts w:ascii="MS ゴシック" w:hAnsi="MS ゴシック" w:eastAsia="MS ゴシック"/>
          <w:b/>
          <w:sz w:val="24"/>
        </w:rPr>
        <w:t>よくある誤解と、医療側の整理（一般論）</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誤解されやすい言い方</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医療的に言い換えると（例）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気合が足りないだけ</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努力不足では説明しきれず、脳機能・ストレス・環境などが関わる病気として治療対象になることがある</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性格の問題</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性格と症状は混同されやすい。切り分けは専門の面接で進める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危険な人が多い（偏見）</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大多数は自傷や孤立のリスクへの配慮が中心。危険評価は個別に行う</w:t>
            </w:r>
          </w:p>
        </w:tc>
      </w:tr>
    </w:tbl>
    <w:p>
      <w:pPr>
        <w:spacing w:after="200"/>
      </w:pPr>
    </w:p>
    <w:p>
      <w:pPr>
        <w:keepNext/>
        <w:widowControl/>
        <w:spacing w:before="280" w:after="160"/>
      </w:pPr>
      <w:r>
        <w:rPr>
          <w:rFonts w:ascii="MS ゴシック" w:hAnsi="MS ゴシック" w:eastAsia="MS ゴシック"/>
          <w:b/>
          <w:sz w:val="24"/>
        </w:rPr>
        <w:t>この症例の症状の整理（主治医が記入）</w:t>
      </w:r>
    </w:p>
    <w:p>
      <w:pPr>
        <w:widowControl/>
        <w:spacing w:lineRule="auto" w:line="324" w:after="120"/>
      </w:pPr>
      <w:r>
        <w:rPr>
          <w:rFonts w:ascii="MS ゴシック" w:hAnsi="MS ゴシック" w:eastAsia="MS ゴシック"/>
          <w:b w:val="0"/>
          <w:sz w:val="22"/>
        </w:rPr>
        <w:t>長期の統合失調症に加え、職場の配置転換がストレス。幻聴・被害体験の波は比較的小型だが、不眠で悪化しやすいと本人も自覚。</w:t>
      </w:r>
    </w:p>
    <w:p>
      <w:r>
        <w:br w:type="page"/>
      </w:r>
    </w:p>
    <w:p>
      <w:pPr>
        <w:keepNext/>
        <w:widowControl/>
        <w:spacing w:before="320" w:after="200"/>
        <w:pBdr>
          <w:bottom w:val="single" w:sz="6" w:space="3" w:color="B0B0B0"/>
        </w:pBdr>
      </w:pPr>
      <w:r>
        <w:rPr>
          <w:rFonts w:ascii="MS ゴシック" w:hAnsi="MS ゴシック" w:eastAsia="MS ゴシック"/>
          <w:b/>
          <w:sz w:val="26"/>
        </w:rPr>
        <w:t>② 原因としくみ（医学的にわかっていること／いまだ限界があること）</w:t>
      </w:r>
    </w:p>
    <w:p>
      <w:pPr>
        <w:keepNext/>
        <w:widowControl/>
        <w:spacing w:before="280" w:after="160"/>
      </w:pPr>
      <w:r>
        <w:rPr>
          <w:rFonts w:ascii="MS ゴシック" w:hAnsi="MS ゴシック" w:eastAsia="MS ゴシック"/>
          <w:b/>
          <w:sz w:val="24"/>
        </w:rPr>
        <w:t>多くの研究で示唆されていること（例）</w:t>
      </w:r>
    </w:p>
    <w:p>
      <w:pPr>
        <w:pStyle w:val="ListBullet"/>
        <w:widowControl/>
        <w:spacing w:after="120" w:lineRule="auto" w:line="324"/>
        <w:ind w:left="360" w:hanging="120"/>
      </w:pPr>
      <w:r>
        <w:rPr>
          <w:rFonts w:ascii="MS ゴシック" w:hAnsi="MS ゴシック" w:eastAsia="MS ゴシック"/>
          <w:sz w:val="22"/>
        </w:rPr>
        <w:t>遺伝的素因が関与しやすい（家系リスクの話は「確定」ではなく確率の話）。</w:t>
      </w:r>
    </w:p>
    <w:p>
      <w:pPr>
        <w:pStyle w:val="ListBullet"/>
        <w:widowControl/>
        <w:spacing w:after="120" w:lineRule="auto" w:line="324"/>
        <w:ind w:left="360" w:hanging="120"/>
      </w:pPr>
      <w:r>
        <w:rPr>
          <w:rFonts w:ascii="MS ゴシック" w:hAnsi="MS ゴシック" w:eastAsia="MS ゴシック"/>
          <w:sz w:val="22"/>
        </w:rPr>
        <w:t>胎児期・周産期の要因、幼少期〜青年期の発達・環境、成人後のストレスが「重なり」やすいという整理。</w:t>
      </w:r>
    </w:p>
    <w:p>
      <w:pPr>
        <w:pStyle w:val="ListBullet"/>
        <w:widowControl/>
        <w:spacing w:after="120" w:lineRule="auto" w:line="324"/>
        <w:ind w:left="360" w:hanging="120"/>
      </w:pPr>
      <w:r>
        <w:rPr>
          <w:rFonts w:ascii="MS ゴシック" w:hAnsi="MS ゴシック" w:eastAsia="MS ゴシック"/>
          <w:sz w:val="22"/>
        </w:rPr>
        <w:t>脳内の情報伝達（ドパミンなど）や脳ネットワークの偏りが関与しうるというモデル。</w:t>
      </w:r>
    </w:p>
    <w:p>
      <w:pPr>
        <w:keepNext/>
        <w:widowControl/>
        <w:spacing w:before="280" w:after="160"/>
      </w:pPr>
      <w:r>
        <w:rPr>
          <w:rFonts w:ascii="MS ゴシック" w:hAnsi="MS ゴシック" w:eastAsia="MS ゴシック"/>
          <w:b/>
          <w:sz w:val="24"/>
        </w:rPr>
        <w:t>いまだ議論・研究が続いていること／個人に断定しにくいこと</w:t>
      </w:r>
    </w:p>
    <w:p>
      <w:pPr>
        <w:pStyle w:val="ListBullet"/>
        <w:widowControl/>
        <w:spacing w:after="120" w:lineRule="auto" w:line="324"/>
        <w:ind w:left="360" w:hanging="120"/>
      </w:pPr>
      <w:r>
        <w:rPr>
          <w:rFonts w:ascii="MS ゴシック" w:hAnsi="MS ゴシック" w:eastAsia="MS ゴシック"/>
          <w:sz w:val="22"/>
        </w:rPr>
        <w:t>「この一つの原因だけ」と誰にでも当てはめて説明することは難しい。</w:t>
      </w:r>
    </w:p>
    <w:p>
      <w:pPr>
        <w:pStyle w:val="ListBullet"/>
        <w:widowControl/>
        <w:spacing w:after="120" w:lineRule="auto" w:line="324"/>
        <w:ind w:left="360" w:hanging="120"/>
      </w:pPr>
      <w:r>
        <w:rPr>
          <w:rFonts w:ascii="MS ゴシック" w:hAnsi="MS ゴシック" w:eastAsia="MS ゴシック"/>
          <w:sz w:val="22"/>
        </w:rPr>
        <w:t>予後（将来の働き方や症状の波）を長期に正確に当てにいくことは難しく、治療反応には個人差がある。</w:t>
      </w:r>
    </w:p>
    <w:p>
      <w:pPr>
        <w:pStyle w:val="ListBullet"/>
        <w:widowControl/>
        <w:spacing w:after="120" w:lineRule="auto" w:line="324"/>
        <w:ind w:left="360" w:hanging="120"/>
      </w:pPr>
      <w:r>
        <w:rPr>
          <w:rFonts w:ascii="MS ゴシック" w:hAnsi="MS ゴシック" w:eastAsia="MS ゴシック"/>
          <w:sz w:val="22"/>
        </w:rPr>
        <w:t>ストレスと脆弱性の関係は、あなたを責めるためではなく「再発予防の手がかり」として使うことが多い。</w:t>
      </w:r>
    </w:p>
    <w:p>
      <w:pPr>
        <w:widowControl/>
        <w:spacing w:lineRule="auto" w:line="324" w:after="120"/>
      </w:pPr>
      <w:r>
        <w:rPr>
          <w:rFonts w:ascii="MS ゴシック" w:hAnsi="MS ゴシック" w:eastAsia="MS ゴシック"/>
          <w:b w:val="0"/>
          <w:sz w:val="22"/>
        </w:rPr>
        <w:t>架空クリニック（デモ）心療内科・精神科では、説明できる範囲と、いまだ不確実な点を分けて共有します。</w:t>
      </w:r>
    </w:p>
    <w:p>
      <w:pPr>
        <w:keepNext/>
        <w:widowControl/>
        <w:spacing w:before="280" w:after="160"/>
      </w:pPr>
      <w:r>
        <w:rPr>
          <w:rFonts w:ascii="MS ゴシック" w:hAnsi="MS ゴシック" w:eastAsia="MS ゴシック"/>
          <w:b/>
          <w:sz w:val="24"/>
        </w:rPr>
        <w:t>この症例で説明できること（主治医が記入・更新）</w:t>
      </w:r>
    </w:p>
    <w:p>
      <w:pPr>
        <w:widowControl/>
        <w:spacing w:lineRule="auto" w:line="324" w:after="120"/>
      </w:pPr>
      <w:r>
        <w:rPr>
          <w:rFonts w:ascii="MS ゴシック" w:hAnsi="MS ゴシック" w:eastAsia="MS ゴシック"/>
          <w:b w:val="0"/>
          <w:sz w:val="22"/>
        </w:rPr>
        <w:t>20代後半から幻聴と被害体験を主訴に発症し、以後は外来加療を継続。40代以降は症状は比較的安定域に近いが、睡眠不足や職場ストレスで波が出やすいと本人も自覚している。診断名は統合失調症として治療方針は一貫しており、最近は生活事件（職場の配置転換）がストレッサーになっている。</w:t>
      </w:r>
    </w:p>
    <w:p>
      <w:pPr>
        <w:widowControl/>
        <w:spacing w:lineRule="auto" w:line="324" w:after="120"/>
      </w:pPr>
      <w:r>
        <w:rPr>
          <w:rFonts w:ascii="MS ゴシック" w:hAnsi="MS ゴシック" w:eastAsia="MS ゴシック"/>
          <w:b w:val="0"/>
          <w:sz w:val="22"/>
        </w:rPr>
        <w:t>医学的には、再発予防には「睡眠・服薬・ストレス管理」の三点セットが重要と説明している。</w:t>
      </w:r>
    </w:p>
    <w:p>
      <w:pPr>
        <w:keepNext/>
        <w:widowControl/>
        <w:spacing w:before="280" w:after="160"/>
      </w:pPr>
      <w:r>
        <w:rPr>
          <w:rFonts w:ascii="MS ゴシック" w:hAnsi="MS ゴシック" w:eastAsia="MS ゴシック"/>
          <w:b/>
          <w:sz w:val="24"/>
        </w:rPr>
        <w:t>この症例で、いま十分には説明が難しい／検討中のこと（主治医が記入）</w:t>
      </w:r>
    </w:p>
    <w:p>
      <w:pPr>
        <w:widowControl/>
        <w:spacing w:lineRule="auto" w:line="324" w:after="120"/>
      </w:pPr>
      <w:r>
        <w:rPr>
          <w:rFonts w:ascii="MS ゴシック" w:hAnsi="MS ゴシック" w:eastAsia="MS ゴシック"/>
          <w:b w:val="0"/>
          <w:sz w:val="22"/>
        </w:rPr>
        <w:t>完全無症状をいつまでも保証することはできない。職場での合理的配慮の範囲は個別事情と制度で変わるため、一般論だけでは足りない場面がある。</w:t>
      </w:r>
    </w:p>
    <w:p>
      <w:r>
        <w:br w:type="page"/>
      </w:r>
    </w:p>
    <w:p>
      <w:pPr>
        <w:keepNext/>
        <w:widowControl/>
        <w:spacing w:before="320" w:after="200"/>
        <w:pBdr>
          <w:bottom w:val="single" w:sz="6" w:space="3" w:color="B0B0B0"/>
        </w:pBdr>
      </w:pPr>
      <w:r>
        <w:rPr>
          <w:rFonts w:ascii="MS ゴシック" w:hAnsi="MS ゴシック" w:eastAsia="MS ゴシック"/>
          <w:b/>
          <w:sz w:val="26"/>
        </w:rPr>
        <w:t>③ 治療の全体像と目標（回復・機能・短期／長期）</w:t>
      </w:r>
    </w:p>
    <w:p>
      <w:pPr>
        <w:widowControl/>
        <w:spacing w:lineRule="auto" w:line="324" w:after="120"/>
      </w:pPr>
      <w:r>
        <w:rPr>
          <w:rFonts w:ascii="MS ゴシック" w:hAnsi="MS ゴシック" w:eastAsia="MS ゴシック"/>
          <w:b w:val="0"/>
          <w:sz w:val="22"/>
        </w:rPr>
        <w:t>治療は「症状を下げる」だけでなく、「あなたの生活の土台（睡眠、食事、対人、役割、目標）」を取り戻す方向で計画されることが多いです。薬物療法と非薬物療法は、目的が違うことがあり、組み合わせて考えます。</w:t>
      </w:r>
    </w:p>
    <w:p>
      <w:pPr>
        <w:keepNext/>
        <w:widowControl/>
        <w:spacing w:before="280" w:after="160"/>
      </w:pPr>
      <w:r>
        <w:rPr>
          <w:rFonts w:ascii="MS ゴシック" w:hAnsi="MS ゴシック" w:eastAsia="MS ゴシック"/>
          <w:b/>
          <w:sz w:val="24"/>
        </w:rPr>
        <w:t>バイオ（身体）・サイコ（心理）・ソーシャル（社会）の整理（例）</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領域</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治療でよく扱うこと（例）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バイオ</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抗精神病薬を中心とした薬物療法、身体合併症の管理、睡眠リズム</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サイコ</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心理教育、認知的な対処、不安・うつへの支援（併存時）</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ソーシャル</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通院、デイケア、就労支援、家族との関わり方、地域資源</w:t>
            </w:r>
          </w:p>
        </w:tc>
      </w:tr>
    </w:tbl>
    <w:p>
      <w:pPr>
        <w:spacing w:after="200"/>
      </w:pPr>
    </w:p>
    <w:p>
      <w:pPr>
        <w:keepNext/>
        <w:widowControl/>
        <w:spacing w:before="280" w:after="160"/>
      </w:pPr>
      <w:r>
        <w:rPr>
          <w:rFonts w:ascii="MS ゴシック" w:hAnsi="MS ゴシック" w:eastAsia="MS ゴシック"/>
          <w:b/>
          <w:sz w:val="24"/>
        </w:rPr>
        <w:t>典型的に「短期」と「長期」で分けて話すテーマ</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区分</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テーマ（例）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短期（数週〜数か月）</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症状の安定、副作用調整、通院の習慣化、睡眠、早期警告サインの言語化</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長期（数か月〜年）</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再発予防、服薬と生活の両立、学校・仕事・地域参加の段階的再開、目標の更新</w:t>
            </w:r>
          </w:p>
        </w:tc>
      </w:tr>
    </w:tbl>
    <w:p>
      <w:pPr>
        <w:spacing w:after="200"/>
      </w:pPr>
    </w:p>
    <w:p>
      <w:pPr>
        <w:keepNext/>
        <w:widowControl/>
        <w:spacing w:before="280" w:after="160"/>
      </w:pPr>
      <w:r>
        <w:rPr>
          <w:rFonts w:ascii="MS ゴシック" w:hAnsi="MS ゴシック" w:eastAsia="MS ゴシック"/>
          <w:b/>
          <w:sz w:val="24"/>
        </w:rPr>
        <w:t>この症例の短期の方向性（主治医が記入）</w:t>
      </w:r>
    </w:p>
    <w:p>
      <w:pPr>
        <w:widowControl/>
        <w:spacing w:lineRule="auto" w:line="324" w:after="120"/>
      </w:pPr>
      <w:r>
        <w:rPr>
          <w:rFonts w:ascii="MS ゴシック" w:hAnsi="MS ゴシック" w:eastAsia="MS ゴシック"/>
          <w:b w:val="0"/>
          <w:sz w:val="22"/>
        </w:rPr>
        <w:t>職場ストレスに合わせた睡眠の安定化。抗精神病薬は現行のまま維持しつつ、副作用（体重・脂質）のモニタリングを年1回の健診タイミングで整理。夜勤の可否は医師と人事（必要なら産業医）と連携して判断。</w:t>
      </w:r>
    </w:p>
    <w:p>
      <w:pPr>
        <w:widowControl/>
        <w:spacing w:lineRule="auto" w:line="324" w:after="120"/>
      </w:pPr>
      <w:r>
        <w:rPr>
          <w:rFonts w:ascii="MS ゴシック" w:hAnsi="MS ゴシック" w:eastAsia="MS ゴシック"/>
          <w:b w:val="0"/>
          <w:sz w:val="22"/>
        </w:rPr>
        <w:t>次回: 早期警告サインのリストを本人言葉で3つ書き出す。</w:t>
      </w:r>
    </w:p>
    <w:p>
      <w:pPr>
        <w:keepNext/>
        <w:widowControl/>
        <w:spacing w:before="280" w:after="160"/>
      </w:pPr>
      <w:r>
        <w:rPr>
          <w:rFonts w:ascii="MS ゴシック" w:hAnsi="MS ゴシック" w:eastAsia="MS ゴシック"/>
          <w:b/>
          <w:sz w:val="24"/>
        </w:rPr>
        <w:t>この症例の長期の方向性（主治医が記入）</w:t>
      </w:r>
    </w:p>
    <w:p>
      <w:pPr>
        <w:widowControl/>
        <w:spacing w:lineRule="auto" w:line="324" w:after="120"/>
      </w:pPr>
      <w:r>
        <w:rPr>
          <w:rFonts w:ascii="MS ゴシック" w:hAnsi="MS ゴシック" w:eastAsia="MS ゴシック"/>
          <w:b w:val="0"/>
          <w:sz w:val="22"/>
        </w:rPr>
        <w:t>就労を継続しつつ、孤立を減らす（地域デイ・趣味のサークル等）。家族は過干渉にならない距離感を保つ（別紙：家族向け説明で補足可能）。再発兆候が出たら「休む・減らす・早めに受診」の三段階で計画化する。</w:t>
      </w:r>
    </w:p>
    <w:p>
      <w:r>
        <w:br w:type="page"/>
      </w:r>
    </w:p>
    <w:p>
      <w:pPr>
        <w:keepNext/>
        <w:widowControl/>
        <w:spacing w:before="320" w:after="200"/>
        <w:pBdr>
          <w:bottom w:val="single" w:sz="6" w:space="3" w:color="B0B0B0"/>
        </w:pBdr>
      </w:pPr>
      <w:r>
        <w:rPr>
          <w:rFonts w:ascii="MS ゴシック" w:hAnsi="MS ゴシック" w:eastAsia="MS ゴシック"/>
          <w:b/>
          <w:sz w:val="26"/>
        </w:rPr>
        <w:t>④ 薬物療法（役割・続け方・副作用・相談の目安）</w:t>
      </w:r>
    </w:p>
    <w:p>
      <w:pPr>
        <w:keepNext/>
        <w:widowControl/>
        <w:spacing w:before="280" w:after="160"/>
      </w:pPr>
      <w:r>
        <w:rPr>
          <w:rFonts w:ascii="MS ゴシック" w:hAnsi="MS ゴシック" w:eastAsia="MS ゴシック"/>
          <w:b/>
          <w:sz w:val="24"/>
        </w:rPr>
        <w:t>薬が担うこと（一般論）</w:t>
      </w:r>
    </w:p>
    <w:p>
      <w:pPr>
        <w:pStyle w:val="ListBullet"/>
        <w:widowControl/>
        <w:spacing w:after="120" w:lineRule="auto" w:line="324"/>
        <w:ind w:left="360" w:hanging="120"/>
      </w:pPr>
      <w:r>
        <w:rPr>
          <w:rFonts w:ascii="MS ゴシック" w:hAnsi="MS ゴシック" w:eastAsia="MS ゴシック"/>
          <w:sz w:val="22"/>
        </w:rPr>
        <w:t>幻聴・妄想などの陽性症状や、興奮・不安の軽減に使われることが多い。</w:t>
      </w:r>
    </w:p>
    <w:p>
      <w:pPr>
        <w:pStyle w:val="ListBullet"/>
        <w:widowControl/>
        <w:spacing w:after="120" w:lineRule="auto" w:line="324"/>
        <w:ind w:left="360" w:hanging="120"/>
      </w:pPr>
      <w:r>
        <w:rPr>
          <w:rFonts w:ascii="MS ゴシック" w:hAnsi="MS ゴシック" w:eastAsia="MS ゴシック"/>
          <w:sz w:val="22"/>
        </w:rPr>
        <w:t>「すぐ性格が変わる薬」ではなく、脳内の過剰な信号を整えやすくするイメージで説明されることがある。</w:t>
      </w:r>
    </w:p>
    <w:p>
      <w:pPr>
        <w:pStyle w:val="ListBullet"/>
        <w:widowControl/>
        <w:spacing w:after="120" w:lineRule="auto" w:line="324"/>
        <w:ind w:left="360" w:hanging="120"/>
      </w:pPr>
      <w:r>
        <w:rPr>
          <w:rFonts w:ascii="MS ゴシック" w:hAnsi="MS ゴシック" w:eastAsia="MS ゴシック"/>
          <w:sz w:val="22"/>
        </w:rPr>
        <w:t>効き方と副作用のバランスは個人差が大きく、量や種類の調整が普通に行われる。</w:t>
      </w:r>
    </w:p>
    <w:p>
      <w:pPr>
        <w:keepNext/>
        <w:widowControl/>
        <w:spacing w:before="280" w:after="160"/>
      </w:pPr>
      <w:r>
        <w:rPr>
          <w:rFonts w:ascii="MS ゴシック" w:hAnsi="MS ゴシック" w:eastAsia="MS ゴシック"/>
          <w:b/>
          <w:sz w:val="24"/>
        </w:rPr>
        <w:t>本人が知っておくとよいチェック（例）</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テーマ</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内容</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飲み方</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勝手に中断・急減は再発リスクが上がりやすい。調整は医師に相談</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副作用</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眠気、体重、座っていられない感じ、不随意運動、内分泌など。早め相談</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他院・市販薬</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飲み合わせは必ず伝える</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妊娠・授乳</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希望があれば必ず事前相談</w:t>
            </w:r>
          </w:p>
        </w:tc>
      </w:tr>
    </w:tbl>
    <w:p>
      <w:pPr>
        <w:spacing w:after="200"/>
      </w:pPr>
    </w:p>
    <w:p>
      <w:pPr>
        <w:keepNext/>
        <w:widowControl/>
        <w:spacing w:before="280" w:after="160"/>
      </w:pPr>
      <w:r>
        <w:rPr>
          <w:rFonts w:ascii="MS ゴシック" w:hAnsi="MS ゴシック" w:eastAsia="MS ゴシック"/>
          <w:b/>
          <w:sz w:val="24"/>
        </w:rPr>
        <w:t>この症例の薬物療法（一般名・方針：主治医が記入）</w:t>
      </w:r>
    </w:p>
    <w:p>
      <w:pPr>
        <w:widowControl/>
        <w:spacing w:lineRule="auto" w:line="324" w:after="120"/>
      </w:pPr>
      <w:r>
        <w:rPr>
          <w:rFonts w:ascii="MS ゴシック" w:hAnsi="MS ゴシック" w:eastAsia="MS ゴシック"/>
          <w:b w:val="0"/>
          <w:sz w:val="22"/>
        </w:rPr>
        <w:t>【モデル記載／実処方ではない】一般名「オランザピン」就寝前 10mg 例。併用で睡眠導入が必要な期間は短期のみ検討（ベンゾ系は依存性の説明を受けた上で）。代謝（血糖・脂質・体重）モニタリングの予定を共有。</w:t>
      </w:r>
    </w:p>
    <w:p>
      <w:pPr>
        <w:widowControl/>
        <w:spacing w:lineRule="auto" w:line="324" w:after="120"/>
      </w:pPr>
      <w:r>
        <w:rPr>
          <w:rFonts w:ascii="MS ゴシック" w:hAnsi="MS ゴシック" w:eastAsia="MS ゴシック"/>
          <w:b w:val="0"/>
          <w:sz w:val="22"/>
        </w:rPr>
        <w:t>他科受診・サプリメントは必ず持参。</w:t>
      </w:r>
    </w:p>
    <w:p>
      <w:r>
        <w:br w:type="page"/>
      </w:r>
    </w:p>
    <w:p>
      <w:pPr>
        <w:keepNext/>
        <w:widowControl/>
        <w:spacing w:before="320" w:after="200"/>
        <w:pBdr>
          <w:bottom w:val="single" w:sz="6" w:space="3" w:color="B0B0B0"/>
        </w:pBdr>
      </w:pPr>
      <w:r>
        <w:rPr>
          <w:rFonts w:ascii="MS ゴシック" w:hAnsi="MS ゴシック" w:eastAsia="MS ゴシック"/>
          <w:b/>
          <w:sz w:val="26"/>
        </w:rPr>
        <w:t>⑤ 薬以外（心理社会的支援・生活・家族の関わり方）</w:t>
      </w:r>
    </w:p>
    <w:p>
      <w:pPr>
        <w:keepNext/>
        <w:widowControl/>
        <w:spacing w:before="280" w:after="160"/>
      </w:pPr>
      <w:r>
        <w:rPr>
          <w:rFonts w:ascii="MS ゴシック" w:hAnsi="MS ゴシック" w:eastAsia="MS ゴシック"/>
          <w:b/>
          <w:sz w:val="24"/>
        </w:rPr>
        <w:t>よく議論になる非薬物の選択肢（適応は個別）</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種類</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ねらい（例）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心理教育</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病気の理解と、自分で対処するヒントを増やす</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認知行動的支援</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幻聴・不安・妄想への対処や、活動計画など</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就労・就学支援</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段階的に役割へ戻るための調整（地域・制度と連携）</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デイケア／ピア支援</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孤立を減らし、日常生活の練習場になることがある</w:t>
            </w:r>
          </w:p>
        </w:tc>
      </w:tr>
    </w:tbl>
    <w:p>
      <w:pPr>
        <w:spacing w:after="200"/>
      </w:pPr>
    </w:p>
    <w:p>
      <w:pPr>
        <w:keepNext/>
        <w:widowControl/>
        <w:spacing w:before="280" w:after="160"/>
      </w:pPr>
      <w:r>
        <w:rPr>
          <w:rFonts w:ascii="MS ゴシック" w:hAnsi="MS ゴシック" w:eastAsia="MS ゴシック"/>
          <w:b/>
          <w:sz w:val="24"/>
        </w:rPr>
        <w:t>生活のセルフケア（一例）</w:t>
      </w:r>
    </w:p>
    <w:p>
      <w:pPr>
        <w:pStyle w:val="ListBullet"/>
        <w:widowControl/>
        <w:spacing w:after="120" w:lineRule="auto" w:line="324"/>
        <w:ind w:left="360" w:hanging="120"/>
      </w:pPr>
      <w:r>
        <w:rPr>
          <w:rFonts w:ascii="MS ゴシック" w:hAnsi="MS ゴシック" w:eastAsia="MS ゴシック"/>
          <w:sz w:val="22"/>
        </w:rPr>
        <w:t>睡眠のリズム、カフェイン・飲酒、運動や散歩の量を定期的に確認。</w:t>
      </w:r>
    </w:p>
    <w:p>
      <w:pPr>
        <w:pStyle w:val="ListBullet"/>
        <w:widowControl/>
        <w:spacing w:after="120" w:lineRule="auto" w:line="324"/>
        <w:ind w:left="360" w:hanging="120"/>
      </w:pPr>
      <w:r>
        <w:rPr>
          <w:rFonts w:ascii="MS ゴシック" w:hAnsi="MS ゴシック" w:eastAsia="MS ゴシック"/>
          <w:sz w:val="22"/>
        </w:rPr>
        <w:t>ストレスイベント（人間関係・締切）は「予兆」をメモすると再発対策になりやすい。</w:t>
      </w:r>
    </w:p>
    <w:p>
      <w:pPr>
        <w:pStyle w:val="ListBullet"/>
        <w:widowControl/>
        <w:spacing w:after="120" w:lineRule="auto" w:line="324"/>
        <w:ind w:left="360" w:hanging="120"/>
      </w:pPr>
      <w:r>
        <w:rPr>
          <w:rFonts w:ascii="MS ゴシック" w:hAnsi="MS ゴシック" w:eastAsia="MS ゴシック"/>
          <w:sz w:val="22"/>
        </w:rPr>
        <w:t>家族との距離は、主治医や支援者と一緒に調整することがある。</w:t>
      </w:r>
    </w:p>
    <w:p>
      <w:pPr>
        <w:keepNext/>
        <w:widowControl/>
        <w:spacing w:before="280" w:after="160"/>
      </w:pPr>
      <w:r>
        <w:rPr>
          <w:rFonts w:ascii="MS ゴシック" w:hAnsi="MS ゴシック" w:eastAsia="MS ゴシック"/>
          <w:b/>
          <w:sz w:val="24"/>
        </w:rPr>
        <w:t>この症例で推奨・検討中の内容（主治医が記入）</w:t>
      </w:r>
    </w:p>
    <w:p>
      <w:pPr>
        <w:widowControl/>
        <w:spacing w:lineRule="auto" w:line="324" w:after="120"/>
      </w:pPr>
      <w:r>
        <w:rPr>
          <w:rFonts w:ascii="MS ゴシック" w:hAnsi="MS ゴシック" w:eastAsia="MS ゴシック"/>
          <w:b w:val="0"/>
          <w:sz w:val="22"/>
        </w:rPr>
        <w:t>心理教育の継続、ストレス管理（呼吸法・活動スケジューリング）の紹介。職場では上司への開示の是非は本人の判断を尊重し、開示する場合は「必要な配慮」の具体例を文書化して持参する案。ピア支援の有無は地域で確認。</w:t>
      </w:r>
    </w:p>
    <w:p>
      <w:r>
        <w:br w:type="page"/>
      </w:r>
    </w:p>
    <w:p>
      <w:pPr>
        <w:keepNext/>
        <w:widowControl/>
        <w:spacing w:before="320" w:after="200"/>
        <w:pBdr>
          <w:bottom w:val="single" w:sz="6" w:space="3" w:color="B0B0B0"/>
        </w:pBdr>
      </w:pPr>
      <w:r>
        <w:rPr>
          <w:rFonts w:ascii="MS ゴシック" w:hAnsi="MS ゴシック" w:eastAsia="MS ゴシック"/>
          <w:b/>
          <w:sz w:val="26"/>
        </w:rPr>
        <w:t>⑥ 早期警告サイン・再発予防／困ったとき／利用できる支援（制度・相談先）</w:t>
      </w:r>
    </w:p>
    <w:p>
      <w:pPr>
        <w:keepNext/>
        <w:widowControl/>
        <w:spacing w:before="280" w:after="160"/>
      </w:pPr>
      <w:r>
        <w:rPr>
          <w:rFonts w:ascii="MS ゴシック" w:hAnsi="MS ゴシック" w:eastAsia="MS ゴシック"/>
          <w:b/>
          <w:sz w:val="24"/>
        </w:rPr>
        <w:t>早期警告サイン（物差しの例）</w:t>
      </w:r>
    </w:p>
    <w:p>
      <w:pPr>
        <w:widowControl/>
        <w:spacing w:lineRule="auto" w:line="324" w:after="120"/>
      </w:pPr>
      <w:r>
        <w:rPr>
          <w:rFonts w:ascii="MS ゴシック" w:hAnsi="MS ゴシック" w:eastAsia="MS ゴシック"/>
          <w:b w:val="0"/>
          <w:sz w:val="22"/>
        </w:rPr>
        <w:t>再発は「いきなり」ではなく、睡眠・意欲・疑心・刺激感受性などの変化が先に現れることがあります。あなた自身の言葉でメモしておくと役立ちます。</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分野</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サインの例（当てはまるものに丸）</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睡眠</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寝付けない／逆に眠すぎる、昼夜逆転</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気分・焦燥</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落ち着かない、いら立ちが強い</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思考・知覚</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疑心が強くなる、物音が気になりすぎる、根拠の薄い確信</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行動</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外出が難しくなる／逆に衝動的になる、SNSの使い方の変化</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生活</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食事・入浴・身だしなみの乱れ</w:t>
            </w:r>
          </w:p>
        </w:tc>
      </w:tr>
    </w:tbl>
    <w:p>
      <w:pPr>
        <w:spacing w:after="200"/>
      </w:pPr>
    </w:p>
    <w:p>
      <w:pPr>
        <w:keepNext/>
        <w:widowControl/>
        <w:spacing w:before="280" w:after="160"/>
      </w:pPr>
      <w:r>
        <w:rPr>
          <w:rFonts w:ascii="MS ゴシック" w:hAnsi="MS ゴシック" w:eastAsia="MS ゴシック"/>
          <w:b/>
          <w:sz w:val="24"/>
        </w:rPr>
        <w:t>この症例の早期警告サイン（主治医・本人で記入）</w:t>
      </w:r>
    </w:p>
    <w:p>
      <w:pPr>
        <w:widowControl/>
        <w:spacing w:lineRule="auto" w:line="324" w:after="120"/>
      </w:pPr>
      <w:r>
        <w:rPr>
          <w:rFonts w:ascii="MS ゴシック" w:hAnsi="MS ゴシック" w:eastAsia="MS ゴシック"/>
          <w:b w:val="0"/>
          <w:sz w:val="22"/>
        </w:rPr>
        <w:t>連日の不眠、幻聴の時間増、職場での疑心、残業耐性の低下。家族への無言増加。</w:t>
      </w:r>
    </w:p>
    <w:p>
      <w:pPr>
        <w:keepNext/>
        <w:widowControl/>
        <w:spacing w:before="280" w:after="160"/>
      </w:pPr>
      <w:r>
        <w:rPr>
          <w:rFonts w:ascii="MS ゴシック" w:hAnsi="MS ゴシック" w:eastAsia="MS ゴシック"/>
          <w:b/>
          <w:sz w:val="24"/>
        </w:rPr>
        <w:t>困ったとき・受診の目安（この症例：記入）</w:t>
      </w:r>
    </w:p>
    <w:p>
      <w:pPr>
        <w:widowControl/>
        <w:spacing w:lineRule="auto" w:line="324" w:after="120"/>
      </w:pPr>
      <w:r>
        <w:rPr>
          <w:rFonts w:ascii="MS ゴシック" w:hAnsi="MS ゴシック" w:eastAsia="MS ゴシック"/>
          <w:b w:val="0"/>
          <w:sz w:val="22"/>
        </w:rPr>
        <w:t>外来予約変更可。調子が急変したら休職・勤務調整も検討（産業医ルートは個別）。夜間は救急・相談へ。</w:t>
      </w:r>
    </w:p>
    <w:p>
      <w:pPr>
        <w:keepNext/>
        <w:widowControl/>
        <w:spacing w:before="280" w:after="160"/>
      </w:pPr>
      <w:r>
        <w:rPr>
          <w:rFonts w:ascii="MS ゴシック" w:hAnsi="MS ゴシック" w:eastAsia="MS ゴシック"/>
          <w:b/>
          <w:sz w:val="24"/>
        </w:rPr>
        <w:t>社会支援・制度の枠組み（一般論・例）</w:t>
      </w:r>
    </w:p>
    <w:p>
      <w:pPr>
        <w:pStyle w:val="ListBullet"/>
        <w:widowControl/>
        <w:spacing w:after="120" w:lineRule="auto" w:line="324"/>
        <w:ind w:left="360" w:hanging="120"/>
      </w:pPr>
      <w:r>
        <w:rPr>
          <w:rFonts w:ascii="MS ゴシック" w:hAnsi="MS ゴシック" w:eastAsia="MS ゴシック"/>
          <w:sz w:val="22"/>
        </w:rPr>
        <w:t>自立支援医療（精神通院医療／精神入院医療）、障害年金、精神障害者保健福祉手帳。</w:t>
      </w:r>
    </w:p>
    <w:p>
      <w:pPr>
        <w:pStyle w:val="ListBullet"/>
        <w:widowControl/>
        <w:spacing w:after="120" w:lineRule="auto" w:line="324"/>
        <w:ind w:left="360" w:hanging="120"/>
      </w:pPr>
      <w:r>
        <w:rPr>
          <w:rFonts w:ascii="MS ゴシック" w:hAnsi="MS ゴシック" w:eastAsia="MS ゴシック"/>
          <w:sz w:val="22"/>
        </w:rPr>
        <w:t>就労移行支援・継続就労支援、地域活動支援センター、生活保護（必要な場合）など。</w:t>
      </w:r>
    </w:p>
    <w:p>
      <w:pPr>
        <w:pStyle w:val="ListBullet"/>
        <w:widowControl/>
        <w:spacing w:after="120" w:lineRule="auto" w:line="324"/>
        <w:ind w:left="360" w:hanging="120"/>
      </w:pPr>
      <w:r>
        <w:rPr>
          <w:rFonts w:ascii="MS ゴシック" w:hAnsi="MS ゴシック" w:eastAsia="MS ゴシック"/>
          <w:sz w:val="22"/>
        </w:rPr>
        <w:t>制度は改正されやすく、受給要件は個別です。手続きは専門窓口（MSW、自治体）と確認してください。</w:t>
      </w:r>
    </w:p>
    <w:p>
      <w:pPr>
        <w:keepNext/>
        <w:widowControl/>
        <w:spacing w:before="280" w:after="160"/>
      </w:pPr>
      <w:r>
        <w:rPr>
          <w:rFonts w:ascii="MS ゴシック" w:hAnsi="MS ゴシック" w:eastAsia="MS ゴシック"/>
          <w:b/>
          <w:sz w:val="24"/>
        </w:rPr>
        <w:t>この症例で検討・手続き状況（記入）</w:t>
      </w:r>
    </w:p>
    <w:p>
      <w:pPr>
        <w:widowControl/>
        <w:spacing w:lineRule="auto" w:line="324" w:after="120"/>
      </w:pPr>
      <w:r>
        <w:rPr>
          <w:rFonts w:ascii="MS ゴシック" w:hAnsi="MS ゴシック" w:eastAsia="MS ゴシック"/>
          <w:b w:val="0"/>
          <w:sz w:val="22"/>
        </w:rPr>
        <w:t>【架空の手続き例】精神通院医療（自立支援）利用中のモデル。障害年金は就労状況により変動しうるため、手続き前に専門家へ相談。地域活動支援センターの利用可否は市の窓口でヒアリング。</w:t>
      </w:r>
    </w:p>
    <w:p>
      <w:r>
        <w:br w:type="page"/>
      </w:r>
    </w:p>
    <w:p>
      <w:pPr>
        <w:keepNext/>
        <w:widowControl/>
        <w:spacing w:before="320" w:after="200"/>
        <w:pBdr>
          <w:bottom w:val="single" w:sz="6" w:space="3" w:color="B0B0B0"/>
        </w:pBdr>
      </w:pPr>
      <w:r>
        <w:rPr>
          <w:rFonts w:ascii="MS ゴシック" w:hAnsi="MS ゴシック" w:eastAsia="MS ゴシック"/>
          <w:b/>
          <w:sz w:val="26"/>
        </w:rPr>
        <w:t>（付記）</w:t>
      </w:r>
    </w:p>
    <w:p>
      <w:pPr>
        <w:widowControl/>
        <w:spacing w:lineRule="auto" w:line="324" w:after="120"/>
      </w:pPr>
      <w:r>
        <w:rPr>
          <w:rFonts w:ascii="MS ゴシック" w:hAnsi="MS ゴシック" w:eastAsia="MS ゴシック"/>
          <w:b w:val="0"/>
          <w:sz w:val="22"/>
        </w:rPr>
        <w:t>【免責事項】本資料は心理教育を目的とした一般情報と、症例に応じた記入欄で構成されています。医学的助言への代替ではありません。服薬の変更、診断の解釈、制度の適用可否は、必ず主治医・専門窓口に確認してください。</w:t>
      </w:r>
    </w:p>
    <w:p>
      <w:pPr>
        <w:widowControl/>
        <w:spacing w:lineRule="auto" w:line="324" w:after="120"/>
      </w:pPr>
      <w:r>
        <w:rPr>
          <w:rFonts w:ascii="MS ゴシック" w:hAnsi="MS ゴシック" w:eastAsia="MS ゴシック"/>
          <w:b w:val="0"/>
          <w:sz w:val="22"/>
        </w:rPr>
        <w:t>【情報の正確性】社会支援制度は法改正・自治体運用の影響を受けます。記載は作成時点の一般的説明であり、個別の適用を保証するものではありません。</w:t>
      </w:r>
    </w:p>
    <w:sectPr w:rsidR="00FC693F" w:rsidRPr="0006063C" w:rsidSect="00034616">
      <w:pgSz w:w="12240" w:h="15840"/>
      <w:pgMar w:top="1219" w:right="1219" w:bottom="1219"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