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r>
        <w:rPr>
          <w:rFonts w:ascii="MS ゴシック" w:hAnsi="MS ゴシック" w:eastAsia="MS ゴシック"/>
          <w:sz w:val="30"/>
        </w:rPr>
        <w:t>統合失調症の心理教育資料（家族用）／章立て案A（6章）</w:t>
      </w:r>
    </w:p>
    <w:p>
      <w:pPr>
        <w:widowControl/>
        <w:spacing w:after="160"/>
      </w:pPr>
      <w:r>
        <w:rPr>
          <w:rFonts w:ascii="MS ゴシック" w:hAnsi="MS ゴシック" w:eastAsia="MS ゴシック"/>
          <w:sz w:val="23"/>
        </w:rPr>
        <w:t>【架空資料】事例03／田村 誠 様（仮）のご家族各位向け／支援の考え方</w:t>
      </w:r>
    </w:p>
    <w:p>
      <w:pPr>
        <w:widowControl/>
        <w:spacing w:after="160"/>
      </w:pPr>
      <w:r>
        <w:rPr>
          <w:rFonts w:ascii="MS ゴシック" w:hAnsi="MS ゴシック" w:eastAsia="MS ゴシック"/>
          <w:sz w:val="21"/>
        </w:rPr>
        <w:t>2026年5月6日作成（あくまで教育用モデルであり実在しない症例です）</w:t>
      </w:r>
    </w:p>
    <w:p/>
    <w:p>
      <w:pPr>
        <w:keepNext/>
        <w:widowControl/>
        <w:spacing w:before="320" w:after="200"/>
        <w:pBdr>
          <w:bottom w:val="single" w:sz="6" w:space="3" w:color="B0B0B0"/>
        </w:pBdr>
      </w:pPr>
      <w:r>
        <w:rPr>
          <w:rFonts w:ascii="MS ゴシック" w:hAnsi="MS ゴシック" w:eastAsia="MS ゴシック"/>
          <w:b/>
          <w:sz w:val="26"/>
        </w:rPr>
        <w:t>① 統合失調症とは（症状・経過・よくある誤解）</w:t>
      </w:r>
    </w:p>
    <w:p>
      <w:pPr>
        <w:widowControl/>
        <w:spacing w:lineRule="auto" w:line="324" w:after="120"/>
      </w:pPr>
      <w:r>
        <w:rPr>
          <w:rFonts w:ascii="MS ゴシック" w:hAnsi="MS ゴシック" w:eastAsia="MS ゴシック"/>
          <w:b w:val="0"/>
          <w:sz w:val="22"/>
        </w:rPr>
        <w:t>ご家族の方へ。統合失調症は本人だけでなく、家庭の生活にも影響しやすい病気です。同時に、正しい理解と現実的な支援の仕方は、回復を支える大きな要素になります。</w:t>
      </w:r>
    </w:p>
    <w:p>
      <w:pPr>
        <w:keepNext/>
        <w:widowControl/>
        <w:spacing w:before="280" w:after="160"/>
      </w:pPr>
      <w:r>
        <w:rPr>
          <w:rFonts w:ascii="MS ゴシック" w:hAnsi="MS ゴシック" w:eastAsia="MS ゴシック"/>
          <w:b/>
          <w:sz w:val="24"/>
        </w:rPr>
        <w:t>症状のわかりやすい整理（観察で気づきやすい例）</w:t>
      </w:r>
    </w:p>
    <w:p>
      <w:pPr>
        <w:widowControl/>
        <w:spacing w:lineRule="auto" w:line="324" w:after="80"/>
      </w:pPr>
      <w:r>
        <w:rPr>
          <w:rFonts w:ascii="MS ゴシック" w:hAnsi="MS ゴシック" w:eastAsia="MS ゴシック"/>
          <w:b/>
          <w:sz w:val="21"/>
        </w:rPr>
        <w:t>すべてに当てはまる必要はありません。変化の目安としてご覧ください。</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側面</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周囲からみられやすい例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陽性症状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独り言が増える、根拠の薄い確信を強く言う、不眠と急性期の混在など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陰性症状</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生活の質が低下、外出・会話が減る、生活リズムの乱れなど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解体症状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話題が散漫、身だしなみの変化、予定どおり動けないなど（他の理由も検討）</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気分・不眠</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抑うつ調、焦燥、昼夜逆転など</w:t>
            </w:r>
          </w:p>
        </w:tc>
      </w:tr>
    </w:tbl>
    <w:p>
      <w:pPr>
        <w:spacing w:after="200"/>
      </w:pPr>
    </w:p>
    <w:p>
      <w:pPr>
        <w:keepNext/>
        <w:widowControl/>
        <w:spacing w:before="280" w:after="160"/>
      </w:pPr>
      <w:r>
        <w:rPr>
          <w:rFonts w:ascii="MS ゴシック" w:hAnsi="MS ゴシック" w:eastAsia="MS ゴシック"/>
          <w:b/>
          <w:sz w:val="24"/>
        </w:rPr>
        <w:t>経過のイメージ（一般論）</w:t>
      </w:r>
    </w:p>
    <w:p>
      <w:pPr>
        <w:pStyle w:val="ListBullet"/>
        <w:widowControl/>
        <w:spacing w:after="120" w:lineRule="auto" w:line="324"/>
        <w:ind w:left="360" w:hanging="120"/>
      </w:pPr>
      <w:r>
        <w:rPr>
          <w:rFonts w:ascii="MS ゴシック" w:hAnsi="MS ゴシック" w:eastAsia="MS ゴシック"/>
          <w:sz w:val="22"/>
        </w:rPr>
        <w:t>治療の初期は「安全管理」と「苦痛の軽減」が優先になりやすい。</w:t>
      </w:r>
    </w:p>
    <w:p>
      <w:pPr>
        <w:pStyle w:val="ListBullet"/>
        <w:widowControl/>
        <w:spacing w:after="120" w:lineRule="auto" w:line="324"/>
        <w:ind w:left="360" w:hanging="120"/>
      </w:pPr>
      <w:r>
        <w:rPr>
          <w:rFonts w:ascii="MS ゴシック" w:hAnsi="MS ゴシック" w:eastAsia="MS ゴシック"/>
          <w:sz w:val="22"/>
        </w:rPr>
        <w:t>その後、「本人のペース」を尊重しつつ、生活へ少しずつ橋をかける段階が続くことが多い。</w:t>
      </w:r>
    </w:p>
    <w:p>
      <w:pPr>
        <w:pStyle w:val="ListBullet"/>
        <w:widowControl/>
        <w:spacing w:after="120" w:lineRule="auto" w:line="324"/>
        <w:ind w:left="360" w:hanging="120"/>
      </w:pPr>
      <w:r>
        <w:rPr>
          <w:rFonts w:ascii="MS ゴシック" w:hAnsi="MS ゴシック" w:eastAsia="MS ゴシック"/>
          <w:sz w:val="22"/>
        </w:rPr>
        <w:t>ご家族の過干渉と放任の両極端は両方とも負担が大きくなりやすい、と説明されることがある。</w:t>
      </w:r>
    </w:p>
    <w:p>
      <w:pPr>
        <w:keepNext/>
        <w:widowControl/>
        <w:spacing w:before="280" w:after="160"/>
      </w:pPr>
      <w:r>
        <w:rPr>
          <w:rFonts w:ascii="MS ゴシック" w:hAnsi="MS ゴシック" w:eastAsia="MS ゴシック"/>
          <w:b/>
          <w:sz w:val="24"/>
        </w:rPr>
        <w:t>よくある誤解（ご家族へ）</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誤解</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整理（例）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家庭が原因だと決めつけられる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多因子モデルが主流。責め合いの根拠にはならない説明が多い</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監視すれば治る</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服薬・医療関係・本人の納得が中心。家族は支えの役割に寄せることが多い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良くなったから薬をやめてよい</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再発予防の判断は医師と本人。家族が主導で止めない方が安全なことが多い</w:t>
            </w:r>
          </w:p>
        </w:tc>
      </w:tr>
    </w:tbl>
    <w:p>
      <w:pPr>
        <w:spacing w:after="200"/>
      </w:pPr>
    </w:p>
    <w:p>
      <w:pPr>
        <w:keepNext/>
        <w:widowControl/>
        <w:spacing w:before="280" w:after="160"/>
      </w:pPr>
      <w:r>
        <w:rPr>
          <w:rFonts w:ascii="MS ゴシック" w:hAnsi="MS ゴシック" w:eastAsia="MS ゴシック"/>
          <w:b/>
          <w:sz w:val="24"/>
        </w:rPr>
        <w:t>この症例の症状の整理（主治医が記入）</w:t>
      </w:r>
    </w:p>
    <w:p>
      <w:pPr>
        <w:widowControl/>
        <w:spacing w:lineRule="auto" w:line="324" w:after="120"/>
      </w:pPr>
      <w:r>
        <w:rPr>
          <w:rFonts w:ascii="MS ゴシック" w:hAnsi="MS ゴシック" w:eastAsia="MS ゴシック"/>
          <w:b w:val="0"/>
          <w:sz w:val="22"/>
        </w:rPr>
        <w:t>就労中の成人、被害体感と不眠増、生活の乱れを家族がみて受診。外来強化モデル。家事・金銭は状態に応じ分担見直し。</w:t>
      </w:r>
    </w:p>
    <w:p>
      <w:r>
        <w:br w:type="page"/>
      </w:r>
    </w:p>
    <w:p>
      <w:pPr>
        <w:keepNext/>
        <w:widowControl/>
        <w:spacing w:before="320" w:after="200"/>
        <w:pBdr>
          <w:bottom w:val="single" w:sz="6" w:space="3" w:color="B0B0B0"/>
        </w:pBdr>
      </w:pPr>
      <w:r>
        <w:rPr>
          <w:rFonts w:ascii="MS ゴシック" w:hAnsi="MS ゴシック" w:eastAsia="MS ゴシック"/>
          <w:b/>
          <w:sz w:val="26"/>
        </w:rPr>
        <w:t>② 原因としくみ（医学的にわかっていること／いまだ限界があること）</w:t>
      </w:r>
    </w:p>
    <w:p>
      <w:pPr>
        <w:keepNext/>
        <w:widowControl/>
        <w:spacing w:before="280" w:after="160"/>
      </w:pPr>
      <w:r>
        <w:rPr>
          <w:rFonts w:ascii="MS ゴシック" w:hAnsi="MS ゴシック" w:eastAsia="MS ゴシック"/>
          <w:b/>
          <w:sz w:val="24"/>
        </w:rPr>
        <w:t>多くの研究で示唆されていること（例）</w:t>
      </w:r>
    </w:p>
    <w:p>
      <w:pPr>
        <w:pStyle w:val="ListBullet"/>
        <w:widowControl/>
        <w:spacing w:after="120" w:lineRule="auto" w:line="324"/>
        <w:ind w:left="360" w:hanging="120"/>
      </w:pPr>
      <w:r>
        <w:rPr>
          <w:rFonts w:ascii="MS ゴシック" w:hAnsi="MS ゴシック" w:eastAsia="MS ゴシック"/>
          <w:sz w:val="22"/>
        </w:rPr>
        <w:t>遺伝的素因と環境・発達・ストレスの相互作用という多因子モデル。</w:t>
      </w:r>
    </w:p>
    <w:p>
      <w:pPr>
        <w:pStyle w:val="ListBullet"/>
        <w:widowControl/>
        <w:spacing w:after="120" w:lineRule="auto" w:line="324"/>
        <w:ind w:left="360" w:hanging="120"/>
      </w:pPr>
      <w:r>
        <w:rPr>
          <w:rFonts w:ascii="MS ゴシック" w:hAnsi="MS ゴシック" w:eastAsia="MS ゴシック"/>
          <w:sz w:val="22"/>
        </w:rPr>
        <w:t>脳の情報伝達やネットワークの関与（専門家が症状と照らして説明）。</w:t>
      </w:r>
    </w:p>
    <w:p>
      <w:pPr>
        <w:keepNext/>
        <w:widowControl/>
        <w:spacing w:before="280" w:after="160"/>
      </w:pPr>
      <w:r>
        <w:rPr>
          <w:rFonts w:ascii="MS ゴシック" w:hAnsi="MS ゴシック" w:eastAsia="MS ゴシック"/>
          <w:b/>
          <w:sz w:val="24"/>
        </w:rPr>
        <w:t>限界と注意点（家族向け）</w:t>
      </w:r>
    </w:p>
    <w:p>
      <w:pPr>
        <w:pStyle w:val="ListBullet"/>
        <w:widowControl/>
        <w:spacing w:after="120" w:lineRule="auto" w:line="324"/>
        <w:ind w:left="360" w:hanging="120"/>
      </w:pPr>
      <w:r>
        <w:rPr>
          <w:rFonts w:ascii="MS ゴシック" w:hAnsi="MS ゴシック" w:eastAsia="MS ゴシック"/>
          <w:sz w:val="22"/>
        </w:rPr>
        <w:t>原因探しで「誰か一人のせい」に寄せない方が、関係を守りやすい。</w:t>
      </w:r>
    </w:p>
    <w:p>
      <w:pPr>
        <w:pStyle w:val="ListBullet"/>
        <w:widowControl/>
        <w:spacing w:after="120" w:lineRule="auto" w:line="324"/>
        <w:ind w:left="360" w:hanging="120"/>
      </w:pPr>
      <w:r>
        <w:rPr>
          <w:rFonts w:ascii="MS ゴシック" w:hAnsi="MS ゴシック" w:eastAsia="MS ゴシック"/>
          <w:sz w:val="22"/>
        </w:rPr>
        <w:t>予後は本人の治療参加と環境にも左右されるため、長期の断定は難しい。</w:t>
      </w:r>
    </w:p>
    <w:p>
      <w:pPr>
        <w:pStyle w:val="ListBullet"/>
        <w:widowControl/>
        <w:spacing w:after="120" w:lineRule="auto" w:line="324"/>
        <w:ind w:left="360" w:hanging="120"/>
      </w:pPr>
      <w:r>
        <w:rPr>
          <w:rFonts w:ascii="MS ゴシック" w:hAnsi="MS ゴシック" w:eastAsia="MS ゴシック"/>
          <w:sz w:val="22"/>
        </w:rPr>
        <w:t>医学的事実と、家庭内の感情（罪悪感・怒り）は別々に扱うと整理しやすい。</w:t>
      </w:r>
    </w:p>
    <w:p>
      <w:pPr>
        <w:widowControl/>
        <w:spacing w:lineRule="auto" w:line="324" w:after="120"/>
      </w:pPr>
      <w:r>
        <w:rPr>
          <w:rFonts w:ascii="MS ゴシック" w:hAnsi="MS ゴシック" w:eastAsia="MS ゴシック"/>
          <w:b w:val="0"/>
          <w:sz w:val="22"/>
        </w:rPr>
        <w:t>架空市立病院（デモ）精神科では、ご家族にも分かる言葉で、説明できる範囲と限界を共有します。</w:t>
      </w:r>
    </w:p>
    <w:p>
      <w:pPr>
        <w:keepNext/>
        <w:widowControl/>
        <w:spacing w:before="280" w:after="160"/>
      </w:pPr>
      <w:r>
        <w:rPr>
          <w:rFonts w:ascii="MS ゴシック" w:hAnsi="MS ゴシック" w:eastAsia="MS ゴシック"/>
          <w:b/>
          <w:sz w:val="24"/>
        </w:rPr>
        <w:t>この症例で説明できること（主治医が記入・更新）</w:t>
      </w:r>
    </w:p>
    <w:p>
      <w:pPr>
        <w:widowControl/>
        <w:spacing w:lineRule="auto" w:line="324" w:after="120"/>
      </w:pPr>
      <w:r>
        <w:rPr>
          <w:rFonts w:ascii="MS ゴシック" w:hAnsi="MS ゴシック" w:eastAsia="MS ゴシック"/>
          <w:b w:val="0"/>
          <w:sz w:val="22"/>
        </w:rPr>
        <w:t>本人は30歳前後で社会人として就労していたが、被害体験様の訴えと不眠が増え、家族が同居先で生活の乱れに気づき受診に至った。診断は統合失調症として位置づけ、入院の必要性は当時の危険性評価の結果は除外され外来強化となった（モデル）。</w:t>
      </w:r>
    </w:p>
    <w:p>
      <w:pPr>
        <w:widowControl/>
        <w:spacing w:lineRule="auto" w:line="324" w:after="120"/>
      </w:pPr>
      <w:r>
        <w:rPr>
          <w:rFonts w:ascii="MS ゴシック" w:hAnsi="MS ゴシック" w:eastAsia="MS ゴシック"/>
          <w:b w:val="0"/>
          <w:sz w:val="22"/>
        </w:rPr>
        <w:t>ご家族には、症状を「不努力」として責めるのではなく、脳機能と環境ストレスが関わる病気として説明している。家事・金銭管理は本人の状態に応じて段階的に分担を見直す方針。</w:t>
      </w:r>
    </w:p>
    <w:p>
      <w:pPr>
        <w:keepNext/>
        <w:widowControl/>
        <w:spacing w:before="280" w:after="160"/>
      </w:pPr>
      <w:r>
        <w:rPr>
          <w:rFonts w:ascii="MS ゴシック" w:hAnsi="MS ゴシック" w:eastAsia="MS ゴシック"/>
          <w:b/>
          <w:sz w:val="24"/>
        </w:rPr>
        <w:t>この症例で、いま十分には説明が難しい／検討中のこと（主治医が記入）</w:t>
      </w:r>
    </w:p>
    <w:p>
      <w:pPr>
        <w:widowControl/>
        <w:spacing w:lineRule="auto" w:line="324" w:after="120"/>
      </w:pPr>
      <w:r>
        <w:rPr>
          <w:rFonts w:ascii="MS ゴシック" w:hAnsi="MS ゴシック" w:eastAsia="MS ゴシック"/>
          <w:b w:val="0"/>
          <w:sz w:val="22"/>
        </w:rPr>
        <w:t>ご家庭内の細かい力学までは外来だけでは評価しきれない。予後は治療参加度と環境により大きく変わるため、単年での断定はしない。</w:t>
      </w:r>
    </w:p>
    <w:p>
      <w:r>
        <w:br w:type="page"/>
      </w:r>
    </w:p>
    <w:p>
      <w:pPr>
        <w:keepNext/>
        <w:widowControl/>
        <w:spacing w:before="320" w:after="200"/>
        <w:pBdr>
          <w:bottom w:val="single" w:sz="6" w:space="3" w:color="B0B0B0"/>
        </w:pBdr>
      </w:pPr>
      <w:r>
        <w:rPr>
          <w:rFonts w:ascii="MS ゴシック" w:hAnsi="MS ゴシック" w:eastAsia="MS ゴシック"/>
          <w:b/>
          <w:sz w:val="26"/>
        </w:rPr>
        <w:t>③ 治療の全体像と目標（回復・機能・短期／長期）</w:t>
      </w:r>
    </w:p>
    <w:p>
      <w:pPr>
        <w:widowControl/>
        <w:spacing w:lineRule="auto" w:line="324" w:after="120"/>
      </w:pPr>
      <w:r>
        <w:rPr>
          <w:rFonts w:ascii="MS ゴシック" w:hAnsi="MS ゴシック" w:eastAsia="MS ゴシック"/>
          <w:b w:val="0"/>
          <w:sz w:val="22"/>
        </w:rPr>
        <w:t>治療は、本人の安全と苦痛軽減を優先しつつ、生活の再建へ進む過程になります。家族は「すべてを決める」のではなく、支えと環境調整が中心になりやすい、と説明されることがあります。</w:t>
      </w:r>
    </w:p>
    <w:p>
      <w:pPr>
        <w:keepNext/>
        <w:widowControl/>
        <w:spacing w:before="280" w:after="160"/>
      </w:pPr>
      <w:r>
        <w:rPr>
          <w:rFonts w:ascii="MS ゴシック" w:hAnsi="MS ゴシック" w:eastAsia="MS ゴシック"/>
          <w:b/>
          <w:sz w:val="24"/>
        </w:rPr>
        <w:t>バイオ・サイコ・ソーシャルの整理（ご家族視点での関わり）</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領域</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家族が気をつけるとよいこと（一般論／例）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バイオ</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通院への同行が必要かは個別判断。異常運動や急な眠気増などは早めに医療へ</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サイコ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詰問より短文の確認、本人の話を否定し続けない対話が望ましいとされる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ソーシャル</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過干渉と放任のバランス、介護疲労のケア、きょうだい・子への説明</w:t>
            </w:r>
          </w:p>
        </w:tc>
      </w:tr>
    </w:tbl>
    <w:p>
      <w:pPr>
        <w:spacing w:after="200"/>
      </w:pPr>
    </w:p>
    <w:p>
      <w:pPr>
        <w:keepNext/>
        <w:widowControl/>
        <w:spacing w:before="280" w:after="160"/>
      </w:pPr>
      <w:r>
        <w:rPr>
          <w:rFonts w:ascii="MS ゴシック" w:hAnsi="MS ゴシック" w:eastAsia="MS ゴシック"/>
          <w:b/>
          <w:sz w:val="24"/>
        </w:rPr>
        <w:t>短期／長期のテーマ（例）</w:t>
      </w:r>
    </w:p>
    <w:p>
      <w:pPr>
        <w:pStyle w:val="ListBullet"/>
        <w:widowControl/>
        <w:spacing w:after="120" w:lineRule="auto" w:line="324"/>
        <w:ind w:left="360" w:hanging="120"/>
      </w:pPr>
      <w:r>
        <w:rPr>
          <w:rFonts w:ascii="MS ゴシック" w:hAnsi="MS ゴシック" w:eastAsia="MS ゴシック"/>
          <w:sz w:val="22"/>
        </w:rPr>
        <w:t>短期: 監視強化ではなく連絡ルールの明快化、不眠・刺激性食物・飲酒の注意。</w:t>
      </w:r>
    </w:p>
    <w:p>
      <w:pPr>
        <w:pStyle w:val="ListBullet"/>
        <w:widowControl/>
        <w:spacing w:after="120" w:lineRule="auto" w:line="324"/>
        <w:ind w:left="360" w:hanging="120"/>
      </w:pPr>
      <w:r>
        <w:rPr>
          <w:rFonts w:ascii="MS ゴシック" w:hAnsi="MS ゴシック" w:eastAsia="MS ゴシック"/>
          <w:sz w:val="22"/>
        </w:rPr>
        <w:t>長期: 本人の自立を妨げない支援、ご家族自身の休息时间の確保、地域福祉との接続。</w:t>
      </w:r>
    </w:p>
    <w:p>
      <w:pPr>
        <w:keepNext/>
        <w:widowControl/>
        <w:spacing w:before="280" w:after="160"/>
      </w:pPr>
      <w:r>
        <w:rPr>
          <w:rFonts w:ascii="MS ゴシック" w:hAnsi="MS ゴシック" w:eastAsia="MS ゴシック"/>
          <w:b/>
          <w:sz w:val="24"/>
        </w:rPr>
        <w:t>この症例の短期の方向性（主治医が記入）</w:t>
      </w:r>
    </w:p>
    <w:p>
      <w:pPr>
        <w:widowControl/>
        <w:spacing w:lineRule="auto" w:line="324" w:after="120"/>
      </w:pPr>
      <w:r>
        <w:rPr>
          <w:rFonts w:ascii="MS ゴシック" w:hAnsi="MS ゴシック" w:eastAsia="MS ゴシック"/>
          <w:b w:val="0"/>
          <w:sz w:val="22"/>
        </w:rPr>
        <w:t>ご家族には「監視」「詰問」を避け、安全が危ぶまれるときの連絡ルールだけを明快にしておく。同居母（モデル）は自身の不眠・疲労を外部（地域包括支援など）にも相談する。</w:t>
      </w:r>
    </w:p>
    <w:p>
      <w:pPr>
        <w:widowControl/>
        <w:spacing w:lineRule="auto" w:line="324" w:after="120"/>
      </w:pPr>
      <w:r>
        <w:rPr>
          <w:rFonts w:ascii="MS ゴシック" w:hAnsi="MS ゴシック" w:eastAsia="MS ゴシック"/>
          <w:b w:val="0"/>
          <w:sz w:val="22"/>
        </w:rPr>
        <w:t>外来は隔週、必要時は電話相談。</w:t>
      </w:r>
    </w:p>
    <w:p>
      <w:pPr>
        <w:keepNext/>
        <w:widowControl/>
        <w:spacing w:before="280" w:after="160"/>
      </w:pPr>
      <w:r>
        <w:rPr>
          <w:rFonts w:ascii="MS ゴシック" w:hAnsi="MS ゴシック" w:eastAsia="MS ゴシック"/>
          <w:b/>
          <w:sz w:val="24"/>
        </w:rPr>
        <w:t>この症例の長期の方向性（主治医が記入）</w:t>
      </w:r>
    </w:p>
    <w:p>
      <w:pPr>
        <w:widowControl/>
        <w:spacing w:lineRule="auto" w:line="324" w:after="120"/>
      </w:pPr>
      <w:r>
        <w:rPr>
          <w:rFonts w:ascii="MS ゴシック" w:hAnsi="MS ゴシック" w:eastAsia="MS ゴシック"/>
          <w:b w:val="0"/>
          <w:sz w:val="22"/>
        </w:rPr>
        <w:t>本人の就労再開は症候性と機能をみて段階的に。家族は「すべて背負わない」を原則（金銭・意思決定の丸投げ回避）。きょうだいがいる場合は年齢に応じた説明テンプレの利用を検討する。</w:t>
      </w:r>
    </w:p>
    <w:p>
      <w:r>
        <w:br w:type="page"/>
      </w:r>
    </w:p>
    <w:p>
      <w:pPr>
        <w:keepNext/>
        <w:widowControl/>
        <w:spacing w:before="320" w:after="200"/>
        <w:pBdr>
          <w:bottom w:val="single" w:sz="6" w:space="3" w:color="B0B0B0"/>
        </w:pBdr>
      </w:pPr>
      <w:r>
        <w:rPr>
          <w:rFonts w:ascii="MS ゴシック" w:hAnsi="MS ゴシック" w:eastAsia="MS ゴシック"/>
          <w:b/>
          <w:sz w:val="26"/>
        </w:rPr>
        <w:t>④ 薬物療法（役割・続け方・副作用・相談の目安）</w:t>
      </w:r>
    </w:p>
    <w:p>
      <w:pPr>
        <w:keepNext/>
        <w:widowControl/>
        <w:spacing w:before="280" w:after="160"/>
      </w:pPr>
      <w:r>
        <w:rPr>
          <w:rFonts w:ascii="MS ゴシック" w:hAnsi="MS ゴシック" w:eastAsia="MS ゴシック"/>
          <w:b/>
          <w:sz w:val="24"/>
        </w:rPr>
        <w:t>薬物療法の位置づけ（ご家族向け）</w:t>
      </w:r>
    </w:p>
    <w:p>
      <w:pPr>
        <w:pStyle w:val="ListBullet"/>
        <w:widowControl/>
        <w:spacing w:after="120" w:lineRule="auto" w:line="324"/>
        <w:ind w:left="360" w:hanging="120"/>
      </w:pPr>
      <w:r>
        <w:rPr>
          <w:rFonts w:ascii="MS ゴシック" w:hAnsi="MS ゴシック" w:eastAsia="MS ゴシック"/>
          <w:sz w:val="22"/>
        </w:rPr>
        <w:t>本人の苦痛や危険を下げるうえで、薬は重要な選択肢になりうる。</w:t>
      </w:r>
    </w:p>
    <w:p>
      <w:pPr>
        <w:pStyle w:val="ListBullet"/>
        <w:widowControl/>
        <w:spacing w:after="120" w:lineRule="auto" w:line="324"/>
        <w:ind w:left="360" w:hanging="120"/>
      </w:pPr>
      <w:r>
        <w:rPr>
          <w:rFonts w:ascii="MS ゴシック" w:hAnsi="MS ゴシック" w:eastAsia="MS ゴシック"/>
          <w:sz w:val="22"/>
        </w:rPr>
        <w:t>一方で副作用や病識の問題で「飲みたくない」気持ちも起こりうる。日常は対話が基本とされる。</w:t>
      </w:r>
    </w:p>
    <w:p>
      <w:pPr>
        <w:pStyle w:val="ListBullet"/>
        <w:widowControl/>
        <w:spacing w:after="120" w:lineRule="auto" w:line="324"/>
        <w:ind w:left="360" w:hanging="120"/>
      </w:pPr>
      <w:r>
        <w:rPr>
          <w:rFonts w:ascii="MS ゴシック" w:hAnsi="MS ゴシック" w:eastAsia="MS ゴシック"/>
          <w:sz w:val="22"/>
        </w:rPr>
        <w:t>監視・詰問が続くと、治療関係や家族関係を損なうことがある、と説明されることがある。</w:t>
      </w:r>
    </w:p>
    <w:p>
      <w:pPr>
        <w:keepNext/>
        <w:widowControl/>
        <w:spacing w:before="280" w:after="160"/>
      </w:pPr>
      <w:r>
        <w:rPr>
          <w:rFonts w:ascii="MS ゴシック" w:hAnsi="MS ゴシック" w:eastAsia="MS ゴシック"/>
          <w:b/>
          <w:sz w:val="24"/>
        </w:rPr>
        <w:t>副作用で受診を考える目安（例・一般論）</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症状の例</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対応の目安</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舌や顎の不随意運動、嚥下困難</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早めに医療機関へ（誤嚥のリスク）</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高熱、意識変容、筋硬直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緊急の評価が必要なことがある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強い焦燥・落ち着かなさ</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用量・種類の調整の相談窓口へ</w:t>
            </w:r>
          </w:p>
        </w:tc>
      </w:tr>
    </w:tbl>
    <w:p>
      <w:pPr>
        <w:spacing w:after="200"/>
      </w:pPr>
    </w:p>
    <w:p>
      <w:pPr>
        <w:keepNext/>
        <w:widowControl/>
        <w:spacing w:before="280" w:after="160"/>
      </w:pPr>
      <w:r>
        <w:rPr>
          <w:rFonts w:ascii="MS ゴシック" w:hAnsi="MS ゴシック" w:eastAsia="MS ゴシック"/>
          <w:b/>
          <w:sz w:val="24"/>
        </w:rPr>
        <w:t>この症例の薬物療法（一般名・方針：主治医が記入）</w:t>
      </w:r>
    </w:p>
    <w:p>
      <w:pPr>
        <w:widowControl/>
        <w:spacing w:lineRule="auto" w:line="324" w:after="120"/>
      </w:pPr>
      <w:r>
        <w:rPr>
          <w:rFonts w:ascii="MS ゴシック" w:hAnsi="MS ゴシック" w:eastAsia="MS ゴシック"/>
          <w:b w:val="0"/>
          <w:sz w:val="22"/>
        </w:rPr>
        <w:t>【モデル記載／実処方ではない】一般名「アリピプラゾール」朝食後 3mg から開始し漸増例。副作用として静坐不能感、吐き気等の説明を家族にも共有。勝手な減量は再発につながりやすいが、苦痛が強いときは来院を促す（押し込めない）。</w:t>
      </w:r>
    </w:p>
    <w:p>
      <w:r>
        <w:br w:type="page"/>
      </w:r>
    </w:p>
    <w:p>
      <w:pPr>
        <w:keepNext/>
        <w:widowControl/>
        <w:spacing w:before="320" w:after="200"/>
        <w:pBdr>
          <w:bottom w:val="single" w:sz="6" w:space="3" w:color="B0B0B0"/>
        </w:pBdr>
      </w:pPr>
      <w:r>
        <w:rPr>
          <w:rFonts w:ascii="MS ゴシック" w:hAnsi="MS ゴシック" w:eastAsia="MS ゴシック"/>
          <w:b/>
          <w:sz w:val="26"/>
        </w:rPr>
        <w:t>⑤ 薬以外（心理社会的支援・生活・家族の関わり方）</w:t>
      </w:r>
    </w:p>
    <w:p>
      <w:pPr>
        <w:keepNext/>
        <w:widowControl/>
        <w:spacing w:before="280" w:after="160"/>
      </w:pPr>
      <w:r>
        <w:rPr>
          <w:rFonts w:ascii="MS ゴシック" w:hAnsi="MS ゴシック" w:eastAsia="MS ゴシック"/>
          <w:b/>
          <w:sz w:val="24"/>
        </w:rPr>
        <w:t>非薬物療法とご家族の役割（一般論）</w:t>
      </w:r>
    </w:p>
    <w:p>
      <w:pPr>
        <w:pStyle w:val="ListBullet"/>
        <w:widowControl/>
        <w:spacing w:after="120" w:lineRule="auto" w:line="324"/>
        <w:ind w:left="360" w:hanging="120"/>
      </w:pPr>
      <w:r>
        <w:rPr>
          <w:rFonts w:ascii="MS ゴシック" w:hAnsi="MS ゴシック" w:eastAsia="MS ゴシック"/>
          <w:sz w:val="22"/>
        </w:rPr>
        <w:t>本人の同意と本人の目標が出発点になりやすい。</w:t>
      </w:r>
    </w:p>
    <w:p>
      <w:pPr>
        <w:pStyle w:val="ListBullet"/>
        <w:widowControl/>
        <w:spacing w:after="120" w:lineRule="auto" w:line="324"/>
        <w:ind w:left="360" w:hanging="120"/>
      </w:pPr>
      <w:r>
        <w:rPr>
          <w:rFonts w:ascii="MS ゴシック" w:hAnsi="MS ゴシック" w:eastAsia="MS ゴシック"/>
          <w:sz w:val="22"/>
        </w:rPr>
        <w:t>代替医療に走らせない、というより「安全第一で医師と情報共有」を推奨されやすい。</w:t>
      </w:r>
    </w:p>
    <w:p>
      <w:pPr>
        <w:pStyle w:val="ListBullet"/>
        <w:widowControl/>
        <w:spacing w:after="120" w:lineRule="auto" w:line="324"/>
        <w:ind w:left="360" w:hanging="120"/>
      </w:pPr>
      <w:r>
        <w:rPr>
          <w:rFonts w:ascii="MS ゴシック" w:hAnsi="MS ゴシック" w:eastAsia="MS ゴシック"/>
          <w:sz w:val="22"/>
        </w:rPr>
        <w:t>ご家族自身の休息・カウンセリング・福祉相談は、支援継続のために有効なことがある。</w:t>
      </w:r>
    </w:p>
    <w:p>
      <w:pPr>
        <w:keepNext/>
        <w:widowControl/>
        <w:spacing w:before="280" w:after="160"/>
      </w:pPr>
      <w:r>
        <w:rPr>
          <w:rFonts w:ascii="MS ゴシック" w:hAnsi="MS ゴシック" w:eastAsia="MS ゴシック"/>
          <w:b/>
          <w:sz w:val="24"/>
        </w:rPr>
        <w:t>関わり方の目安（例）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場面</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会話</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短い相槌＋事実確認。長時間の説得は疲弊しやすい</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服薬</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本人と医師の領域。家族は「相談しやすい空気」を作ることが多い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危機</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連絡ルールを事前に文書化しておくと混乱が減りやすい</w:t>
            </w:r>
          </w:p>
        </w:tc>
      </w:tr>
    </w:tbl>
    <w:p>
      <w:pPr>
        <w:spacing w:after="200"/>
      </w:pPr>
    </w:p>
    <w:p>
      <w:pPr>
        <w:keepNext/>
        <w:widowControl/>
        <w:spacing w:before="280" w:after="160"/>
      </w:pPr>
      <w:r>
        <w:rPr>
          <w:rFonts w:ascii="MS ゴシック" w:hAnsi="MS ゴシック" w:eastAsia="MS ゴシック"/>
          <w:b/>
          <w:sz w:val="24"/>
        </w:rPr>
        <w:t>この症例で推奨・検討中の内容（主治医が記入）</w:t>
      </w:r>
    </w:p>
    <w:p>
      <w:pPr>
        <w:widowControl/>
        <w:spacing w:lineRule="auto" w:line="324" w:after="120"/>
      </w:pPr>
      <w:r>
        <w:rPr>
          <w:rFonts w:ascii="MS ゴシック" w:hAnsi="MS ゴシック" w:eastAsia="MS ゴシック"/>
          <w:b w:val="0"/>
          <w:sz w:val="22"/>
        </w:rPr>
        <w:t>家族心理教育プログラム（地域であれば）、または当院での家族面談（モデル）。本人同意のある範囲で情報共有。デイケア紹介の検討。家族自身のカウンセリング利用も推奨枠として記載。</w:t>
      </w:r>
    </w:p>
    <w:p>
      <w:r>
        <w:br w:type="page"/>
      </w:r>
    </w:p>
    <w:p>
      <w:pPr>
        <w:keepNext/>
        <w:widowControl/>
        <w:spacing w:before="320" w:after="200"/>
        <w:pBdr>
          <w:bottom w:val="single" w:sz="6" w:space="3" w:color="B0B0B0"/>
        </w:pBdr>
      </w:pPr>
      <w:r>
        <w:rPr>
          <w:rFonts w:ascii="MS ゴシック" w:hAnsi="MS ゴシック" w:eastAsia="MS ゴシック"/>
          <w:b/>
          <w:sz w:val="26"/>
        </w:rPr>
        <w:t>⑥ 早期警告サイン・再発予防／困ったとき／利用できる支援（制度・相談先）</w:t>
      </w:r>
    </w:p>
    <w:p>
      <w:pPr>
        <w:keepNext/>
        <w:widowControl/>
        <w:spacing w:before="280" w:after="160"/>
      </w:pPr>
      <w:r>
        <w:rPr>
          <w:rFonts w:ascii="MS ゴシック" w:hAnsi="MS ゴシック" w:eastAsia="MS ゴシック"/>
          <w:b/>
          <w:sz w:val="24"/>
        </w:rPr>
        <w:t>早期警告サイン（家族が気づきやすい例）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分野</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変化の例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睡眠・生活</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昼夜逆転、部屋の乱れ、食事量の変化</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会話</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話が飛ぶ、答えに詰まる、独り言の増加</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対人</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閉じこもり、無断外出、SNSでのトラブル</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安全</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火の不始末、交通の乱れ、自傷の示唆</w:t>
            </w:r>
          </w:p>
        </w:tc>
      </w:tr>
    </w:tbl>
    <w:p>
      <w:pPr>
        <w:spacing w:after="200"/>
      </w:pPr>
    </w:p>
    <w:p>
      <w:pPr>
        <w:keepNext/>
        <w:widowControl/>
        <w:spacing w:before="280" w:after="160"/>
      </w:pPr>
      <w:r>
        <w:rPr>
          <w:rFonts w:ascii="MS ゴシック" w:hAnsi="MS ゴシック" w:eastAsia="MS ゴシック"/>
          <w:b/>
          <w:sz w:val="24"/>
        </w:rPr>
        <w:t>この症例の早期警告サイン（主治医・家族で記入）</w:t>
      </w:r>
    </w:p>
    <w:p>
      <w:pPr>
        <w:widowControl/>
        <w:spacing w:lineRule="auto" w:line="324" w:after="120"/>
      </w:pPr>
      <w:r>
        <w:rPr>
          <w:rFonts w:ascii="MS ゴシック" w:hAnsi="MS ゴシック" w:eastAsia="MS ゴシック"/>
          <w:b w:val="0"/>
          <w:sz w:val="22"/>
        </w:rPr>
        <w:t>同居先での生活乱れ（食事・入浴）、独り言、外出回避、家事の停滞。強い疑心の言及。</w:t>
      </w:r>
    </w:p>
    <w:p>
      <w:pPr>
        <w:keepNext/>
        <w:widowControl/>
        <w:spacing w:before="280" w:after="160"/>
      </w:pPr>
      <w:r>
        <w:rPr>
          <w:rFonts w:ascii="MS ゴシック" w:hAnsi="MS ゴシック" w:eastAsia="MS ゴシック"/>
          <w:b/>
          <w:sz w:val="24"/>
        </w:rPr>
        <w:t>困ったとき・連絡・受診（この症例：記入）</w:t>
      </w:r>
    </w:p>
    <w:p>
      <w:pPr>
        <w:widowControl/>
        <w:spacing w:lineRule="auto" w:line="324" w:after="120"/>
      </w:pPr>
      <w:r>
        <w:rPr>
          <w:rFonts w:ascii="MS ゴシック" w:hAnsi="MS ゴシック" w:eastAsia="MS ゴシック"/>
          <w:b w:val="0"/>
          <w:sz w:val="22"/>
        </w:rPr>
        <w:t>平日外来に加え、急変時は付き添い受診。夜間は地域の救急相談（デモでは番号省略）。放火・暴行などの安全懸念は110・救急の判断。</w:t>
      </w:r>
    </w:p>
    <w:p>
      <w:pPr>
        <w:keepNext/>
        <w:widowControl/>
        <w:spacing w:before="280" w:after="160"/>
      </w:pPr>
      <w:r>
        <w:rPr>
          <w:rFonts w:ascii="MS ゴシック" w:hAnsi="MS ゴシック" w:eastAsia="MS ゴシック"/>
          <w:b/>
          <w:sz w:val="24"/>
        </w:rPr>
        <w:t>制度・相談先（一般論）</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区分</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内容（例）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医療</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担当科、休日診、近医の共有情報</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福祉</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市区町村の相談支援、障害福祉サービス担当部署</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緊急</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救急番号、地域の夜間急病センター（施設ルールに従う）</w:t>
            </w:r>
          </w:p>
        </w:tc>
      </w:tr>
    </w:tbl>
    <w:p>
      <w:pPr>
        <w:spacing w:after="200"/>
      </w:pPr>
    </w:p>
    <w:p>
      <w:pPr>
        <w:keepNext/>
        <w:widowControl/>
        <w:spacing w:before="280" w:after="160"/>
      </w:pPr>
      <w:r>
        <w:rPr>
          <w:rFonts w:ascii="MS ゴシック" w:hAnsi="MS ゴシック" w:eastAsia="MS ゴシック"/>
          <w:b/>
          <w:sz w:val="24"/>
        </w:rPr>
        <w:t>この症例で検討・手続き状況（記入）</w:t>
      </w:r>
    </w:p>
    <w:p>
      <w:pPr>
        <w:widowControl/>
        <w:spacing w:lineRule="auto" w:line="324" w:after="120"/>
      </w:pPr>
      <w:r>
        <w:rPr>
          <w:rFonts w:ascii="MS ゴシック" w:hAnsi="MS ゴシック" w:eastAsia="MS ゴシック"/>
          <w:b w:val="0"/>
          <w:sz w:val="22"/>
        </w:rPr>
        <w:t>【架空の手続き例】精神障害者保健福祉手帳の検討中。介護認定とは別ラインである点を説明。障害年金は所得・扶養で変動。市の福祉相談窓口へ同席支援の予約モデル。</w:t>
      </w:r>
    </w:p>
    <w:p>
      <w:r>
        <w:br w:type="page"/>
      </w:r>
    </w:p>
    <w:p>
      <w:pPr>
        <w:keepNext/>
        <w:widowControl/>
        <w:spacing w:before="320" w:after="200"/>
        <w:pBdr>
          <w:bottom w:val="single" w:sz="6" w:space="3" w:color="B0B0B0"/>
        </w:pBdr>
      </w:pPr>
      <w:r>
        <w:rPr>
          <w:rFonts w:ascii="MS ゴシック" w:hAnsi="MS ゴシック" w:eastAsia="MS ゴシック"/>
          <w:b/>
          <w:sz w:val="26"/>
        </w:rPr>
        <w:t>（付記）</w:t>
      </w:r>
    </w:p>
    <w:p>
      <w:pPr>
        <w:widowControl/>
        <w:spacing w:lineRule="auto" w:line="324" w:after="120"/>
      </w:pPr>
      <w:r>
        <w:rPr>
          <w:rFonts w:ascii="MS ゴシック" w:hAnsi="MS ゴシック" w:eastAsia="MS ゴシック"/>
          <w:b w:val="0"/>
          <w:sz w:val="22"/>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widowControl/>
        <w:spacing w:lineRule="auto" w:line="324" w:after="120"/>
      </w:pPr>
      <w:r>
        <w:rPr>
          <w:rFonts w:ascii="MS ゴシック" w:hAnsi="MS ゴシック" w:eastAsia="MS ゴシック"/>
          <w:b w:val="0"/>
          <w:sz w:val="22"/>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219" w:right="1219" w:bottom="1219"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