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160"/>
      </w:pPr>
      <w:r>
        <w:rPr>
          <w:rFonts w:ascii="MS ゴシック" w:hAnsi="MS ゴシック" w:eastAsia="MS ゴシック"/>
          <w:sz w:val="30"/>
        </w:rPr>
        <w:t>統合失調症って何？ ── 知っておきたい基礎知識</w:t>
      </w:r>
    </w:p>
    <w:p>
      <w:pPr>
        <w:widowControl/>
        <w:spacing w:after="160"/>
      </w:pPr>
      <w:r>
        <w:rPr>
          <w:rFonts w:ascii="MS ゴシック" w:hAnsi="MS ゴシック" w:eastAsia="MS ゴシック"/>
          <w:sz w:val="23"/>
        </w:rPr>
        <w:t>高校生・一般向け解説資料</w:t>
      </w:r>
    </w:p>
    <w:p>
      <w:pPr>
        <w:widowControl/>
        <w:spacing w:after="160"/>
      </w:pPr>
      <w:r>
        <w:rPr>
          <w:rFonts w:ascii="MS ゴシック" w:hAnsi="MS ゴシック" w:eastAsia="MS ゴシック"/>
          <w:sz w:val="21"/>
        </w:rPr>
        <w:t>作成日: 2026年5月</w:t>
      </w:r>
    </w:p>
    <w:p/>
    <w:p>
      <w:pPr>
        <w:keepNext/>
        <w:widowControl/>
        <w:spacing w:before="320" w:after="200"/>
        <w:pBdr>
          <w:bottom w:val="single" w:sz="6" w:space="3" w:color="B0B0B0"/>
        </w:pBdr>
      </w:pPr>
      <w:r>
        <w:rPr>
          <w:rFonts w:ascii="MS ゴシック" w:hAnsi="MS ゴシック" w:eastAsia="MS ゴシック"/>
          <w:b/>
          <w:sz w:val="26"/>
        </w:rPr>
        <w:t>① 統合失調症ってどんな病気？</w:t>
      </w:r>
    </w:p>
    <w:p>
      <w:pPr>
        <w:widowControl/>
        <w:spacing w:lineRule="auto" w:line="324" w:after="120"/>
      </w:pPr>
      <w:r>
        <w:rPr>
          <w:rFonts w:ascii="MS ゴシック" w:hAnsi="MS ゴシック" w:eastAsia="MS ゴシック"/>
          <w:b w:val="0"/>
          <w:sz w:val="22"/>
        </w:rPr>
        <w:t>統合失調症（とうごうしっちょうしょう）は、脳のはたらき方が一時的に変わることで、「ものの見え方・聞こえ方」「考え方」「感じ方」に普段とは違うことが起きる病気です。</w:t>
      </w:r>
    </w:p>
    <w:p>
      <w:pPr>
        <w:widowControl/>
        <w:spacing w:lineRule="auto" w:line="324" w:after="120"/>
      </w:pPr>
      <w:r>
        <w:rPr>
          <w:rFonts w:ascii="MS ゴシック" w:hAnsi="MS ゴシック" w:eastAsia="MS ゴシック"/>
          <w:b w:val="0"/>
          <w:sz w:val="22"/>
        </w:rPr>
        <w:t>むずかしい名前ですが、決してめずらしい病気ではありません。世界中で 100 人に約 1 人が、一生のうちに一度はかかるといわれています。つまり、クラスに 40 人いれば、そのうちの 1 人やその家族が、いつか関わる可能性がある「身近な病気」です。</w:t>
      </w:r>
    </w:p>
    <w:p>
      <w:pPr>
        <w:keepNext/>
        <w:widowControl/>
        <w:spacing w:before="280" w:after="160"/>
      </w:pPr>
      <w:r>
        <w:rPr>
          <w:rFonts w:ascii="MS ゴシック" w:hAnsi="MS ゴシック" w:eastAsia="MS ゴシック"/>
          <w:b/>
          <w:sz w:val="24"/>
        </w:rPr>
        <w:t>おさえておきたいポイント</w:t>
      </w:r>
    </w:p>
    <w:tbl>
      <w:tblPr>
        <w:tblStyle w:val="TableGrid"/>
        <w:tblW w:type="auto" w:w="0"/>
        <w:jc w:val="left"/>
        <w:tblLook w:firstColumn="1" w:firstRow="1" w:lastColumn="0" w:lastRow="0" w:noHBand="0" w:noVBand="1" w:val="04A0"/>
      </w:tblPr>
      <w:tblGrid>
        <w:gridCol w:w="4830"/>
        <w:gridCol w:w="4830"/>
      </w:tblGrid>
      <w:tr>
        <w:tc>
          <w:tcPr>
            <w:tcW w:type="dxa" w:w="4830"/>
            <w:shd w:val="clear" w:fill="E4E6EB"/>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b/>
                <w:sz w:val="22"/>
              </w:rPr>
              <w:t>項目</w:t>
            </w:r>
          </w:p>
        </w:tc>
        <w:tc>
          <w:tcPr>
            <w:tcW w:type="dxa" w:w="4830"/>
            <w:shd w:val="clear" w:fill="E4E6EB"/>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b/>
                <w:sz w:val="22"/>
              </w:rPr>
              <w:t>内容</w:t>
            </w:r>
          </w:p>
        </w:tc>
      </w:tr>
      <w:tr>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なりやすい時期</w:t>
            </w:r>
          </w:p>
        </w:tc>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10代後半〜30代に多い（思春期〜若い成人）</w:t>
            </w:r>
          </w:p>
        </w:tc>
      </w:tr>
      <w:tr>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男女差</w:t>
            </w:r>
          </w:p>
        </w:tc>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男性はやや早い時期（10代後半〜20代前半）、女性は20代〜30代に多い傾向</w:t>
            </w:r>
          </w:p>
        </w:tc>
      </w:tr>
      <w:tr>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完治はする？</w:t>
            </w:r>
          </w:p>
        </w:tc>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薬や支援によって、多くの人が社会生活を送れるまでに回復する</w:t>
            </w:r>
          </w:p>
        </w:tc>
      </w:tr>
      <w:tr>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性格や意志の問題？</w:t>
            </w:r>
          </w:p>
        </w:tc>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いいえ。脳の病気であり、努力や根性で防いだり治したりできるものではない</w:t>
            </w:r>
          </w:p>
        </w:tc>
      </w:tr>
    </w:tbl>
    <w:p>
      <w:pPr>
        <w:spacing w:after="200"/>
      </w:pPr>
    </w:p>
    <w:p>
      <w:pPr>
        <w:widowControl/>
        <w:spacing w:lineRule="auto" w:line="324" w:after="120"/>
      </w:pPr>
      <w:r>
        <w:rPr>
          <w:rFonts w:ascii="MS ゴシック" w:hAnsi="MS ゴシック" w:eastAsia="MS ゴシック"/>
          <w:b w:val="0"/>
          <w:sz w:val="22"/>
        </w:rPr>
        <w:t>「統合失調症」という名前は、2002年に日本で「精神分裂病」から改称されました。差別的なイメージをなくし、病気を正しく理解してもらうための変更です。</w:t>
      </w:r>
    </w:p>
    <w:p>
      <w:r>
        <w:br w:type="page"/>
      </w:r>
    </w:p>
    <w:p>
      <w:pPr>
        <w:keepNext/>
        <w:widowControl/>
        <w:spacing w:before="320" w:after="200"/>
        <w:pBdr>
          <w:bottom w:val="single" w:sz="6" w:space="3" w:color="B0B0B0"/>
        </w:pBdr>
      </w:pPr>
      <w:r>
        <w:rPr>
          <w:rFonts w:ascii="MS ゴシック" w:hAnsi="MS ゴシック" w:eastAsia="MS ゴシック"/>
          <w:b/>
          <w:sz w:val="26"/>
        </w:rPr>
        <w:t>② どんなことが起きる？（症状）</w:t>
      </w:r>
    </w:p>
    <w:p>
      <w:pPr>
        <w:widowControl/>
        <w:spacing w:lineRule="auto" w:line="324" w:after="120"/>
      </w:pPr>
      <w:r>
        <w:rPr>
          <w:rFonts w:ascii="MS ゴシック" w:hAnsi="MS ゴシック" w:eastAsia="MS ゴシック"/>
          <w:b w:val="0"/>
          <w:sz w:val="22"/>
        </w:rPr>
        <w:t>症状は大きく「陽性症状」「陰性症状」「認知症状」の3つに分けて考えると整理しやすいです。すべての人に同じ症状が出るわけではなく、組み合わせや強さは人それぞれです。</w:t>
      </w:r>
    </w:p>
    <w:p>
      <w:pPr>
        <w:keepNext/>
        <w:widowControl/>
        <w:spacing w:before="280" w:after="160"/>
      </w:pPr>
      <w:r>
        <w:rPr>
          <w:rFonts w:ascii="MS ゴシック" w:hAnsi="MS ゴシック" w:eastAsia="MS ゴシック"/>
          <w:b/>
          <w:sz w:val="24"/>
        </w:rPr>
        <w:t>陽性症状（普段はないものが「プラス」される）</w:t>
      </w:r>
    </w:p>
    <w:tbl>
      <w:tblPr>
        <w:tblStyle w:val="TableGrid"/>
        <w:tblW w:type="auto" w:w="0"/>
        <w:jc w:val="left"/>
        <w:tblLook w:firstColumn="1" w:firstRow="1" w:lastColumn="0" w:lastRow="0" w:noHBand="0" w:noVBand="1" w:val="04A0"/>
      </w:tblPr>
      <w:tblGrid>
        <w:gridCol w:w="4830"/>
        <w:gridCol w:w="4830"/>
      </w:tblGrid>
      <w:tr>
        <w:tc>
          <w:tcPr>
            <w:tcW w:type="dxa" w:w="4830"/>
            <w:shd w:val="clear" w:fill="E4E6EB"/>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b/>
                <w:sz w:val="22"/>
              </w:rPr>
              <w:t>症状</w:t>
            </w:r>
          </w:p>
        </w:tc>
        <w:tc>
          <w:tcPr>
            <w:tcW w:type="dxa" w:w="4830"/>
            <w:shd w:val="clear" w:fill="E4E6EB"/>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b/>
                <w:sz w:val="22"/>
              </w:rPr>
              <w:t>どんな体験か（例）</w:t>
            </w:r>
          </w:p>
        </w:tc>
      </w:tr>
      <w:tr>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幻聴（げんちょう）</w:t>
            </w:r>
          </w:p>
        </w:tc>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実際には音がしていないのに声や音が聞こえる。「誰かがしゃべっている」と感じることが多い</w:t>
            </w:r>
          </w:p>
        </w:tc>
      </w:tr>
      <w:tr>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妄想（もうそう）</w:t>
            </w:r>
          </w:p>
        </w:tc>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証拠がないのに「自分は監視されている」「特別なメッセージが自分に向けられている」などと強く信じてしまう</w:t>
            </w:r>
          </w:p>
        </w:tc>
      </w:tr>
      <w:tr>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思考の混乱</w:t>
            </w:r>
          </w:p>
        </w:tc>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考えがバラバラになり、話のつながりがわかりにくくなる</w:t>
            </w:r>
          </w:p>
        </w:tc>
      </w:tr>
    </w:tbl>
    <w:p>
      <w:pPr>
        <w:spacing w:after="200"/>
      </w:pPr>
    </w:p>
    <w:p>
      <w:pPr>
        <w:keepNext/>
        <w:widowControl/>
        <w:spacing w:before="280" w:after="160"/>
      </w:pPr>
      <w:r>
        <w:rPr>
          <w:rFonts w:ascii="MS ゴシック" w:hAnsi="MS ゴシック" w:eastAsia="MS ゴシック"/>
          <w:b/>
          <w:sz w:val="24"/>
        </w:rPr>
        <w:t>陰性症状（普段あるものが「マイナス」される）</w:t>
      </w:r>
    </w:p>
    <w:tbl>
      <w:tblPr>
        <w:tblStyle w:val="TableGrid"/>
        <w:tblW w:type="auto" w:w="0"/>
        <w:jc w:val="left"/>
        <w:tblLook w:firstColumn="1" w:firstRow="1" w:lastColumn="0" w:lastRow="0" w:noHBand="0" w:noVBand="1" w:val="04A0"/>
      </w:tblPr>
      <w:tblGrid>
        <w:gridCol w:w="4830"/>
        <w:gridCol w:w="4830"/>
      </w:tblGrid>
      <w:tr>
        <w:tc>
          <w:tcPr>
            <w:tcW w:type="dxa" w:w="4830"/>
            <w:shd w:val="clear" w:fill="E4E6EB"/>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b/>
                <w:sz w:val="22"/>
              </w:rPr>
              <w:t>症状</w:t>
            </w:r>
          </w:p>
        </w:tc>
        <w:tc>
          <w:tcPr>
            <w:tcW w:type="dxa" w:w="4830"/>
            <w:shd w:val="clear" w:fill="E4E6EB"/>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b/>
                <w:sz w:val="22"/>
              </w:rPr>
              <w:t>どんな体験か（例）</w:t>
            </w:r>
          </w:p>
        </w:tc>
      </w:tr>
      <w:tr>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意欲の低下</w:t>
            </w:r>
          </w:p>
        </w:tc>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やりたいことが浮かばない、何もする気になれない</w:t>
            </w:r>
          </w:p>
        </w:tc>
      </w:tr>
      <w:tr>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感情の平坦化</w:t>
            </w:r>
          </w:p>
        </w:tc>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うれしい・かなしいという気持ちが感じにくくなる、表情が乏しくなる</w:t>
            </w:r>
          </w:p>
        </w:tc>
      </w:tr>
      <w:tr>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社会的な引きこもり</w:t>
            </w:r>
          </w:p>
        </w:tc>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人と関わることが億劫になる、外出が減る</w:t>
            </w:r>
          </w:p>
        </w:tc>
      </w:tr>
    </w:tbl>
    <w:p>
      <w:pPr>
        <w:spacing w:after="200"/>
      </w:pPr>
    </w:p>
    <w:p>
      <w:pPr>
        <w:keepNext/>
        <w:widowControl/>
        <w:spacing w:before="280" w:after="160"/>
      </w:pPr>
      <w:r>
        <w:rPr>
          <w:rFonts w:ascii="MS ゴシック" w:hAnsi="MS ゴシック" w:eastAsia="MS ゴシック"/>
          <w:b/>
          <w:sz w:val="24"/>
        </w:rPr>
        <w:t>認知症状（考える力や記憶に影響が出る）</w:t>
      </w:r>
    </w:p>
    <w:p>
      <w:pPr>
        <w:pStyle w:val="ListBullet"/>
        <w:widowControl/>
        <w:spacing w:after="120" w:lineRule="auto" w:line="324"/>
        <w:ind w:left="360" w:hanging="120"/>
      </w:pPr>
      <w:r>
        <w:rPr>
          <w:rFonts w:ascii="MS ゴシック" w:hAnsi="MS ゴシック" w:eastAsia="MS ゴシック"/>
          <w:sz w:val="22"/>
        </w:rPr>
        <w:t>集中力が続きにくくなる</w:t>
      </w:r>
    </w:p>
    <w:p>
      <w:pPr>
        <w:pStyle w:val="ListBullet"/>
        <w:widowControl/>
        <w:spacing w:after="120" w:lineRule="auto" w:line="324"/>
        <w:ind w:left="360" w:hanging="120"/>
      </w:pPr>
      <w:r>
        <w:rPr>
          <w:rFonts w:ascii="MS ゴシック" w:hAnsi="MS ゴシック" w:eastAsia="MS ゴシック"/>
          <w:sz w:val="22"/>
        </w:rPr>
        <w:t>物事を覚えておく（短期記憶）のが難しくなる</w:t>
      </w:r>
    </w:p>
    <w:p>
      <w:pPr>
        <w:pStyle w:val="ListBullet"/>
        <w:widowControl/>
        <w:spacing w:after="120" w:lineRule="auto" w:line="324"/>
        <w:ind w:left="360" w:hanging="120"/>
      </w:pPr>
      <w:r>
        <w:rPr>
          <w:rFonts w:ascii="MS ゴシック" w:hAnsi="MS ゴシック" w:eastAsia="MS ゴシック"/>
          <w:sz w:val="22"/>
        </w:rPr>
        <w:t>計画を立てて実行することが苦手になる</w:t>
      </w:r>
    </w:p>
    <w:p>
      <w:pPr>
        <w:widowControl/>
        <w:spacing w:lineRule="auto" w:line="324" w:after="120"/>
      </w:pPr>
      <w:r>
        <w:rPr>
          <w:rFonts w:ascii="MS ゴシック" w:hAnsi="MS ゴシック" w:eastAsia="MS ゴシック"/>
          <w:b w:val="0"/>
          <w:sz w:val="22"/>
        </w:rPr>
        <w:t>これらの症状は、治療によって多くの場合やわらいだり、コントロールできるようになります。</w:t>
      </w:r>
    </w:p>
    <w:p>
      <w:r>
        <w:br w:type="page"/>
      </w:r>
    </w:p>
    <w:p>
      <w:pPr>
        <w:keepNext/>
        <w:widowControl/>
        <w:spacing w:before="320" w:after="200"/>
        <w:pBdr>
          <w:bottom w:val="single" w:sz="6" w:space="3" w:color="B0B0B0"/>
        </w:pBdr>
      </w:pPr>
      <w:r>
        <w:rPr>
          <w:rFonts w:ascii="MS ゴシック" w:hAnsi="MS ゴシック" w:eastAsia="MS ゴシック"/>
          <w:b/>
          <w:sz w:val="26"/>
        </w:rPr>
        <w:t>③ なぜなるの？（原因）</w:t>
      </w:r>
    </w:p>
    <w:p>
      <w:pPr>
        <w:widowControl/>
        <w:spacing w:lineRule="auto" w:line="324" w:after="120"/>
      </w:pPr>
      <w:r>
        <w:rPr>
          <w:rFonts w:ascii="MS ゴシック" w:hAnsi="MS ゴシック" w:eastAsia="MS ゴシック"/>
          <w:b w:val="0"/>
          <w:sz w:val="22"/>
        </w:rPr>
        <w:t>統合失調症の原因は、「これ一つ」と断言できるものはまだわかっていません。現在の研究では、複数の要因が重なって発症すると考えられています。</w:t>
      </w:r>
    </w:p>
    <w:p>
      <w:pPr>
        <w:keepNext/>
        <w:widowControl/>
        <w:spacing w:before="280" w:after="160"/>
      </w:pPr>
      <w:r>
        <w:rPr>
          <w:rFonts w:ascii="MS ゴシック" w:hAnsi="MS ゴシック" w:eastAsia="MS ゴシック"/>
          <w:b/>
          <w:sz w:val="24"/>
        </w:rPr>
        <w:t>関わっていると考えられている要因</w:t>
      </w:r>
    </w:p>
    <w:tbl>
      <w:tblPr>
        <w:tblStyle w:val="TableGrid"/>
        <w:tblW w:type="auto" w:w="0"/>
        <w:jc w:val="left"/>
        <w:tblLook w:firstColumn="1" w:firstRow="1" w:lastColumn="0" w:lastRow="0" w:noHBand="0" w:noVBand="1" w:val="04A0"/>
      </w:tblPr>
      <w:tblGrid>
        <w:gridCol w:w="4830"/>
        <w:gridCol w:w="4830"/>
      </w:tblGrid>
      <w:tr>
        <w:tc>
          <w:tcPr>
            <w:tcW w:type="dxa" w:w="4830"/>
            <w:shd w:val="clear" w:fill="E4E6EB"/>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b/>
                <w:sz w:val="22"/>
              </w:rPr>
              <w:t>要因</w:t>
            </w:r>
          </w:p>
        </w:tc>
        <w:tc>
          <w:tcPr>
            <w:tcW w:type="dxa" w:w="4830"/>
            <w:shd w:val="clear" w:fill="E4E6EB"/>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b/>
                <w:sz w:val="22"/>
              </w:rPr>
              <w:t>くわしく</w:t>
            </w:r>
          </w:p>
        </w:tc>
      </w:tr>
      <w:tr>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脳の神経伝達物質</w:t>
            </w:r>
          </w:p>
        </w:tc>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脳の中で情報を伝える「ドーパミン」などのバランスが乱れることが関わっていると考えられている</w:t>
            </w:r>
          </w:p>
        </w:tc>
      </w:tr>
      <w:tr>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遺伝（いでん）</w:t>
            </w:r>
          </w:p>
        </w:tc>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家族に同じ病気の人がいると、やや発症しやすくなる。ただし、家族が発症していても必ずなるわけではない</w:t>
            </w:r>
          </w:p>
        </w:tc>
      </w:tr>
      <w:tr>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ストレスや環境</w:t>
            </w:r>
          </w:p>
        </w:tc>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強いストレス、睡眠不足、大麻などの薬物使用が発症の引き金になることがある</w:t>
            </w:r>
          </w:p>
        </w:tc>
      </w:tr>
      <w:tr>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脳の発達</w:t>
            </w:r>
          </w:p>
        </w:tc>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胎児のころの脳の発達や、思春期の脳の変化が関係している可能性がある</w:t>
            </w:r>
          </w:p>
        </w:tc>
      </w:tr>
    </w:tbl>
    <w:p>
      <w:pPr>
        <w:spacing w:after="200"/>
      </w:pPr>
    </w:p>
    <w:p>
      <w:pPr>
        <w:widowControl/>
        <w:spacing w:lineRule="auto" w:line="324" w:after="120"/>
      </w:pPr>
      <w:r>
        <w:rPr>
          <w:rFonts w:ascii="MS ゴシック" w:hAnsi="MS ゴシック" w:eastAsia="MS ゴシック"/>
          <w:b w:val="0"/>
          <w:sz w:val="22"/>
        </w:rPr>
        <w:t>「育て方が悪かったから」「本人が弱いから」ではありません。複数の生物学的・環境的な要因が重なって起こる病気です。</w:t>
      </w:r>
    </w:p>
    <w:p>
      <w:pPr>
        <w:keepNext/>
        <w:widowControl/>
        <w:spacing w:before="280" w:after="160"/>
      </w:pPr>
      <w:r>
        <w:rPr>
          <w:rFonts w:ascii="MS ゴシック" w:hAnsi="MS ゴシック" w:eastAsia="MS ゴシック"/>
          <w:b/>
          <w:sz w:val="24"/>
        </w:rPr>
        <w:t>発症しやすい時期とその理由</w:t>
      </w:r>
    </w:p>
    <w:p>
      <w:pPr>
        <w:widowControl/>
        <w:spacing w:lineRule="auto" w:line="324" w:after="120"/>
      </w:pPr>
      <w:r>
        <w:rPr>
          <w:rFonts w:ascii="MS ゴシック" w:hAnsi="MS ゴシック" w:eastAsia="MS ゴシック"/>
          <w:b w:val="0"/>
          <w:sz w:val="22"/>
        </w:rPr>
        <w:t>10代後半から30代に多いのは、この時期の脳が大きく変化・発達する時期と重なるためと考えられています。学校生活や就職、人間関係など、大きな変化が続くライフステージでもあります。</w:t>
      </w:r>
    </w:p>
    <w:p>
      <w:r>
        <w:br w:type="page"/>
      </w:r>
    </w:p>
    <w:p>
      <w:pPr>
        <w:keepNext/>
        <w:widowControl/>
        <w:spacing w:before="320" w:after="200"/>
        <w:pBdr>
          <w:bottom w:val="single" w:sz="6" w:space="3" w:color="B0B0B0"/>
        </w:pBdr>
      </w:pPr>
      <w:r>
        <w:rPr>
          <w:rFonts w:ascii="MS ゴシック" w:hAnsi="MS ゴシック" w:eastAsia="MS ゴシック"/>
          <w:b/>
          <w:sz w:val="26"/>
        </w:rPr>
        <w:t>④ 治療と回復について</w:t>
      </w:r>
    </w:p>
    <w:p>
      <w:pPr>
        <w:widowControl/>
        <w:spacing w:lineRule="auto" w:line="324" w:after="120"/>
      </w:pPr>
      <w:r>
        <w:rPr>
          <w:rFonts w:ascii="MS ゴシック" w:hAnsi="MS ゴシック" w:eastAsia="MS ゴシック"/>
          <w:b w:val="0"/>
          <w:sz w:val="22"/>
        </w:rPr>
        <w:t>統合失調症は、適切な治療と支援を続けることで、多くの人が症状をコントロールしながら生活できるようになります。「一度かかったら一生おかしい」というのは誤解です。</w:t>
      </w:r>
    </w:p>
    <w:p>
      <w:pPr>
        <w:keepNext/>
        <w:widowControl/>
        <w:spacing w:before="280" w:after="160"/>
      </w:pPr>
      <w:r>
        <w:rPr>
          <w:rFonts w:ascii="MS ゴシック" w:hAnsi="MS ゴシック" w:eastAsia="MS ゴシック"/>
          <w:b/>
          <w:sz w:val="24"/>
        </w:rPr>
        <w:t>主な治療の方法</w:t>
      </w:r>
    </w:p>
    <w:tbl>
      <w:tblPr>
        <w:tblStyle w:val="TableGrid"/>
        <w:tblW w:type="auto" w:w="0"/>
        <w:jc w:val="left"/>
        <w:tblLook w:firstColumn="1" w:firstRow="1" w:lastColumn="0" w:lastRow="0" w:noHBand="0" w:noVBand="1" w:val="04A0"/>
      </w:tblPr>
      <w:tblGrid>
        <w:gridCol w:w="4830"/>
        <w:gridCol w:w="4830"/>
      </w:tblGrid>
      <w:tr>
        <w:tc>
          <w:tcPr>
            <w:tcW w:type="dxa" w:w="4830"/>
            <w:shd w:val="clear" w:fill="E4E6EB"/>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b/>
                <w:sz w:val="22"/>
              </w:rPr>
              <w:t>治療の種類</w:t>
            </w:r>
          </w:p>
        </w:tc>
        <w:tc>
          <w:tcPr>
            <w:tcW w:type="dxa" w:w="4830"/>
            <w:shd w:val="clear" w:fill="E4E6EB"/>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b/>
                <w:sz w:val="22"/>
              </w:rPr>
              <w:t>どんなことをするか</w:t>
            </w:r>
          </w:p>
        </w:tc>
      </w:tr>
      <w:tr>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薬物療法（くすり）</w:t>
            </w:r>
          </w:p>
        </w:tc>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脳の神経伝達物質のバランスを整える「抗精神病薬」が中心。飲み続けることで再発を防ぎやすくなる</w:t>
            </w:r>
          </w:p>
        </w:tc>
      </w:tr>
      <w:tr>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心理教育</w:t>
            </w:r>
          </w:p>
        </w:tc>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病気や薬のことを正しく学んで、自分の状態を理解する。本人だけでなく家族と一緒に行うこともある</w:t>
            </w:r>
          </w:p>
        </w:tc>
      </w:tr>
      <w:tr>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カウンセリング・認知行動療法</w:t>
            </w:r>
          </w:p>
        </w:tc>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つらい体験（声が聞こえるなど）への対処法を一緒に考える</w:t>
            </w:r>
          </w:p>
        </w:tc>
      </w:tr>
      <w:tr>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デイケア・リハビリ</w:t>
            </w:r>
          </w:p>
        </w:tc>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生活リズムを整えたり、仲間と活動したり、働く準備をしたりする場</w:t>
            </w:r>
          </w:p>
        </w:tc>
      </w:tr>
      <w:tr>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家族・周囲のサポート</w:t>
            </w:r>
          </w:p>
        </w:tc>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家族が正しく理解し、プレッシャーをかけすぎない関わり方が回復を助ける</w:t>
            </w:r>
          </w:p>
        </w:tc>
      </w:tr>
    </w:tbl>
    <w:p>
      <w:pPr>
        <w:spacing w:after="200"/>
      </w:pPr>
    </w:p>
    <w:p>
      <w:pPr>
        <w:keepNext/>
        <w:widowControl/>
        <w:spacing w:before="280" w:after="160"/>
      </w:pPr>
      <w:r>
        <w:rPr>
          <w:rFonts w:ascii="MS ゴシック" w:hAnsi="MS ゴシック" w:eastAsia="MS ゴシック"/>
          <w:b/>
          <w:sz w:val="24"/>
        </w:rPr>
        <w:t>回復のイメージ</w:t>
      </w:r>
    </w:p>
    <w:p>
      <w:pPr>
        <w:pStyle w:val="ListBullet"/>
        <w:widowControl/>
        <w:spacing w:after="120" w:lineRule="auto" w:line="324"/>
        <w:ind w:left="360" w:hanging="120"/>
      </w:pPr>
      <w:r>
        <w:rPr>
          <w:rFonts w:ascii="MS ゴシック" w:hAnsi="MS ゴシック" w:eastAsia="MS ゴシック"/>
          <w:sz w:val="22"/>
        </w:rPr>
        <w:t>回復は「一直線」ではなく、調子が良い時期と悪い時期を繰り返しながら、全体的に改善していく</w:t>
      </w:r>
    </w:p>
    <w:p>
      <w:pPr>
        <w:pStyle w:val="ListBullet"/>
        <w:widowControl/>
        <w:spacing w:after="120" w:lineRule="auto" w:line="324"/>
        <w:ind w:left="360" w:hanging="120"/>
      </w:pPr>
      <w:r>
        <w:rPr>
          <w:rFonts w:ascii="MS ゴシック" w:hAnsi="MS ゴシック" w:eastAsia="MS ゴシック"/>
          <w:sz w:val="22"/>
        </w:rPr>
        <w:t>「症状がゼロになること」だけが回復ではない。学校・仕事・趣味・人間関係など、自分が大切にしたいことができるようになることが目標</w:t>
      </w:r>
    </w:p>
    <w:p>
      <w:pPr>
        <w:pStyle w:val="ListBullet"/>
        <w:widowControl/>
        <w:spacing w:after="120" w:lineRule="auto" w:line="324"/>
        <w:ind w:left="360" w:hanging="120"/>
      </w:pPr>
      <w:r>
        <w:rPr>
          <w:rFonts w:ascii="MS ゴシック" w:hAnsi="MS ゴシック" w:eastAsia="MS ゴシック"/>
          <w:sz w:val="22"/>
        </w:rPr>
        <w:t>早く気づいて治療を始めるほど、回復が早い傾向がある</w:t>
      </w:r>
    </w:p>
    <w:p>
      <w:pPr>
        <w:widowControl/>
        <w:spacing w:lineRule="auto" w:line="324" w:after="120"/>
      </w:pPr>
      <w:r>
        <w:rPr>
          <w:rFonts w:ascii="MS ゴシック" w:hAnsi="MS ゴシック" w:eastAsia="MS ゴシック"/>
          <w:b w:val="0"/>
          <w:sz w:val="22"/>
        </w:rPr>
        <w:t>薬を勝手にやめると再発しやすくなります。調子が良くなってきても、自己判断でやめず、必ず医師に相談してください。</w:t>
      </w:r>
    </w:p>
    <w:p>
      <w:r>
        <w:br w:type="page"/>
      </w:r>
    </w:p>
    <w:p>
      <w:pPr>
        <w:keepNext/>
        <w:widowControl/>
        <w:spacing w:before="320" w:after="200"/>
        <w:pBdr>
          <w:bottom w:val="single" w:sz="6" w:space="3" w:color="B0B0B0"/>
        </w:pBdr>
      </w:pPr>
      <w:r>
        <w:rPr>
          <w:rFonts w:ascii="MS ゴシック" w:hAnsi="MS ゴシック" w:eastAsia="MS ゴシック"/>
          <w:b/>
          <w:sz w:val="26"/>
        </w:rPr>
        <w:t>⑤ 日常生活・学校・仕事への影響</w:t>
      </w:r>
    </w:p>
    <w:p>
      <w:pPr>
        <w:widowControl/>
        <w:spacing w:lineRule="auto" w:line="324" w:after="120"/>
      </w:pPr>
      <w:r>
        <w:rPr>
          <w:rFonts w:ascii="MS ゴシック" w:hAnsi="MS ゴシック" w:eastAsia="MS ゴシック"/>
          <w:b w:val="0"/>
          <w:sz w:val="22"/>
        </w:rPr>
        <w:t>統合失調症になると、日常生活のさまざまな場面に影響が出ることがあります。しかし、支援をうまく使うことで、多くの人が学校や仕事を続けたり、再開したりしています。</w:t>
      </w:r>
    </w:p>
    <w:p>
      <w:pPr>
        <w:keepNext/>
        <w:widowControl/>
        <w:spacing w:before="280" w:after="160"/>
      </w:pPr>
      <w:r>
        <w:rPr>
          <w:rFonts w:ascii="MS ゴシック" w:hAnsi="MS ゴシック" w:eastAsia="MS ゴシック"/>
          <w:b/>
          <w:sz w:val="24"/>
        </w:rPr>
        <w:t>よくある困りごとと対策</w:t>
      </w:r>
    </w:p>
    <w:tbl>
      <w:tblPr>
        <w:tblStyle w:val="TableGrid"/>
        <w:tblW w:type="auto" w:w="0"/>
        <w:jc w:val="left"/>
        <w:tblLook w:firstColumn="1" w:firstRow="1" w:lastColumn="0" w:lastRow="0" w:noHBand="0" w:noVBand="1" w:val="04A0"/>
      </w:tblPr>
      <w:tblGrid>
        <w:gridCol w:w="3220"/>
        <w:gridCol w:w="3220"/>
        <w:gridCol w:w="3220"/>
      </w:tblGrid>
      <w:tr>
        <w:tc>
          <w:tcPr>
            <w:tcW w:type="dxa" w:w="3220"/>
            <w:shd w:val="clear" w:fill="E4E6EB"/>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b/>
                <w:sz w:val="22"/>
              </w:rPr>
              <w:t>場面</w:t>
            </w:r>
          </w:p>
        </w:tc>
        <w:tc>
          <w:tcPr>
            <w:tcW w:type="dxa" w:w="3220"/>
            <w:shd w:val="clear" w:fill="E4E6EB"/>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b/>
                <w:sz w:val="22"/>
              </w:rPr>
              <w:t>よくある困りごと</w:t>
            </w:r>
          </w:p>
        </w:tc>
        <w:tc>
          <w:tcPr>
            <w:tcW w:type="dxa" w:w="3220"/>
            <w:shd w:val="clear" w:fill="E4E6EB"/>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b/>
                <w:sz w:val="22"/>
              </w:rPr>
              <w:t>できる対策・工夫</w:t>
            </w:r>
          </w:p>
        </w:tc>
      </w:tr>
      <w:tr>
        <w:tc>
          <w:tcPr>
            <w:tcW w:type="dxa" w:w="322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学校</w:t>
            </w:r>
          </w:p>
        </w:tc>
        <w:tc>
          <w:tcPr>
            <w:tcW w:type="dxa" w:w="322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集中が続かない、休みがちになる</w:t>
            </w:r>
          </w:p>
        </w:tc>
        <w:tc>
          <w:tcPr>
            <w:tcW w:type="dxa" w:w="322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スクールカウンセラーや支援の先生に相談する。必要なら休学・復学の制度を利用する</w:t>
            </w:r>
          </w:p>
        </w:tc>
      </w:tr>
      <w:tr>
        <w:tc>
          <w:tcPr>
            <w:tcW w:type="dxa" w:w="322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仕事</w:t>
            </w:r>
          </w:p>
        </w:tc>
        <w:tc>
          <w:tcPr>
            <w:tcW w:type="dxa" w:w="322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ミスが増える、疲れやすい</w:t>
            </w:r>
          </w:p>
        </w:tc>
        <w:tc>
          <w:tcPr>
            <w:tcW w:type="dxa" w:w="322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職場に障害を開示して配慮を求める（障害者雇用）か、就労支援機関に相談する</w:t>
            </w:r>
          </w:p>
        </w:tc>
      </w:tr>
      <w:tr>
        <w:tc>
          <w:tcPr>
            <w:tcW w:type="dxa" w:w="322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人間関係</w:t>
            </w:r>
          </w:p>
        </w:tc>
        <w:tc>
          <w:tcPr>
            <w:tcW w:type="dxa" w:w="322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人が怖く感じる、引きこもりがち</w:t>
            </w:r>
          </w:p>
        </w:tc>
        <w:tc>
          <w:tcPr>
            <w:tcW w:type="dxa" w:w="322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グループへの参加（デイケアなど）から少しずつ始める</w:t>
            </w:r>
          </w:p>
        </w:tc>
      </w:tr>
      <w:tr>
        <w:tc>
          <w:tcPr>
            <w:tcW w:type="dxa" w:w="322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お金・生活</w:t>
            </w:r>
          </w:p>
        </w:tc>
        <w:tc>
          <w:tcPr>
            <w:tcW w:type="dxa" w:w="322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働けない時期の生活費が心配</w:t>
            </w:r>
          </w:p>
        </w:tc>
        <w:tc>
          <w:tcPr>
            <w:tcW w:type="dxa" w:w="322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障害年金や自立支援医療費制度（通院費の自己負担を減らせる）などの制度がある</w:t>
            </w:r>
          </w:p>
        </w:tc>
      </w:tr>
    </w:tbl>
    <w:p>
      <w:pPr>
        <w:spacing w:after="200"/>
      </w:pPr>
    </w:p>
    <w:p>
      <w:pPr>
        <w:keepNext/>
        <w:widowControl/>
        <w:spacing w:before="280" w:after="160"/>
      </w:pPr>
      <w:r>
        <w:rPr>
          <w:rFonts w:ascii="MS ゴシック" w:hAnsi="MS ゴシック" w:eastAsia="MS ゴシック"/>
          <w:b/>
          <w:sz w:val="24"/>
        </w:rPr>
        <w:t>使える社会的な支援</w:t>
      </w:r>
    </w:p>
    <w:p>
      <w:pPr>
        <w:pStyle w:val="ListBullet"/>
        <w:widowControl/>
        <w:spacing w:after="120" w:lineRule="auto" w:line="324"/>
        <w:ind w:left="360" w:hanging="120"/>
      </w:pPr>
      <w:r>
        <w:rPr>
          <w:rFonts w:ascii="MS ゴシック" w:hAnsi="MS ゴシック" w:eastAsia="MS ゴシック"/>
          <w:sz w:val="22"/>
        </w:rPr>
        <w:t>自立支援医療（精神通院）: 通院にかかる医療費の自己負担が 1 割になる制度</w:t>
      </w:r>
    </w:p>
    <w:p>
      <w:pPr>
        <w:pStyle w:val="ListBullet"/>
        <w:widowControl/>
        <w:spacing w:after="120" w:lineRule="auto" w:line="324"/>
        <w:ind w:left="360" w:hanging="120"/>
      </w:pPr>
      <w:r>
        <w:rPr>
          <w:rFonts w:ascii="MS ゴシック" w:hAnsi="MS ゴシック" w:eastAsia="MS ゴシック"/>
          <w:sz w:val="22"/>
        </w:rPr>
        <w:t>障害者手帳（精神障害者保健福祉手帳）: 交通費割引・就職支援・税制優遇などが受けられる</w:t>
      </w:r>
    </w:p>
    <w:p>
      <w:pPr>
        <w:pStyle w:val="ListBullet"/>
        <w:widowControl/>
        <w:spacing w:after="120" w:lineRule="auto" w:line="324"/>
        <w:ind w:left="360" w:hanging="120"/>
      </w:pPr>
      <w:r>
        <w:rPr>
          <w:rFonts w:ascii="MS ゴシック" w:hAnsi="MS ゴシック" w:eastAsia="MS ゴシック"/>
          <w:sz w:val="22"/>
        </w:rPr>
        <w:t>障害年金: 病気で働けない・働きにくい場合に受け取れる年金</w:t>
      </w:r>
    </w:p>
    <w:p>
      <w:pPr>
        <w:pStyle w:val="ListBullet"/>
        <w:widowControl/>
        <w:spacing w:after="120" w:lineRule="auto" w:line="324"/>
        <w:ind w:left="360" w:hanging="120"/>
      </w:pPr>
      <w:r>
        <w:rPr>
          <w:rFonts w:ascii="MS ゴシック" w:hAnsi="MS ゴシック" w:eastAsia="MS ゴシック"/>
          <w:sz w:val="22"/>
        </w:rPr>
        <w:t>就労移行支援: 働くための準備を一緒にしてくれる事業所（原則 2 年間）</w:t>
      </w:r>
    </w:p>
    <w:p>
      <w:pPr>
        <w:pStyle w:val="ListBullet"/>
        <w:widowControl/>
        <w:spacing w:after="120" w:lineRule="auto" w:line="324"/>
        <w:ind w:left="360" w:hanging="120"/>
      </w:pPr>
      <w:r>
        <w:rPr>
          <w:rFonts w:ascii="MS ゴシック" w:hAnsi="MS ゴシック" w:eastAsia="MS ゴシック"/>
          <w:sz w:val="22"/>
        </w:rPr>
        <w:t>相談窓口: 各市区町村の精神保健福祉センター・障害福祉担当窓口</w:t>
      </w:r>
    </w:p>
    <w:p>
      <w:r>
        <w:br w:type="page"/>
      </w:r>
    </w:p>
    <w:p>
      <w:pPr>
        <w:keepNext/>
        <w:widowControl/>
        <w:spacing w:before="320" w:after="200"/>
        <w:pBdr>
          <w:bottom w:val="single" w:sz="6" w:space="3" w:color="B0B0B0"/>
        </w:pBdr>
      </w:pPr>
      <w:r>
        <w:rPr>
          <w:rFonts w:ascii="MS ゴシック" w:hAnsi="MS ゴシック" w:eastAsia="MS ゴシック"/>
          <w:b/>
          <w:sz w:val="26"/>
        </w:rPr>
        <w:t>⑥ 偏見をなくすために／困っている人へのサポート</w:t>
      </w:r>
    </w:p>
    <w:p>
      <w:pPr>
        <w:keepNext/>
        <w:widowControl/>
        <w:spacing w:before="280" w:after="160"/>
      </w:pPr>
      <w:r>
        <w:rPr>
          <w:rFonts w:ascii="MS ゴシック" w:hAnsi="MS ゴシック" w:eastAsia="MS ゴシック"/>
          <w:b/>
          <w:sz w:val="24"/>
        </w:rPr>
        <w:t>よくある誤解と、正しい理解</w:t>
      </w:r>
    </w:p>
    <w:tbl>
      <w:tblPr>
        <w:tblStyle w:val="TableGrid"/>
        <w:tblW w:type="auto" w:w="0"/>
        <w:jc w:val="left"/>
        <w:tblLook w:firstColumn="1" w:firstRow="1" w:lastColumn="0" w:lastRow="0" w:noHBand="0" w:noVBand="1" w:val="04A0"/>
      </w:tblPr>
      <w:tblGrid>
        <w:gridCol w:w="4830"/>
        <w:gridCol w:w="4830"/>
      </w:tblGrid>
      <w:tr>
        <w:tc>
          <w:tcPr>
            <w:tcW w:type="dxa" w:w="4830"/>
            <w:shd w:val="clear" w:fill="E4E6EB"/>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b/>
                <w:sz w:val="22"/>
              </w:rPr>
              <w:t>よくある誤解</w:t>
            </w:r>
          </w:p>
        </w:tc>
        <w:tc>
          <w:tcPr>
            <w:tcW w:type="dxa" w:w="4830"/>
            <w:shd w:val="clear" w:fill="E4E6EB"/>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b/>
                <w:sz w:val="22"/>
              </w:rPr>
              <w:t>正しい理解</w:t>
            </w:r>
          </w:p>
        </w:tc>
      </w:tr>
      <w:tr>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「危険な人だ」</w:t>
            </w:r>
          </w:p>
        </w:tc>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統合失調症の人が他者を傷つけるリスクは、一般の人と大きく変わらない。むしろ、孤立や自傷のリスクへの配慮が必要なことが多い</w:t>
            </w:r>
          </w:p>
        </w:tc>
      </w:tr>
      <w:tr>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「一生治らない」</w:t>
            </w:r>
          </w:p>
        </w:tc>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適切な治療で症状をコントロールできる。多くの人が仕事・学業・生活を取り戻す</w:t>
            </w:r>
          </w:p>
        </w:tc>
      </w:tr>
      <w:tr>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「話が通じない」</w:t>
            </w:r>
          </w:p>
        </w:tc>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急性期（症状が強い時期）以外は、普通に会話できることがほとんど</w:t>
            </w:r>
          </w:p>
        </w:tc>
      </w:tr>
      <w:tr>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「自業自得だ」</w:t>
            </w:r>
          </w:p>
        </w:tc>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生物学的・環境的な要因が重なって起きる病気。本人の責任ではない</w:t>
            </w:r>
          </w:p>
        </w:tc>
      </w:tr>
      <w:tr>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「精神病=怖い」</w:t>
            </w:r>
          </w:p>
        </w:tc>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「精神病」という言葉への偏見が治療の遅れにつながる。正しい知識が偏見をなくす</w:t>
            </w:r>
          </w:p>
        </w:tc>
      </w:tr>
    </w:tbl>
    <w:p>
      <w:pPr>
        <w:spacing w:after="200"/>
      </w:pPr>
    </w:p>
    <w:p>
      <w:pPr>
        <w:keepNext/>
        <w:widowControl/>
        <w:spacing w:before="280" w:after="160"/>
      </w:pPr>
      <w:r>
        <w:rPr>
          <w:rFonts w:ascii="MS ゴシック" w:hAnsi="MS ゴシック" w:eastAsia="MS ゴシック"/>
          <w:b/>
          <w:sz w:val="24"/>
        </w:rPr>
        <w:t>困っている友人・知人への接し方</w:t>
      </w:r>
    </w:p>
    <w:p>
      <w:pPr>
        <w:widowControl/>
        <w:spacing w:lineRule="auto" w:line="324" w:after="120"/>
      </w:pPr>
      <w:r>
        <w:rPr>
          <w:rFonts w:ascii="MS ゴシック" w:hAnsi="MS ゴシック" w:eastAsia="MS ゴシック"/>
          <w:b w:val="0"/>
          <w:sz w:val="22"/>
        </w:rPr>
        <w:t>身近な人が精神的に苦しんでいるとき、どうすればいいかわからなくて当然です。次のことを心がけるだけで、大きな助けになります。</w:t>
      </w:r>
    </w:p>
    <w:p>
      <w:pPr>
        <w:pStyle w:val="ListBullet"/>
        <w:widowControl/>
        <w:spacing w:after="120" w:lineRule="auto" w:line="324"/>
        <w:ind w:left="360" w:hanging="120"/>
      </w:pPr>
      <w:r>
        <w:rPr>
          <w:rFonts w:ascii="MS ゴシック" w:hAnsi="MS ゴシック" w:eastAsia="MS ゴシック"/>
          <w:sz w:val="22"/>
        </w:rPr>
        <w:t>まず「話を聞く」: 解決しようとせず、「大変だったね」と気持ちを受け止める</w:t>
      </w:r>
    </w:p>
    <w:p>
      <w:pPr>
        <w:pStyle w:val="ListBullet"/>
        <w:widowControl/>
        <w:spacing w:after="120" w:lineRule="auto" w:line="324"/>
        <w:ind w:left="360" w:hanging="120"/>
      </w:pPr>
      <w:r>
        <w:rPr>
          <w:rFonts w:ascii="MS ゴシック" w:hAnsi="MS ゴシック" w:eastAsia="MS ゴシック"/>
          <w:sz w:val="22"/>
        </w:rPr>
        <w:t>否定・説得しない: 「気のせいだよ」「頑張れば大丈夫」は逆効果になることがある</w:t>
      </w:r>
    </w:p>
    <w:p>
      <w:pPr>
        <w:pStyle w:val="ListBullet"/>
        <w:widowControl/>
        <w:spacing w:after="120" w:lineRule="auto" w:line="324"/>
        <w:ind w:left="360" w:hanging="120"/>
      </w:pPr>
      <w:r>
        <w:rPr>
          <w:rFonts w:ascii="MS ゴシック" w:hAnsi="MS ゴシック" w:eastAsia="MS ゴシック"/>
          <w:sz w:val="22"/>
        </w:rPr>
        <w:t>専門家につなぐ: 「一緒に相談窓口に行こう」と誘う。1人で抱え込まなくていい</w:t>
      </w:r>
    </w:p>
    <w:p>
      <w:pPr>
        <w:pStyle w:val="ListBullet"/>
        <w:widowControl/>
        <w:spacing w:after="120" w:lineRule="auto" w:line="324"/>
        <w:ind w:left="360" w:hanging="120"/>
      </w:pPr>
      <w:r>
        <w:rPr>
          <w:rFonts w:ascii="MS ゴシック" w:hAnsi="MS ゴシック" w:eastAsia="MS ゴシック"/>
          <w:sz w:val="22"/>
        </w:rPr>
        <w:t>秘密を守る: 聞いたことを本人の許可なく広めない</w:t>
      </w:r>
    </w:p>
    <w:p>
      <w:pPr>
        <w:pStyle w:val="ListBullet"/>
        <w:widowControl/>
        <w:spacing w:after="120" w:lineRule="auto" w:line="324"/>
        <w:ind w:left="360" w:hanging="120"/>
      </w:pPr>
      <w:r>
        <w:rPr>
          <w:rFonts w:ascii="MS ゴシック" w:hAnsi="MS ゴシック" w:eastAsia="MS ゴシック"/>
          <w:sz w:val="22"/>
        </w:rPr>
        <w:t>自分も無理しない: サポートする側も疲弊しないよう、自分のペースで関わる</w:t>
      </w:r>
    </w:p>
    <w:p>
      <w:pPr>
        <w:keepNext/>
        <w:widowControl/>
        <w:spacing w:before="280" w:after="160"/>
      </w:pPr>
      <w:r>
        <w:rPr>
          <w:rFonts w:ascii="MS ゴシック" w:hAnsi="MS ゴシック" w:eastAsia="MS ゴシック"/>
          <w:b/>
          <w:sz w:val="24"/>
        </w:rPr>
        <w:t>相談できる主な窓口</w:t>
      </w:r>
    </w:p>
    <w:tbl>
      <w:tblPr>
        <w:tblStyle w:val="TableGrid"/>
        <w:tblW w:type="auto" w:w="0"/>
        <w:jc w:val="left"/>
        <w:tblLook w:firstColumn="1" w:firstRow="1" w:lastColumn="0" w:lastRow="0" w:noHBand="0" w:noVBand="1" w:val="04A0"/>
      </w:tblPr>
      <w:tblGrid>
        <w:gridCol w:w="4830"/>
        <w:gridCol w:w="4830"/>
      </w:tblGrid>
      <w:tr>
        <w:tc>
          <w:tcPr>
            <w:tcW w:type="dxa" w:w="4830"/>
            <w:shd w:val="clear" w:fill="E4E6EB"/>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b/>
                <w:sz w:val="22"/>
              </w:rPr>
              <w:t>窓口</w:t>
            </w:r>
          </w:p>
        </w:tc>
        <w:tc>
          <w:tcPr>
            <w:tcW w:type="dxa" w:w="4830"/>
            <w:shd w:val="clear" w:fill="E4E6EB"/>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b/>
                <w:sz w:val="22"/>
              </w:rPr>
              <w:t>連絡先・内容</w:t>
            </w:r>
          </w:p>
        </w:tc>
      </w:tr>
      <w:tr>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精神保健福祉センター</w:t>
            </w:r>
          </w:p>
        </w:tc>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各都道府県に設置。無料で相談できる（本人・家族・周囲の人も可）</w:t>
            </w:r>
          </w:p>
        </w:tc>
      </w:tr>
      <w:tr>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こころの健康相談統一ダイヤル</w:t>
            </w:r>
          </w:p>
        </w:tc>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0570-064-556（全国共通）平日の相談窓口</w:t>
            </w:r>
          </w:p>
        </w:tc>
      </w:tr>
      <w:tr>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よりそいホットライン</w:t>
            </w:r>
          </w:p>
        </w:tc>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0120-279-338（24時間・無料）</w:t>
            </w:r>
          </w:p>
        </w:tc>
      </w:tr>
      <w:tr>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学校のスクールカウンセラー</w:t>
            </w:r>
          </w:p>
        </w:tc>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在学中の生徒・学生は学校内で相談できる</w:t>
            </w:r>
          </w:p>
        </w:tc>
      </w:tr>
    </w:tbl>
    <w:p>
      <w:pPr>
        <w:spacing w:after="200"/>
      </w:pPr>
    </w:p>
    <w:p>
      <w:pPr>
        <w:keepNext/>
        <w:widowControl/>
        <w:spacing w:before="280" w:after="160"/>
      </w:pPr>
      <w:r>
        <w:rPr>
          <w:rFonts w:ascii="MS ゴシック" w:hAnsi="MS ゴシック" w:eastAsia="MS ゴシック"/>
          <w:b/>
          <w:sz w:val="24"/>
        </w:rPr>
        <w:t>この資料を読んで</w:t>
      </w:r>
    </w:p>
    <w:p>
      <w:pPr>
        <w:widowControl/>
        <w:spacing w:lineRule="auto" w:line="324" w:after="120"/>
      </w:pPr>
      <w:r>
        <w:rPr>
          <w:rFonts w:ascii="MS ゴシック" w:hAnsi="MS ゴシック" w:eastAsia="MS ゴシック"/>
          <w:b w:val="0"/>
          <w:sz w:val="22"/>
        </w:rPr>
        <w:t>統合失調症は、正しく理解すれば「怖い病気」ではなく、「適切な支援があれば回復できる病気」です。偏見や無関心ではなく、正しい知識と温かい関わりが、本人を助け、社会全体をより生きやすくします。</w:t>
      </w:r>
    </w:p>
    <w:p>
      <w:r>
        <w:br w:type="page"/>
      </w:r>
    </w:p>
    <w:p>
      <w:pPr>
        <w:keepNext/>
        <w:widowControl/>
        <w:spacing w:before="320" w:after="200"/>
        <w:pBdr>
          <w:bottom w:val="single" w:sz="6" w:space="3" w:color="B0B0B0"/>
        </w:pBdr>
      </w:pPr>
      <w:r>
        <w:rPr>
          <w:rFonts w:ascii="MS ゴシック" w:hAnsi="MS ゴシック" w:eastAsia="MS ゴシック"/>
          <w:b/>
          <w:sz w:val="26"/>
        </w:rPr>
        <w:t>（付記）</w:t>
      </w:r>
    </w:p>
    <w:p>
      <w:pPr>
        <w:widowControl/>
        <w:spacing w:lineRule="auto" w:line="324" w:after="120"/>
      </w:pPr>
      <w:r>
        <w:rPr>
          <w:rFonts w:ascii="MS ゴシック" w:hAnsi="MS ゴシック" w:eastAsia="MS ゴシック"/>
          <w:b w:val="0"/>
          <w:sz w:val="22"/>
        </w:rPr>
        <w:t>この資料は、統合失調症について正しく知ってもらうことを目的とした一般教育用の資料です。</w:t>
      </w:r>
    </w:p>
    <w:p>
      <w:pPr>
        <w:widowControl/>
        <w:spacing w:lineRule="auto" w:line="324" w:after="120"/>
      </w:pPr>
      <w:r>
        <w:rPr>
          <w:rFonts w:ascii="MS ゴシック" w:hAnsi="MS ゴシック" w:eastAsia="MS ゴシック"/>
          <w:b w:val="0"/>
          <w:sz w:val="22"/>
        </w:rPr>
        <w:t>個別の診断・治療については、必ず医療機関にご相談ください。</w:t>
      </w:r>
    </w:p>
    <w:p>
      <w:pPr>
        <w:widowControl/>
        <w:spacing w:lineRule="auto" w:line="324" w:after="120"/>
      </w:pPr>
      <w:r>
        <w:rPr>
          <w:rFonts w:ascii="MS ゴシック" w:hAnsi="MS ゴシック" w:eastAsia="MS ゴシック"/>
          <w:b w:val="0"/>
          <w:sz w:val="22"/>
        </w:rPr>
        <w:t>参考: 日本精神神経学会、厚生労働省「みんなのメンタルヘルス」、世界保健機関（WHO）</w:t>
      </w:r>
    </w:p>
    <w:sectPr w:rsidR="00FC693F" w:rsidRPr="0006063C" w:rsidSect="00034616">
      <w:pgSz w:w="12240" w:h="15840"/>
      <w:pgMar w:top="1219" w:right="1219" w:bottom="1219"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