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MS ゴシック" w:hAnsi="MS ゴシック" w:eastAsia="MS ゴシック"/>
          <w:b/>
          <w:i w:val="0"/>
          <w:color w:val="1E3A5F"/>
          <w:sz w:val="32"/>
        </w:rPr>
        <w:t>統合失調症って何？</w:t>
      </w:r>
    </w:p>
    <w:p>
      <w:pPr>
        <w:spacing w:after="40"/>
        <w:jc w:val="left"/>
      </w:pPr>
      <w:r>
        <w:rPr>
          <w:rFonts w:ascii="MS ゴシック" w:hAnsi="MS ゴシック" w:eastAsia="MS ゴシック"/>
          <w:b w:val="0"/>
          <w:i w:val="0"/>
          <w:color w:val="0F766E"/>
          <w:sz w:val="23"/>
        </w:rPr>
        <w:t>高校生・一般向け 図解ガイド</w:t>
      </w:r>
    </w:p>
    <w:p>
      <w:pPr>
        <w:spacing w:after="200"/>
        <w:jc w:val="left"/>
      </w:pPr>
      <w:r>
        <w:rPr>
          <w:rFonts w:ascii="MS ゴシック" w:hAnsi="MS ゴシック" w:eastAsia="MS ゴシック"/>
          <w:b w:val="0"/>
          <w:i w:val="0"/>
          <w:color w:val="94A3B8"/>
          <w:sz w:val="19"/>
        </w:rPr>
        <w:t>作成日: 2026年5月</w:t>
      </w:r>
    </w:p>
    <w:p>
      <w:pPr>
        <w:keepNext/>
        <w:widowControl/>
        <w:spacing w:before="360" w:after="160"/>
        <w:pBdr>
          <w:bottom w:val="single" w:sz="8" w:space="3" w:color="0F766E"/>
        </w:pBdr>
      </w:pPr>
      <w:r>
        <w:rPr>
          <w:rFonts w:ascii="MS ゴシック" w:hAnsi="MS ゴシック" w:eastAsia="MS ゴシック"/>
          <w:b/>
          <w:color w:val="1E3A5F"/>
          <w:sz w:val="26"/>
        </w:rPr>
        <w:t>① 統合失調症ってどんな病気？</w:t>
      </w:r>
    </w:p>
    <w:p>
      <w:pPr>
        <w:widowControl/>
        <w:spacing w:lineRule="auto" w:line="324" w:after="100"/>
        <w:jc w:val="left"/>
      </w:pPr>
      <w:r>
        <w:rPr>
          <w:rFonts w:ascii="MS ゴシック" w:hAnsi="MS ゴシック" w:eastAsia="MS ゴシック"/>
          <w:b w:val="0"/>
          <w:i w:val="0"/>
          <w:sz w:val="21"/>
        </w:rPr>
        <w:t>統合失調症は、脳のはたらき方が一時的に変わることで、「ものの聞こえ方・見え方」「考え方」「感じ方」に普段とは違うことが起きる病気です。性格の問題でも本人の努力不足でもなく、脳の医学的な病気です。</w:t>
      </w:r>
    </w:p>
    <w:p>
      <w:pPr>
        <w:keepNext/>
        <w:widowControl/>
        <w:spacing w:before="240" w:after="100"/>
      </w:pPr>
      <w:r>
        <w:rPr>
          <w:rFonts w:ascii="MS ゴシック" w:hAnsi="MS ゴシック" w:eastAsia="MS ゴシック"/>
          <w:b/>
          <w:color w:val="0F766E"/>
          <w:sz w:val="23"/>
        </w:rPr>
        <w:t>知っておきたい数字・事実</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EFF6FF"/>
            <w:tcMar>
              <w:top w:w="120" w:type="dxa"/>
              <w:left w:w="120" w:type="dxa"/>
              <w:bottom w:w="120" w:type="dxa"/>
              <w:right w:w="120" w:type="dxa"/>
            </w:tcMar>
            <w:vAlign w:val="center"/>
          </w:tcPr>
          <w:p>
            <w:pPr>
              <w:spacing w:after="40" w:lineRule="auto" w:line="288"/>
              <w:jc w:val="center"/>
            </w:pPr>
            <w:r/>
            <w:r>
              <w:rPr>
                <w:rFonts w:ascii="MS ゴシック" w:hAnsi="MS ゴシック" w:eastAsia="MS ゴシック"/>
                <w:b/>
                <w:i w:val="0"/>
                <w:color w:val="3B82F6"/>
                <w:sz w:val="30"/>
              </w:rPr>
              <w:t>約 1 %</w:t>
            </w:r>
          </w:p>
          <w:p>
            <w:pPr>
              <w:spacing w:after="0" w:lineRule="auto" w:line="300"/>
              <w:jc w:val="center"/>
            </w:pPr>
            <w:r>
              <w:rPr>
                <w:rFonts w:ascii="MS ゴシック" w:hAnsi="MS ゴシック" w:eastAsia="MS ゴシック"/>
                <w:b w:val="0"/>
                <w:i w:val="0"/>
                <w:sz w:val="19"/>
              </w:rPr>
              <w:t>世界中で100人に1人</w:t>
              <w:br/>
              <w:t>—クラス40人なら身近にいる可能性</w:t>
            </w:r>
          </w:p>
        </w:tc>
        <w:tc>
          <w:tcPr>
            <w:tcW w:type="dxa" w:w="3211"/>
            <w:shd w:val="clear" w:fill="F0FDFA"/>
            <w:tcMar>
              <w:top w:w="120" w:type="dxa"/>
              <w:left w:w="120" w:type="dxa"/>
              <w:bottom w:w="120" w:type="dxa"/>
              <w:right w:w="120" w:type="dxa"/>
            </w:tcMar>
            <w:vAlign w:val="center"/>
          </w:tcPr>
          <w:p>
            <w:pPr>
              <w:spacing w:after="40" w:lineRule="auto" w:line="288"/>
              <w:jc w:val="center"/>
            </w:pPr>
            <w:r/>
            <w:r>
              <w:rPr>
                <w:rFonts w:ascii="MS ゴシック" w:hAnsi="MS ゴシック" w:eastAsia="MS ゴシック"/>
                <w:b/>
                <w:i w:val="0"/>
                <w:color w:val="0F766E"/>
                <w:sz w:val="30"/>
              </w:rPr>
              <w:t>10代後半〜</w:t>
            </w:r>
          </w:p>
          <w:p>
            <w:pPr>
              <w:spacing w:after="0" w:lineRule="auto" w:line="300"/>
              <w:jc w:val="center"/>
            </w:pPr>
            <w:r>
              <w:rPr>
                <w:rFonts w:ascii="MS ゴシック" w:hAnsi="MS ゴシック" w:eastAsia="MS ゴシック"/>
                <w:b w:val="0"/>
                <w:i w:val="0"/>
                <w:sz w:val="19"/>
              </w:rPr>
              <w:t>30代に多い</w:t>
              <w:br/>
              <w:t>—脳が大きく変化する時期</w:t>
            </w:r>
          </w:p>
        </w:tc>
        <w:tc>
          <w:tcPr>
            <w:tcW w:type="dxa" w:w="3211"/>
            <w:shd w:val="clear" w:fill="EEF2FF"/>
            <w:tcMar>
              <w:top w:w="120" w:type="dxa"/>
              <w:left w:w="120" w:type="dxa"/>
              <w:bottom w:w="120" w:type="dxa"/>
              <w:right w:w="120" w:type="dxa"/>
            </w:tcMar>
            <w:vAlign w:val="center"/>
          </w:tcPr>
          <w:p>
            <w:pPr>
              <w:spacing w:after="40" w:lineRule="auto" w:line="288"/>
              <w:jc w:val="center"/>
            </w:pPr>
            <w:r/>
            <w:r>
              <w:rPr>
                <w:rFonts w:ascii="MS ゴシック" w:hAnsi="MS ゴシック" w:eastAsia="MS ゴシック"/>
                <w:b/>
                <w:i w:val="0"/>
                <w:color w:val="6366F1"/>
                <w:sz w:val="30"/>
              </w:rPr>
              <w:t>2002年</w:t>
            </w:r>
          </w:p>
          <w:p>
            <w:pPr>
              <w:spacing w:after="0" w:lineRule="auto" w:line="300"/>
              <w:jc w:val="center"/>
            </w:pPr>
            <w:r>
              <w:rPr>
                <w:rFonts w:ascii="MS ゴシック" w:hAnsi="MS ゴシック" w:eastAsia="MS ゴシック"/>
                <w:b w:val="0"/>
                <w:i w:val="0"/>
                <w:sz w:val="19"/>
              </w:rPr>
              <w:t>「精神分裂病」→「統合失調症」</w:t>
              <w:br/>
              <w:t>—偏見をなくすために改称</w:t>
            </w:r>
          </w:p>
        </w:tc>
      </w:tr>
    </w:tbl>
    <w:p>
      <w:pPr>
        <w:spacing w:after="80"/>
      </w:pPr>
    </w:p>
    <w:p>
      <w:pPr>
        <w:keepNext/>
        <w:widowControl/>
        <w:spacing w:before="240" w:after="100"/>
      </w:pPr>
      <w:r>
        <w:rPr>
          <w:rFonts w:ascii="MS ゴシック" w:hAnsi="MS ゴシック" w:eastAsia="MS ゴシック"/>
          <w:b/>
          <w:color w:val="0F766E"/>
          <w:sz w:val="23"/>
        </w:rPr>
        <w:t>発症しやすい年代（図1）</w:t>
      </w:r>
    </w:p>
    <w:p>
      <w:pPr>
        <w:spacing w:after="80"/>
        <w:jc w:val="center"/>
      </w:pPr>
      <w:r>
        <w:drawing>
          <wp:inline xmlns:a="http://schemas.openxmlformats.org/drawingml/2006/main" xmlns:pic="http://schemas.openxmlformats.org/drawingml/2006/picture">
            <wp:extent cx="4860000" cy="20593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860000" cy="2059322"/>
                    </a:xfrm>
                    <a:prstGeom prst="rect"/>
                  </pic:spPr>
                </pic:pic>
              </a:graphicData>
            </a:graphic>
          </wp:inline>
        </w:drawing>
      </w:r>
    </w:p>
    <w:p>
      <w:pPr>
        <w:widowControl/>
        <w:spacing w:lineRule="auto" w:line="324" w:after="100"/>
        <w:jc w:val="left"/>
      </w:pPr>
      <w:r>
        <w:rPr>
          <w:rFonts w:ascii="MS ゴシック" w:hAnsi="MS ゴシック" w:eastAsia="MS ゴシック"/>
          <w:b w:val="0"/>
          <w:i w:val="0"/>
          <w:color w:val="64748B"/>
          <w:sz w:val="18"/>
        </w:rPr>
        <w:t>※ 相対的なイメージ図であり、正確な統計値ではありません。</w:t>
      </w:r>
    </w:p>
    <w:tbl>
      <w:tblPr>
        <w:tblStyle w:val="TableGrid"/>
        <w:tblW w:type="auto" w:w="0"/>
        <w:jc w:val="left"/>
        <w:tblLook w:firstColumn="1" w:firstRow="1" w:lastColumn="0" w:lastRow="0" w:noHBand="0" w:noVBand="1" w:val="04A0"/>
      </w:tblPr>
      <w:tblGrid>
        <w:gridCol w:w="9632"/>
      </w:tblGrid>
      <w:tr>
        <w:tc>
          <w:tcPr>
            <w:tcW w:type="dxa" w:w="9632"/>
            <w:shd w:val="clear" w:fill="3B82F6"/>
            <w:tcMar>
              <w:top w:w="90" w:type="dxa"/>
              <w:left w:w="90" w:type="dxa"/>
              <w:bottom w:w="90" w:type="dxa"/>
              <w:right w:w="90" w:type="dxa"/>
            </w:tcMar>
          </w:tcPr>
          <w:p>
            <w:pPr>
              <w:widowControl/>
              <w:spacing w:lineRule="auto" w:line="324" w:before="0" w:after="40"/>
              <w:jc w:val="left"/>
            </w:pPr>
            <w:r/>
            <w:r>
              <w:rPr>
                <w:rFonts w:ascii="MS ゴシック" w:hAnsi="MS ゴシック" w:eastAsia="MS ゴシック"/>
                <w:b/>
                <w:i w:val="0"/>
                <w:color w:val="FFFFFF"/>
                <w:sz w:val="23"/>
              </w:rPr>
              <w:t>ポイント</w:t>
            </w:r>
          </w:p>
        </w:tc>
      </w:tr>
      <w:tr>
        <w:tc>
          <w:tcPr>
            <w:tcW w:type="dxa" w:w="9632"/>
            <w:shd w:val="clear" w:fill="DBEAFE"/>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適切な治療と支援があれば、多くの人が症状をコントロールしながら学校・仕事・日常生活を送れるようになります。「一生治らない」は誤解です。</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② どんなことが起きる？（症状）</w:t>
      </w:r>
    </w:p>
    <w:p>
      <w:pPr>
        <w:widowControl/>
        <w:spacing w:lineRule="auto" w:line="324" w:after="100"/>
        <w:jc w:val="left"/>
      </w:pPr>
      <w:r>
        <w:rPr>
          <w:rFonts w:ascii="MS ゴシック" w:hAnsi="MS ゴシック" w:eastAsia="MS ゴシック"/>
          <w:b w:val="0"/>
          <w:i w:val="0"/>
          <w:sz w:val="21"/>
        </w:rPr>
        <w:t>症状は大きく3つのグループに分けると整理しやすいです。すべての人に同じ症状が出るわけではなく、組み合わせや強さは人それぞれです。</w:t>
      </w:r>
    </w:p>
    <w:tbl>
      <w:tblPr>
        <w:tblStyle w:val="TableGrid"/>
        <w:tblW w:type="auto" w:w="0"/>
        <w:jc w:val="left"/>
        <w:tblLook w:firstColumn="1" w:firstRow="1" w:lastColumn="0" w:lastRow="0" w:noHBand="0" w:noVBand="1" w:val="04A0"/>
      </w:tblPr>
      <w:tblGrid>
        <w:gridCol w:w="3211"/>
        <w:gridCol w:w="3211"/>
        <w:gridCol w:w="3211"/>
      </w:tblGrid>
      <w:tr>
        <w:tc>
          <w:tcPr>
            <w:tcW w:type="dxa" w:w="3211"/>
            <w:shd w:val="clear" w:fill="FECACA"/>
            <w:tcMar>
              <w:top w:w="110" w:type="dxa"/>
              <w:left w:w="110" w:type="dxa"/>
              <w:bottom w:w="110" w:type="dxa"/>
              <w:right w:w="110" w:type="dxa"/>
            </w:tcMar>
          </w:tcPr>
          <w:p>
            <w:pPr>
              <w:spacing w:after="20" w:lineRule="auto" w:line="288"/>
              <w:jc w:val="center"/>
            </w:pPr>
            <w:r/>
            <w:r>
              <w:rPr>
                <w:rFonts w:ascii="MS ゴシック" w:hAnsi="MS ゴシック" w:eastAsia="MS ゴシック"/>
                <w:b/>
                <w:i w:val="0"/>
                <w:color w:val="7F1D1D"/>
                <w:sz w:val="22"/>
              </w:rPr>
              <w:t>＋ 陽性症状</w:t>
            </w:r>
          </w:p>
          <w:p>
            <w:pPr>
              <w:spacing w:after="0" w:lineRule="auto" w:line="288"/>
              <w:jc w:val="center"/>
            </w:pPr>
            <w:r>
              <w:rPr>
                <w:rFonts w:ascii="MS ゴシック" w:hAnsi="MS ゴシック" w:eastAsia="MS ゴシック"/>
                <w:b w:val="0"/>
                <w:i/>
                <w:color w:val="7F1D1D"/>
                <w:sz w:val="19"/>
              </w:rPr>
              <w:t>"普段はないものが加わる"</w:t>
            </w:r>
          </w:p>
        </w:tc>
        <w:tc>
          <w:tcPr>
            <w:tcW w:type="dxa" w:w="3211"/>
            <w:shd w:val="clear" w:fill="BFDBFE"/>
            <w:tcMar>
              <w:top w:w="110" w:type="dxa"/>
              <w:left w:w="110" w:type="dxa"/>
              <w:bottom w:w="110" w:type="dxa"/>
              <w:right w:w="110" w:type="dxa"/>
            </w:tcMar>
          </w:tcPr>
          <w:p>
            <w:pPr>
              <w:spacing w:after="20" w:lineRule="auto" w:line="288"/>
              <w:jc w:val="center"/>
            </w:pPr>
            <w:r/>
            <w:r>
              <w:rPr>
                <w:rFonts w:ascii="MS ゴシック" w:hAnsi="MS ゴシック" w:eastAsia="MS ゴシック"/>
                <w:b/>
                <w:i w:val="0"/>
                <w:color w:val="1E3A8A"/>
                <w:sz w:val="22"/>
              </w:rPr>
              <w:t>－ 陰性症状</w:t>
            </w:r>
          </w:p>
          <w:p>
            <w:pPr>
              <w:spacing w:after="0" w:lineRule="auto" w:line="288"/>
              <w:jc w:val="center"/>
            </w:pPr>
            <w:r>
              <w:rPr>
                <w:rFonts w:ascii="MS ゴシック" w:hAnsi="MS ゴシック" w:eastAsia="MS ゴシック"/>
                <w:b w:val="0"/>
                <w:i/>
                <w:color w:val="1E3A8A"/>
                <w:sz w:val="19"/>
              </w:rPr>
              <w:t>"普段あるものが減る"</w:t>
            </w:r>
          </w:p>
        </w:tc>
        <w:tc>
          <w:tcPr>
            <w:tcW w:type="dxa" w:w="3211"/>
            <w:shd w:val="clear" w:fill="DDD6FE"/>
            <w:tcMar>
              <w:top w:w="110" w:type="dxa"/>
              <w:left w:w="110" w:type="dxa"/>
              <w:bottom w:w="110" w:type="dxa"/>
              <w:right w:w="110" w:type="dxa"/>
            </w:tcMar>
          </w:tcPr>
          <w:p>
            <w:pPr>
              <w:spacing w:after="20" w:lineRule="auto" w:line="288"/>
              <w:jc w:val="center"/>
            </w:pPr>
            <w:r/>
            <w:r>
              <w:rPr>
                <w:rFonts w:ascii="MS ゴシック" w:hAnsi="MS ゴシック" w:eastAsia="MS ゴシック"/>
                <w:b/>
                <w:i w:val="0"/>
                <w:color w:val="4C1D95"/>
                <w:sz w:val="22"/>
              </w:rPr>
              <w:t>🧠 認知症状</w:t>
            </w:r>
          </w:p>
          <w:p>
            <w:pPr>
              <w:spacing w:after="0" w:lineRule="auto" w:line="288"/>
              <w:jc w:val="center"/>
            </w:pPr>
            <w:r>
              <w:rPr>
                <w:rFonts w:ascii="MS ゴシック" w:hAnsi="MS ゴシック" w:eastAsia="MS ゴシック"/>
                <w:b w:val="0"/>
                <w:i/>
                <w:color w:val="4C1D95"/>
                <w:sz w:val="19"/>
              </w:rPr>
              <w:t>"考える力に影響が出る"</w:t>
            </w:r>
          </w:p>
        </w:tc>
      </w:tr>
      <w:tr>
        <w:tc>
          <w:tcPr>
            <w:tcW w:type="dxa" w:w="3211"/>
            <w:shd w:val="clear" w:fill="FEE2E2"/>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幻聴</w:t>
            </w:r>
          </w:p>
          <w:p>
            <w:pPr>
              <w:spacing w:after="0" w:lineRule="auto" w:line="300"/>
            </w:pPr>
            <w:r>
              <w:rPr>
                <w:rFonts w:ascii="MS ゴシック" w:hAnsi="MS ゴシック" w:eastAsia="MS ゴシック"/>
                <w:b w:val="0"/>
                <w:i w:val="0"/>
                <w:color w:val="475569"/>
                <w:sz w:val="19"/>
              </w:rPr>
              <w:t>誰もいないのに声が聞こえる</w:t>
            </w:r>
          </w:p>
        </w:tc>
        <w:tc>
          <w:tcPr>
            <w:tcW w:type="dxa" w:w="3211"/>
            <w:shd w:val="clear" w:fill="DBEA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意欲の低下</w:t>
            </w:r>
          </w:p>
          <w:p>
            <w:pPr>
              <w:spacing w:after="0" w:lineRule="auto" w:line="300"/>
            </w:pPr>
            <w:r>
              <w:rPr>
                <w:rFonts w:ascii="MS ゴシック" w:hAnsi="MS ゴシック" w:eastAsia="MS ゴシック"/>
                <w:b w:val="0"/>
                <w:i w:val="0"/>
                <w:color w:val="475569"/>
                <w:sz w:val="19"/>
              </w:rPr>
              <w:t>何もやる気が出ない</w:t>
            </w:r>
          </w:p>
        </w:tc>
        <w:tc>
          <w:tcPr>
            <w:tcW w:type="dxa" w:w="3211"/>
            <w:shd w:val="clear" w:fill="EDE9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集中力の低下</w:t>
            </w:r>
          </w:p>
          <w:p>
            <w:pPr>
              <w:spacing w:after="0" w:lineRule="auto" w:line="300"/>
            </w:pPr>
            <w:r>
              <w:rPr>
                <w:rFonts w:ascii="MS ゴシック" w:hAnsi="MS ゴシック" w:eastAsia="MS ゴシック"/>
                <w:b w:val="0"/>
                <w:i w:val="0"/>
                <w:color w:val="475569"/>
                <w:sz w:val="19"/>
              </w:rPr>
              <w:t>授業・会話に集中できない</w:t>
            </w:r>
          </w:p>
        </w:tc>
      </w:tr>
      <w:tr>
        <w:tc>
          <w:tcPr>
            <w:tcW w:type="dxa" w:w="3211"/>
            <w:shd w:val="clear" w:fill="FEE2E2"/>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妄想</w:t>
            </w:r>
          </w:p>
          <w:p>
            <w:pPr>
              <w:spacing w:after="0" w:lineRule="auto" w:line="300"/>
            </w:pPr>
            <w:r>
              <w:rPr>
                <w:rFonts w:ascii="MS ゴシック" w:hAnsi="MS ゴシック" w:eastAsia="MS ゴシック"/>
                <w:b w:val="0"/>
                <w:i w:val="0"/>
                <w:color w:val="475569"/>
                <w:sz w:val="19"/>
              </w:rPr>
              <w:t>「監視されている」など証拠なく強く信じる</w:t>
            </w:r>
          </w:p>
        </w:tc>
        <w:tc>
          <w:tcPr>
            <w:tcW w:type="dxa" w:w="3211"/>
            <w:shd w:val="clear" w:fill="DBEA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感情が薄れる</w:t>
            </w:r>
          </w:p>
          <w:p>
            <w:pPr>
              <w:spacing w:after="0" w:lineRule="auto" w:line="300"/>
            </w:pPr>
            <w:r>
              <w:rPr>
                <w:rFonts w:ascii="MS ゴシック" w:hAnsi="MS ゴシック" w:eastAsia="MS ゴシック"/>
                <w:b w:val="0"/>
                <w:i w:val="0"/>
                <w:color w:val="475569"/>
                <w:sz w:val="19"/>
              </w:rPr>
              <w:t>喜怒哀楽が感じにくい・表情が乏しい</w:t>
            </w:r>
          </w:p>
        </w:tc>
        <w:tc>
          <w:tcPr>
            <w:tcW w:type="dxa" w:w="3211"/>
            <w:shd w:val="clear" w:fill="EDE9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記憶の問題</w:t>
            </w:r>
          </w:p>
          <w:p>
            <w:pPr>
              <w:spacing w:after="0" w:lineRule="auto" w:line="300"/>
            </w:pPr>
            <w:r>
              <w:rPr>
                <w:rFonts w:ascii="MS ゴシック" w:hAnsi="MS ゴシック" w:eastAsia="MS ゴシック"/>
                <w:b w:val="0"/>
                <w:i w:val="0"/>
                <w:color w:val="475569"/>
                <w:sz w:val="19"/>
              </w:rPr>
              <w:t>さっきのことを覚えにくい</w:t>
            </w:r>
          </w:p>
        </w:tc>
      </w:tr>
      <w:tr>
        <w:tc>
          <w:tcPr>
            <w:tcW w:type="dxa" w:w="3211"/>
            <w:shd w:val="clear" w:fill="FEE2E2"/>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思考の混乱</w:t>
            </w:r>
          </w:p>
          <w:p>
            <w:pPr>
              <w:spacing w:after="0" w:lineRule="auto" w:line="300"/>
            </w:pPr>
            <w:r>
              <w:rPr>
                <w:rFonts w:ascii="MS ゴシック" w:hAnsi="MS ゴシック" w:eastAsia="MS ゴシック"/>
                <w:b w:val="0"/>
                <w:i w:val="0"/>
                <w:color w:val="475569"/>
                <w:sz w:val="19"/>
              </w:rPr>
              <w:t>考えがバラバラになる</w:t>
            </w:r>
          </w:p>
        </w:tc>
        <w:tc>
          <w:tcPr>
            <w:tcW w:type="dxa" w:w="3211"/>
            <w:shd w:val="clear" w:fill="DBEA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社会的引きこもり</w:t>
            </w:r>
          </w:p>
          <w:p>
            <w:pPr>
              <w:spacing w:after="0" w:lineRule="auto" w:line="300"/>
            </w:pPr>
            <w:r>
              <w:rPr>
                <w:rFonts w:ascii="MS ゴシック" w:hAnsi="MS ゴシック" w:eastAsia="MS ゴシック"/>
                <w:b w:val="0"/>
                <w:i w:val="0"/>
                <w:color w:val="475569"/>
                <w:sz w:val="19"/>
              </w:rPr>
              <w:t>人との関わりが億劫になる</w:t>
            </w:r>
          </w:p>
        </w:tc>
        <w:tc>
          <w:tcPr>
            <w:tcW w:type="dxa" w:w="3211"/>
            <w:shd w:val="clear" w:fill="EDE9FE"/>
            <w:tcMar>
              <w:top w:w="110" w:type="dxa"/>
              <w:left w:w="110" w:type="dxa"/>
              <w:bottom w:w="110" w:type="dxa"/>
              <w:right w:w="110" w:type="dxa"/>
            </w:tcMar>
          </w:tcPr>
          <w:p>
            <w:pPr>
              <w:spacing w:after="20" w:lineRule="auto" w:line="288"/>
            </w:pPr>
            <w:r/>
            <w:r>
              <w:rPr>
                <w:rFonts w:ascii="MS ゴシック" w:hAnsi="MS ゴシック" w:eastAsia="MS ゴシック"/>
                <w:b/>
                <w:i w:val="0"/>
                <w:sz w:val="21"/>
              </w:rPr>
              <w:t>▶ 計画が立てにくい</w:t>
            </w:r>
          </w:p>
          <w:p>
            <w:pPr>
              <w:spacing w:after="0" w:lineRule="auto" w:line="300"/>
            </w:pPr>
            <w:r>
              <w:rPr>
                <w:rFonts w:ascii="MS ゴシック" w:hAnsi="MS ゴシック" w:eastAsia="MS ゴシック"/>
                <w:b w:val="0"/>
                <w:i w:val="0"/>
                <w:color w:val="475569"/>
                <w:sz w:val="19"/>
              </w:rPr>
              <w:t>段取りよく行動しにくくなる</w:t>
            </w:r>
          </w:p>
        </w:tc>
      </w:tr>
      <w:tr>
        <w:tc>
          <w:tcPr>
            <w:tcW w:type="dxa" w:w="3211"/>
            <w:shd w:val="clear" w:fill="FFFFFF"/>
          </w:tcPr>
          <w:p>
            <w:r/>
          </w:p>
        </w:tc>
        <w:tc>
          <w:tcPr>
            <w:tcW w:type="dxa" w:w="3211"/>
            <w:shd w:val="clear" w:fill="FFFFFF"/>
          </w:tcPr>
          <w:p>
            <w:r/>
          </w:p>
        </w:tc>
        <w:tc>
          <w:tcPr>
            <w:tcW w:type="dxa" w:w="3211"/>
            <w:shd w:val="clear" w:fill="FFFFFF"/>
          </w:tcPr>
          <w:p>
            <w:r/>
          </w:p>
        </w:tc>
      </w:tr>
    </w:tbl>
    <w:p>
      <w:pPr>
        <w:spacing w:after="80"/>
      </w:pPr>
    </w:p>
    <w:tbl>
      <w:tblPr>
        <w:tblStyle w:val="TableGrid"/>
        <w:tblW w:type="auto" w:w="0"/>
        <w:jc w:val="left"/>
        <w:tblLook w:firstColumn="1" w:firstRow="1" w:lastColumn="0" w:lastRow="0" w:noHBand="0" w:noVBand="1" w:val="04A0"/>
      </w:tblPr>
      <w:tblGrid>
        <w:gridCol w:w="9632"/>
      </w:tblGrid>
      <w:tr>
        <w:tc>
          <w:tcPr>
            <w:tcW w:type="dxa" w:w="9632"/>
            <w:shd w:val="clear" w:fill="F59E0B"/>
            <w:tcMar>
              <w:top w:w="90" w:type="dxa"/>
              <w:left w:w="90" w:type="dxa"/>
              <w:bottom w:w="90" w:type="dxa"/>
              <w:right w:w="90" w:type="dxa"/>
            </w:tcMar>
          </w:tcPr>
          <w:p>
            <w:pPr>
              <w:widowControl/>
              <w:spacing w:lineRule="auto" w:line="324" w:before="0" w:after="40"/>
              <w:jc w:val="left"/>
            </w:pPr>
            <w:r/>
            <w:r>
              <w:rPr>
                <w:rFonts w:ascii="MS ゴシック" w:hAnsi="MS ゴシック" w:eastAsia="MS ゴシック"/>
                <w:b/>
                <w:i w:val="0"/>
                <w:color w:val="FFFFFF"/>
                <w:sz w:val="23"/>
              </w:rPr>
              <w:t>症状には「波」があります</w:t>
            </w:r>
          </w:p>
        </w:tc>
      </w:tr>
      <w:tr>
        <w:tc>
          <w:tcPr>
            <w:tcW w:type="dxa" w:w="9632"/>
            <w:shd w:val="clear" w:fill="FEF3C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症状が強い急性期と、落ち着いている安定期を繰り返すことが多いです。調子が良い時期は、症状がほとんどわからないこともあります。</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③ なぜなるの？（原因）</w:t>
      </w:r>
    </w:p>
    <w:p>
      <w:pPr>
        <w:widowControl/>
        <w:spacing w:lineRule="auto" w:line="324" w:after="100"/>
        <w:jc w:val="left"/>
      </w:pPr>
      <w:r>
        <w:rPr>
          <w:rFonts w:ascii="MS ゴシック" w:hAnsi="MS ゴシック" w:eastAsia="MS ゴシック"/>
          <w:b w:val="0"/>
          <w:i w:val="0"/>
          <w:sz w:val="21"/>
        </w:rPr>
        <w:t>「これが原因！」と断言できるものはまだ一つもありません。現在の研究では、いくつかの要因が複合的に重なって発症すると考えられています。</w:t>
      </w:r>
    </w:p>
    <w:p>
      <w:pPr>
        <w:keepNext/>
        <w:widowControl/>
        <w:spacing w:before="240" w:after="100"/>
      </w:pPr>
      <w:r>
        <w:rPr>
          <w:rFonts w:ascii="MS ゴシック" w:hAnsi="MS ゴシック" w:eastAsia="MS ゴシック"/>
          <w:b/>
          <w:color w:val="0F766E"/>
          <w:sz w:val="23"/>
        </w:rPr>
        <w:t>発症に関わる要因（図2）</w:t>
      </w:r>
    </w:p>
    <w:p>
      <w:pPr>
        <w:spacing w:after="80"/>
        <w:jc w:val="center"/>
      </w:pPr>
      <w:r>
        <w:drawing>
          <wp:inline xmlns:a="http://schemas.openxmlformats.org/drawingml/2006/main" xmlns:pic="http://schemas.openxmlformats.org/drawingml/2006/picture">
            <wp:extent cx="4680000" cy="49832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80000" cy="4983257"/>
                    </a:xfrm>
                    <a:prstGeom prst="rect"/>
                  </pic:spPr>
                </pic:pic>
              </a:graphicData>
            </a:graphic>
          </wp:inline>
        </w:drawing>
      </w:r>
    </w:p>
    <w:p>
      <w:pPr>
        <w:keepNext/>
        <w:widowControl/>
        <w:spacing w:before="240" w:after="100"/>
      </w:pPr>
      <w:r>
        <w:rPr>
          <w:rFonts w:ascii="MS ゴシック" w:hAnsi="MS ゴシック" w:eastAsia="MS ゴシック"/>
          <w:b/>
          <w:color w:val="0F766E"/>
          <w:sz w:val="23"/>
        </w:rPr>
        <w:t>各要因のくわしい説明</w:t>
      </w:r>
    </w:p>
    <w:tbl>
      <w:tblPr>
        <w:tblStyle w:val="TableGrid"/>
        <w:tblW w:type="auto" w:w="0"/>
        <w:jc w:val="left"/>
        <w:tblLook w:firstColumn="1" w:firstRow="1" w:lastColumn="0" w:lastRow="0" w:noHBand="0" w:noVBand="1" w:val="04A0"/>
      </w:tblPr>
      <w:tblGrid>
        <w:gridCol w:w="4816"/>
        <w:gridCol w:w="4816"/>
      </w:tblGrid>
      <w:tr>
        <w:tc>
          <w:tcPr>
            <w:tcW w:type="dxa" w:w="4816"/>
            <w:shd w:val="clear" w:fill="1E3A5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color w:val="FFFFFF"/>
                <w:sz w:val="23"/>
              </w:rPr>
              <w:t>要因</w:t>
            </w:r>
          </w:p>
        </w:tc>
        <w:tc>
          <w:tcPr>
            <w:tcW w:type="dxa" w:w="4816"/>
            <w:shd w:val="clear" w:fill="1E3A5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color w:val="FFFFFF"/>
                <w:sz w:val="23"/>
              </w:rPr>
              <w:t>説明</w:t>
            </w:r>
          </w:p>
        </w:tc>
      </w:tr>
      <w:tr>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脳の神経伝達物質</w:t>
            </w:r>
          </w:p>
        </w:tc>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脳の中で情報を伝える「ドーパミン」などのバランスが乱れることが関わっていると考えられている</w:t>
            </w:r>
          </w:p>
        </w:tc>
      </w:tr>
      <w:tr>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遺伝的要因</w:t>
            </w:r>
          </w:p>
        </w:tc>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家族に同じ病気の人がいると、やや発症しやすくなる。ただし、家族が発症しても必ずなるわけではない</w:t>
            </w:r>
          </w:p>
        </w:tc>
      </w:tr>
      <w:tr>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強いストレス・睡眠不足</w:t>
            </w:r>
          </w:p>
        </w:tc>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長期のストレスや睡眠不足、大麻などの薬物使用が発症の引き金になることがある</w:t>
            </w:r>
          </w:p>
        </w:tc>
      </w:tr>
      <w:tr>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環境・脳の発達</w:t>
            </w:r>
          </w:p>
        </w:tc>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胎児のころの脳の発達や、思春期の脳の変化が関係している可能性がある</w:t>
            </w:r>
          </w:p>
        </w:tc>
      </w:tr>
    </w:tbl>
    <w:p>
      <w:pPr>
        <w:spacing w:after="80"/>
      </w:pPr>
    </w:p>
    <w:tbl>
      <w:tblPr>
        <w:tblStyle w:val="TableGrid"/>
        <w:tblW w:type="auto" w:w="0"/>
        <w:jc w:val="left"/>
        <w:tblLook w:firstColumn="1" w:firstRow="1" w:lastColumn="0" w:lastRow="0" w:noHBand="0" w:noVBand="1" w:val="04A0"/>
      </w:tblPr>
      <w:tblGrid>
        <w:gridCol w:w="9632"/>
      </w:tblGrid>
      <w:tr>
        <w:tc>
          <w:tcPr>
            <w:tcW w:type="dxa" w:w="9632"/>
            <w:shd w:val="clear" w:fill="F59E0B"/>
            <w:tcMar>
              <w:top w:w="90" w:type="dxa"/>
              <w:left w:w="90" w:type="dxa"/>
              <w:bottom w:w="90" w:type="dxa"/>
              <w:right w:w="90" w:type="dxa"/>
            </w:tcMar>
          </w:tcPr>
          <w:p>
            <w:pPr>
              <w:widowControl/>
              <w:spacing w:lineRule="auto" w:line="324" w:before="0" w:after="40"/>
              <w:jc w:val="left"/>
            </w:pPr>
            <w:r/>
            <w:r>
              <w:rPr>
                <w:rFonts w:ascii="MS ゴシック" w:hAnsi="MS ゴシック" w:eastAsia="MS ゴシック"/>
                <w:b/>
                <w:i w:val="0"/>
                <w:color w:val="FFFFFF"/>
                <w:sz w:val="23"/>
              </w:rPr>
              <w:t>大切なこと</w:t>
            </w:r>
          </w:p>
        </w:tc>
      </w:tr>
      <w:tr>
        <w:tc>
          <w:tcPr>
            <w:tcW w:type="dxa" w:w="9632"/>
            <w:shd w:val="clear" w:fill="FEF3C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「育て方が悪かった」「本人が弱い」は間違いです。生物学的・環境的な複数の要因が重なって起こる病気であり、本人や家族のせいではありません。</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④ 治療と回復について</w:t>
      </w:r>
    </w:p>
    <w:p>
      <w:pPr>
        <w:widowControl/>
        <w:spacing w:lineRule="auto" w:line="324" w:after="100"/>
        <w:jc w:val="left"/>
      </w:pPr>
      <w:r>
        <w:rPr>
          <w:rFonts w:ascii="MS ゴシック" w:hAnsi="MS ゴシック" w:eastAsia="MS ゴシック"/>
          <w:b w:val="0"/>
          <w:i w:val="0"/>
          <w:sz w:val="21"/>
        </w:rPr>
        <w:t>統合失調症は、適切な治療と支援を続けることで、多くの人が症状をコントロールしながら生活できるようになります。</w:t>
      </w:r>
    </w:p>
    <w:p>
      <w:pPr>
        <w:keepNext/>
        <w:widowControl/>
        <w:spacing w:before="240" w:after="100"/>
      </w:pPr>
      <w:r>
        <w:rPr>
          <w:rFonts w:ascii="MS ゴシック" w:hAnsi="MS ゴシック" w:eastAsia="MS ゴシック"/>
          <w:b/>
          <w:color w:val="0F766E"/>
          <w:sz w:val="23"/>
        </w:rPr>
        <w:t>主な治療の3本柱</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fill="F0FDFA"/>
            <w:tcMar>
              <w:top w:w="110" w:type="dxa"/>
              <w:left w:w="110" w:type="dxa"/>
              <w:bottom w:w="110" w:type="dxa"/>
              <w:right w:w="110" w:type="dxa"/>
            </w:tcMar>
            <w:vAlign w:val="top"/>
          </w:tcPr>
          <w:p>
            <w:pPr>
              <w:spacing w:after="20" w:lineRule="auto" w:line="288"/>
            </w:pPr>
            <w:r/>
            <w:r>
              <w:rPr>
                <w:rFonts w:ascii="MS ゴシック" w:hAnsi="MS ゴシック" w:eastAsia="MS ゴシック"/>
                <w:b/>
                <w:i w:val="0"/>
                <w:color w:val="0F766E"/>
                <w:sz w:val="19"/>
              </w:rPr>
              <w:t>Step 1</w:t>
            </w:r>
          </w:p>
          <w:p>
            <w:pPr>
              <w:spacing w:after="60" w:lineRule="auto" w:line="288"/>
            </w:pPr>
            <w:r>
              <w:rPr>
                <w:rFonts w:ascii="MS ゴシック" w:hAnsi="MS ゴシック" w:eastAsia="MS ゴシック"/>
                <w:b/>
                <w:i w:val="0"/>
                <w:color w:val="0F766E"/>
                <w:sz w:val="23"/>
              </w:rPr>
              <w:t>薬物療法</w:t>
            </w:r>
          </w:p>
          <w:p>
            <w:pPr>
              <w:spacing w:after="0" w:lineRule="auto" w:line="324"/>
            </w:pPr>
            <w:r>
              <w:rPr>
                <w:rFonts w:ascii="MS ゴシック" w:hAnsi="MS ゴシック" w:eastAsia="MS ゴシック"/>
                <w:b w:val="0"/>
                <w:i w:val="0"/>
                <w:sz w:val="19"/>
              </w:rPr>
              <w:t>脳の神経伝達物質のバランスを整える「抗精神病薬」が中心。飲み続けることで再発を防ぎやすくなる。★ 勝手にやめないことが大切。</w:t>
            </w:r>
          </w:p>
        </w:tc>
        <w:tc>
          <w:tcPr>
            <w:tcW w:type="dxa" w:w="3211"/>
            <w:shd w:val="clear" w:fill="DBEAFE"/>
            <w:tcMar>
              <w:top w:w="110" w:type="dxa"/>
              <w:left w:w="110" w:type="dxa"/>
              <w:bottom w:w="110" w:type="dxa"/>
              <w:right w:w="110" w:type="dxa"/>
            </w:tcMar>
            <w:vAlign w:val="top"/>
          </w:tcPr>
          <w:p>
            <w:pPr>
              <w:spacing w:after="20" w:lineRule="auto" w:line="288"/>
            </w:pPr>
            <w:r/>
            <w:r>
              <w:rPr>
                <w:rFonts w:ascii="MS ゴシック" w:hAnsi="MS ゴシック" w:eastAsia="MS ゴシック"/>
                <w:b/>
                <w:i w:val="0"/>
                <w:color w:val="3B82F6"/>
                <w:sz w:val="19"/>
              </w:rPr>
              <w:t>Step 2</w:t>
            </w:r>
          </w:p>
          <w:p>
            <w:pPr>
              <w:spacing w:after="60" w:lineRule="auto" w:line="288"/>
            </w:pPr>
            <w:r>
              <w:rPr>
                <w:rFonts w:ascii="MS ゴシック" w:hAnsi="MS ゴシック" w:eastAsia="MS ゴシック"/>
                <w:b/>
                <w:i w:val="0"/>
                <w:color w:val="3B82F6"/>
                <w:sz w:val="23"/>
              </w:rPr>
              <w:t>心理教育・カウンセリング</w:t>
            </w:r>
          </w:p>
          <w:p>
            <w:pPr>
              <w:spacing w:after="0" w:lineRule="auto" w:line="324"/>
            </w:pPr>
            <w:r>
              <w:rPr>
                <w:rFonts w:ascii="MS ゴシック" w:hAnsi="MS ゴシック" w:eastAsia="MS ゴシック"/>
                <w:b w:val="0"/>
                <w:i w:val="0"/>
                <w:sz w:val="19"/>
              </w:rPr>
              <w:t>病気・薬のことを正しく学ぶ。つらい体験（幻聴など）への対処法を一緒に考える「認知行動療法」も有効。</w:t>
            </w:r>
          </w:p>
        </w:tc>
        <w:tc>
          <w:tcPr>
            <w:tcW w:type="dxa" w:w="3211"/>
            <w:shd w:val="clear" w:fill="EDE9FE"/>
            <w:tcMar>
              <w:top w:w="110" w:type="dxa"/>
              <w:left w:w="110" w:type="dxa"/>
              <w:bottom w:w="110" w:type="dxa"/>
              <w:right w:w="110" w:type="dxa"/>
            </w:tcMar>
            <w:vAlign w:val="top"/>
          </w:tcPr>
          <w:p>
            <w:pPr>
              <w:spacing w:after="20" w:lineRule="auto" w:line="288"/>
            </w:pPr>
            <w:r/>
            <w:r>
              <w:rPr>
                <w:rFonts w:ascii="MS ゴシック" w:hAnsi="MS ゴシック" w:eastAsia="MS ゴシック"/>
                <w:b/>
                <w:i w:val="0"/>
                <w:color w:val="7C3AED"/>
                <w:sz w:val="19"/>
              </w:rPr>
              <w:t>Step 3</w:t>
            </w:r>
          </w:p>
          <w:p>
            <w:pPr>
              <w:spacing w:after="60" w:lineRule="auto" w:line="288"/>
            </w:pPr>
            <w:r>
              <w:rPr>
                <w:rFonts w:ascii="MS ゴシック" w:hAnsi="MS ゴシック" w:eastAsia="MS ゴシック"/>
                <w:b/>
                <w:i w:val="0"/>
                <w:color w:val="7C3AED"/>
                <w:sz w:val="23"/>
              </w:rPr>
              <w:t>リハビリ・生活支援</w:t>
            </w:r>
          </w:p>
          <w:p>
            <w:pPr>
              <w:spacing w:after="0" w:lineRule="auto" w:line="324"/>
            </w:pPr>
            <w:r>
              <w:rPr>
                <w:rFonts w:ascii="MS ゴシック" w:hAnsi="MS ゴシック" w:eastAsia="MS ゴシック"/>
                <w:b w:val="0"/>
                <w:i w:val="0"/>
                <w:sz w:val="19"/>
              </w:rPr>
              <w:t>デイケアで生活リズムを整えたり、仲間と活動したり、就労の準備をする。回復の目標は本人が決める。</w:t>
            </w:r>
          </w:p>
        </w:tc>
      </w:tr>
    </w:tbl>
    <w:p>
      <w:pPr>
        <w:spacing w:after="80"/>
      </w:pPr>
    </w:p>
    <w:p>
      <w:pPr>
        <w:keepNext/>
        <w:widowControl/>
        <w:spacing w:before="240" w:after="100"/>
      </w:pPr>
      <w:r>
        <w:rPr>
          <w:rFonts w:ascii="MS ゴシック" w:hAnsi="MS ゴシック" w:eastAsia="MS ゴシック"/>
          <w:b/>
          <w:color w:val="0F766E"/>
          <w:sz w:val="23"/>
        </w:rPr>
        <w:t>回復のイメージ（図3）</w:t>
      </w:r>
    </w:p>
    <w:p>
      <w:pPr>
        <w:spacing w:after="80"/>
        <w:jc w:val="center"/>
      </w:pPr>
      <w:r>
        <w:drawing>
          <wp:inline xmlns:a="http://schemas.openxmlformats.org/drawingml/2006/main" xmlns:pic="http://schemas.openxmlformats.org/drawingml/2006/picture">
            <wp:extent cx="4860000" cy="20419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041980"/>
                    </a:xfrm>
                    <a:prstGeom prst="rect"/>
                  </pic:spPr>
                </pic:pic>
              </a:graphicData>
            </a:graphic>
          </wp:inline>
        </w:drawing>
      </w:r>
    </w:p>
    <w:p>
      <w:pPr>
        <w:widowControl/>
        <w:spacing w:lineRule="auto" w:line="324" w:after="100"/>
        <w:jc w:val="left"/>
      </w:pPr>
      <w:r>
        <w:rPr>
          <w:rFonts w:ascii="MS ゴシック" w:hAnsi="MS ゴシック" w:eastAsia="MS ゴシック"/>
          <w:b w:val="0"/>
          <w:i w:val="0"/>
          <w:color w:val="64748B"/>
          <w:sz w:val="18"/>
        </w:rPr>
        <w:t>回復は一直線ではなく、波を繰り返しながら全体的に改善していきます。</w:t>
      </w:r>
    </w:p>
    <w:tbl>
      <w:tblPr>
        <w:tblStyle w:val="TableGrid"/>
        <w:tblW w:type="auto" w:w="0"/>
        <w:jc w:val="left"/>
        <w:tblLook w:firstColumn="1" w:firstRow="1" w:lastColumn="0" w:lastRow="0" w:noHBand="0" w:noVBand="1" w:val="04A0"/>
      </w:tblPr>
      <w:tblGrid>
        <w:gridCol w:w="9632"/>
      </w:tblGrid>
      <w:tr>
        <w:tc>
          <w:tcPr>
            <w:tcW w:type="dxa" w:w="9632"/>
            <w:shd w:val="clear" w:fill="22C55E"/>
            <w:tcMar>
              <w:top w:w="90" w:type="dxa"/>
              <w:left w:w="90" w:type="dxa"/>
              <w:bottom w:w="90" w:type="dxa"/>
              <w:right w:w="90" w:type="dxa"/>
            </w:tcMar>
          </w:tcPr>
          <w:p>
            <w:pPr>
              <w:widowControl/>
              <w:spacing w:lineRule="auto" w:line="324" w:before="0" w:after="40"/>
              <w:jc w:val="left"/>
            </w:pPr>
            <w:r/>
            <w:r>
              <w:rPr>
                <w:rFonts w:ascii="MS ゴシック" w:hAnsi="MS ゴシック" w:eastAsia="MS ゴシック"/>
                <w:b/>
                <w:i w:val="0"/>
                <w:color w:val="FFFFFF"/>
                <w:sz w:val="23"/>
              </w:rPr>
              <w:t>早期発見・早期治療が大切</w:t>
            </w:r>
          </w:p>
        </w:tc>
      </w:tr>
      <w:tr>
        <w:tc>
          <w:tcPr>
            <w:tcW w:type="dxa" w:w="9632"/>
            <w:shd w:val="clear" w:fill="DCFCE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早く気づいて治療を始めるほど回復が早い傾向があります。「症状がゼロになること」だけが回復ではなく、学校・仕事・趣味・人間関係など、自分が大切にしたいことができるようになることが目標です。</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⑤ 日常生活・学校・仕事への影響</w:t>
      </w:r>
    </w:p>
    <w:p>
      <w:pPr>
        <w:widowControl/>
        <w:spacing w:lineRule="auto" w:line="324" w:after="100"/>
        <w:jc w:val="left"/>
      </w:pPr>
      <w:r>
        <w:rPr>
          <w:rFonts w:ascii="MS ゴシック" w:hAnsi="MS ゴシック" w:eastAsia="MS ゴシック"/>
          <w:b w:val="0"/>
          <w:i w:val="0"/>
          <w:sz w:val="21"/>
        </w:rPr>
        <w:t>支援をうまく使うことで、多くの人が学校や仕事を続けたり再開したりできます。</w:t>
      </w:r>
    </w:p>
    <w:p>
      <w:pPr>
        <w:keepNext/>
        <w:widowControl/>
        <w:spacing w:before="240" w:after="100"/>
      </w:pPr>
      <w:r>
        <w:rPr>
          <w:rFonts w:ascii="MS ゴシック" w:hAnsi="MS ゴシック" w:eastAsia="MS ゴシック"/>
          <w:b/>
          <w:color w:val="0F766E"/>
          <w:sz w:val="23"/>
        </w:rPr>
        <w:t>よくある困りごとと対策</w:t>
      </w:r>
    </w:p>
    <w:tbl>
      <w:tblPr>
        <w:tblStyle w:val="TableGrid"/>
        <w:tblW w:type="auto" w:w="0"/>
        <w:jc w:val="left"/>
        <w:tblLook w:firstColumn="1" w:firstRow="1" w:lastColumn="0" w:lastRow="0" w:noHBand="0" w:noVBand="1" w:val="04A0"/>
      </w:tblPr>
      <w:tblGrid>
        <w:gridCol w:w="3211"/>
        <w:gridCol w:w="3211"/>
        <w:gridCol w:w="3211"/>
      </w:tblGrid>
      <w:tr>
        <w:tc>
          <w:tcPr>
            <w:tcW w:type="dxa" w:w="3211"/>
            <w:tcMar>
              <w:top w:w="110" w:type="dxa"/>
              <w:left w:w="110" w:type="dxa"/>
              <w:bottom w:w="110" w:type="dxa"/>
              <w:right w:w="110" w:type="dxa"/>
            </w:tcMar>
            <w:shd w:val="clear" w:fill="EFF6FF"/>
          </w:tcPr>
          <w:p>
            <w:pPr>
              <w:widowControl/>
              <w:spacing w:lineRule="auto" w:line="324" w:before="0" w:after="40"/>
              <w:jc w:val="center"/>
            </w:pPr>
            <w:r/>
            <w:r>
              <w:rPr>
                <w:rFonts w:ascii="MS ゴシック" w:hAnsi="MS ゴシック" w:eastAsia="MS ゴシック"/>
                <w:b/>
                <w:i w:val="0"/>
                <w:color w:val="3B82F6"/>
                <w:sz w:val="23"/>
              </w:rPr>
              <w:t>学校</w:t>
            </w:r>
          </w:p>
        </w:tc>
        <w:tc>
          <w:tcPr>
            <w:tcW w:type="dxa" w:w="3211"/>
            <w:tcMar>
              <w:top w:w="110" w:type="dxa"/>
              <w:left w:w="110" w:type="dxa"/>
              <w:bottom w:w="110" w:type="dxa"/>
              <w:right w:w="110" w:type="dxa"/>
            </w:tcMar>
            <w:shd w:val="clear" w:fill="F0FDFA"/>
          </w:tcPr>
          <w:p>
            <w:pPr>
              <w:widowControl/>
              <w:spacing w:lineRule="auto" w:line="324" w:before="0" w:after="40"/>
              <w:jc w:val="center"/>
            </w:pPr>
            <w:r/>
            <w:r>
              <w:rPr>
                <w:rFonts w:ascii="MS ゴシック" w:hAnsi="MS ゴシック" w:eastAsia="MS ゴシック"/>
                <w:b/>
                <w:i w:val="0"/>
                <w:color w:val="0F766E"/>
                <w:sz w:val="23"/>
              </w:rPr>
              <w:t>仕事</w:t>
            </w:r>
          </w:p>
        </w:tc>
        <w:tc>
          <w:tcPr>
            <w:tcW w:type="dxa" w:w="3211"/>
            <w:tcMar>
              <w:top w:w="110" w:type="dxa"/>
              <w:left w:w="110" w:type="dxa"/>
              <w:bottom w:w="110" w:type="dxa"/>
              <w:right w:w="110" w:type="dxa"/>
            </w:tcMar>
            <w:shd w:val="clear" w:fill="EEF2FF"/>
          </w:tcPr>
          <w:p>
            <w:pPr>
              <w:widowControl/>
              <w:spacing w:lineRule="auto" w:line="324" w:before="0" w:after="40"/>
              <w:jc w:val="center"/>
            </w:pPr>
            <w:r/>
            <w:r>
              <w:rPr>
                <w:rFonts w:ascii="MS ゴシック" w:hAnsi="MS ゴシック" w:eastAsia="MS ゴシック"/>
                <w:b/>
                <w:i w:val="0"/>
                <w:color w:val="6366F1"/>
                <w:sz w:val="23"/>
              </w:rPr>
              <w:t>生活費・お金</w:t>
            </w:r>
          </w:p>
        </w:tc>
      </w:tr>
      <w:tr>
        <w:tc>
          <w:tcPr>
            <w:tcW w:type="dxa" w:w="3211"/>
            <w:tcMar>
              <w:top w:w="110" w:type="dxa"/>
              <w:left w:w="110" w:type="dxa"/>
              <w:bottom w:w="110" w:type="dxa"/>
              <w:right w:w="110" w:type="dxa"/>
            </w:tcMar>
            <w:shd w:val="clear" w:fill="FFFBEB"/>
          </w:tcPr>
          <w:p>
            <w:pPr>
              <w:widowControl/>
              <w:spacing w:lineRule="auto" w:line="324" w:before="0" w:after="40"/>
              <w:jc w:val="left"/>
            </w:pPr>
            <w:r/>
            <w:r>
              <w:rPr>
                <w:rFonts w:ascii="MS ゴシック" w:hAnsi="MS ゴシック" w:eastAsia="MS ゴシック"/>
                <w:b w:val="0"/>
                <w:i w:val="0"/>
                <w:sz w:val="21"/>
              </w:rPr>
              <w:t>集中が続かない・休みがちになる</w:t>
            </w:r>
          </w:p>
        </w:tc>
        <w:tc>
          <w:tcPr>
            <w:tcW w:type="dxa" w:w="3211"/>
            <w:tcMar>
              <w:top w:w="110" w:type="dxa"/>
              <w:left w:w="110" w:type="dxa"/>
              <w:bottom w:w="110" w:type="dxa"/>
              <w:right w:w="110" w:type="dxa"/>
            </w:tcMar>
            <w:shd w:val="clear" w:fill="FFFBEB"/>
          </w:tcPr>
          <w:p>
            <w:pPr>
              <w:widowControl/>
              <w:spacing w:lineRule="auto" w:line="324" w:before="0" w:after="40"/>
              <w:jc w:val="left"/>
            </w:pPr>
            <w:r/>
            <w:r>
              <w:rPr>
                <w:rFonts w:ascii="MS ゴシック" w:hAnsi="MS ゴシック" w:eastAsia="MS ゴシック"/>
                <w:b w:val="0"/>
                <w:i w:val="0"/>
                <w:sz w:val="21"/>
              </w:rPr>
              <w:t>疲れやすい・ミスが増える</w:t>
            </w:r>
          </w:p>
        </w:tc>
        <w:tc>
          <w:tcPr>
            <w:tcW w:type="dxa" w:w="3211"/>
            <w:tcMar>
              <w:top w:w="110" w:type="dxa"/>
              <w:left w:w="110" w:type="dxa"/>
              <w:bottom w:w="110" w:type="dxa"/>
              <w:right w:w="110" w:type="dxa"/>
            </w:tcMar>
            <w:shd w:val="clear" w:fill="FFFBEB"/>
          </w:tcPr>
          <w:p>
            <w:pPr>
              <w:widowControl/>
              <w:spacing w:lineRule="auto" w:line="324" w:before="0" w:after="40"/>
              <w:jc w:val="left"/>
            </w:pPr>
            <w:r/>
            <w:r>
              <w:rPr>
                <w:rFonts w:ascii="MS ゴシック" w:hAnsi="MS ゴシック" w:eastAsia="MS ゴシック"/>
                <w:b w:val="0"/>
                <w:i w:val="0"/>
                <w:sz w:val="21"/>
              </w:rPr>
              <w:t>働けない時期の収入が心配</w:t>
            </w:r>
          </w:p>
        </w:tc>
      </w:tr>
      <w:tr>
        <w:tc>
          <w:tcPr>
            <w:tcW w:type="dxa" w:w="3211"/>
            <w:tcMar>
              <w:top w:w="110" w:type="dxa"/>
              <w:left w:w="110" w:type="dxa"/>
              <w:bottom w:w="110" w:type="dxa"/>
              <w:right w:w="110" w:type="dxa"/>
            </w:tcMar>
            <w:shd w:val="clear" w:fill="DCFCE7"/>
          </w:tcPr>
          <w:p>
            <w:pPr>
              <w:widowControl/>
              <w:spacing w:lineRule="auto" w:line="324" w:before="0" w:after="40"/>
              <w:jc w:val="left"/>
            </w:pPr>
            <w:r/>
            <w:r>
              <w:rPr>
                <w:rFonts w:ascii="MS ゴシック" w:hAnsi="MS ゴシック" w:eastAsia="MS ゴシック"/>
                <w:b w:val="0"/>
                <w:i w:val="0"/>
                <w:sz w:val="19"/>
              </w:rPr>
              <w:t>・スクールカウンセラーに相談</w:t>
              <w:br/>
              <w:t>・休学・復学の制度を利用</w:t>
              <w:br/>
              <w:t>・通信制・定時制も選択肢</w:t>
            </w:r>
          </w:p>
        </w:tc>
        <w:tc>
          <w:tcPr>
            <w:tcW w:type="dxa" w:w="3211"/>
            <w:tcMar>
              <w:top w:w="110" w:type="dxa"/>
              <w:left w:w="110" w:type="dxa"/>
              <w:bottom w:w="110" w:type="dxa"/>
              <w:right w:w="110" w:type="dxa"/>
            </w:tcMar>
            <w:shd w:val="clear" w:fill="DCFCE7"/>
          </w:tcPr>
          <w:p>
            <w:pPr>
              <w:widowControl/>
              <w:spacing w:lineRule="auto" w:line="324" w:before="0" w:after="40"/>
              <w:jc w:val="left"/>
            </w:pPr>
            <w:r/>
            <w:r>
              <w:rPr>
                <w:rFonts w:ascii="MS ゴシック" w:hAnsi="MS ゴシック" w:eastAsia="MS ゴシック"/>
                <w:b w:val="0"/>
                <w:i w:val="0"/>
                <w:sz w:val="19"/>
              </w:rPr>
              <w:t>・障害者雇用で配慮を受ける</w:t>
              <w:br/>
              <w:t>・就労移行支援を利用</w:t>
              <w:br/>
              <w:t>・短時間勤務から始める</w:t>
            </w:r>
          </w:p>
        </w:tc>
        <w:tc>
          <w:tcPr>
            <w:tcW w:type="dxa" w:w="3211"/>
            <w:tcMar>
              <w:top w:w="110" w:type="dxa"/>
              <w:left w:w="110" w:type="dxa"/>
              <w:bottom w:w="110" w:type="dxa"/>
              <w:right w:w="110" w:type="dxa"/>
            </w:tcMar>
            <w:shd w:val="clear" w:fill="DCFCE7"/>
          </w:tcPr>
          <w:p>
            <w:pPr>
              <w:widowControl/>
              <w:spacing w:lineRule="auto" w:line="324" w:before="0" w:after="40"/>
              <w:jc w:val="left"/>
            </w:pPr>
            <w:r/>
            <w:r>
              <w:rPr>
                <w:rFonts w:ascii="MS ゴシック" w:hAnsi="MS ゴシック" w:eastAsia="MS ゴシック"/>
                <w:b w:val="0"/>
                <w:i w:val="0"/>
                <w:sz w:val="19"/>
              </w:rPr>
              <w:t>・障害年金を申請</w:t>
              <w:br/>
              <w:t>・自立支援医療で通院費を削減</w:t>
              <w:br/>
              <w:t>・精神障害者手帳でサービス利用</w:t>
            </w:r>
          </w:p>
        </w:tc>
      </w:tr>
    </w:tbl>
    <w:p>
      <w:pPr>
        <w:spacing w:after="80"/>
      </w:pPr>
    </w:p>
    <w:p>
      <w:pPr>
        <w:keepNext/>
        <w:widowControl/>
        <w:spacing w:before="240" w:after="100"/>
      </w:pPr>
      <w:r>
        <w:rPr>
          <w:rFonts w:ascii="MS ゴシック" w:hAnsi="MS ゴシック" w:eastAsia="MS ゴシック"/>
          <w:b/>
          <w:color w:val="0F766E"/>
          <w:sz w:val="23"/>
        </w:rPr>
        <w:t>使える主な社会的支援制度</w:t>
      </w:r>
    </w:p>
    <w:tbl>
      <w:tblPr>
        <w:tblStyle w:val="TableGrid"/>
        <w:tblW w:type="auto" w:w="0"/>
        <w:jc w:val="left"/>
        <w:tblLook w:firstColumn="1" w:firstRow="1" w:lastColumn="0" w:lastRow="0" w:noHBand="0" w:noVBand="1" w:val="04A0"/>
      </w:tblPr>
      <w:tblGrid>
        <w:gridCol w:w="4816"/>
        <w:gridCol w:w="4816"/>
      </w:tblGrid>
      <w:tr>
        <w:tc>
          <w:tcPr>
            <w:tcW w:type="dxa" w:w="4816"/>
            <w:shd w:val="clear" w:fill="0F766E"/>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color w:val="FFFFFF"/>
                <w:sz w:val="23"/>
              </w:rPr>
              <w:t>制度名</w:t>
            </w:r>
          </w:p>
        </w:tc>
        <w:tc>
          <w:tcPr>
            <w:tcW w:type="dxa" w:w="4816"/>
            <w:shd w:val="clear" w:fill="0F766E"/>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color w:val="FFFFFF"/>
                <w:sz w:val="23"/>
              </w:rPr>
              <w:t>内容</w:t>
            </w:r>
          </w:p>
        </w:tc>
      </w:tr>
      <w:tr>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自立支援医療（精神通院）</w:t>
            </w:r>
          </w:p>
        </w:tc>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通院の医療費が原則1割に。申請は市区町村の窓口へ。</w:t>
            </w:r>
          </w:p>
        </w:tc>
      </w:tr>
      <w:tr>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精神障害者保健福祉手帳</w:t>
            </w:r>
          </w:p>
        </w:tc>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交通費割引・税制優遇・就職支援などが受けられる。</w:t>
            </w:r>
          </w:p>
        </w:tc>
      </w:tr>
      <w:tr>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障害年金</w:t>
            </w:r>
          </w:p>
        </w:tc>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病気で働きにくい場合に受け取れる年金（1〜2級）。</w:t>
            </w:r>
          </w:p>
        </w:tc>
      </w:tr>
      <w:tr>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就労移行支援</w:t>
            </w:r>
          </w:p>
        </w:tc>
        <w:tc>
          <w:tcPr>
            <w:tcW w:type="dxa" w:w="4816"/>
            <w:shd w:val="clear" w:fill="FFFFFF"/>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働く準備を最大2年間サポート。原則無料で利用可。</w:t>
            </w:r>
          </w:p>
        </w:tc>
      </w:tr>
      <w:tr>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i w:val="0"/>
                <w:sz w:val="21"/>
              </w:rPr>
              <w:t>精神保健福祉センター</w:t>
            </w:r>
          </w:p>
        </w:tc>
        <w:tc>
          <w:tcPr>
            <w:tcW w:type="dxa" w:w="4816"/>
            <w:shd w:val="clear" w:fill="F3F4F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各都道府県に設置。本人・家族・周囲の人も無料で相談可。</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⑥ 偏見をなくすために／サポートの仕方</w:t>
      </w:r>
    </w:p>
    <w:p>
      <w:pPr>
        <w:keepNext/>
        <w:widowControl/>
        <w:spacing w:before="240" w:after="100"/>
      </w:pPr>
      <w:r>
        <w:rPr>
          <w:rFonts w:ascii="MS ゴシック" w:hAnsi="MS ゴシック" w:eastAsia="MS ゴシック"/>
          <w:b/>
          <w:color w:val="0F766E"/>
          <w:sz w:val="23"/>
        </w:rPr>
        <w:t>よくある誤解と、正しい理解</w:t>
      </w:r>
    </w:p>
    <w:tbl>
      <w:tblPr>
        <w:tblStyle w:val="TableGrid"/>
        <w:tblW w:type="auto" w:w="0"/>
        <w:jc w:val="left"/>
        <w:tblLook w:firstColumn="1" w:firstRow="1" w:lastColumn="0" w:lastRow="0" w:noHBand="0" w:noVBand="1" w:val="04A0"/>
      </w:tblPr>
      <w:tblGrid>
        <w:gridCol w:w="4816"/>
        <w:gridCol w:w="4816"/>
      </w:tblGrid>
      <w:tr>
        <w:tc>
          <w:tcPr>
            <w:tcW w:type="dxa" w:w="4816"/>
            <w:shd w:val="clear" w:fill="DC2626"/>
            <w:tcMar>
              <w:top w:w="110" w:type="dxa"/>
              <w:left w:w="110" w:type="dxa"/>
              <w:bottom w:w="110" w:type="dxa"/>
              <w:right w:w="110" w:type="dxa"/>
            </w:tcMar>
          </w:tcPr>
          <w:p>
            <w:pPr>
              <w:widowControl/>
              <w:spacing w:lineRule="auto" w:line="324" w:before="0" w:after="40"/>
              <w:jc w:val="center"/>
            </w:pPr>
            <w:r/>
            <w:r>
              <w:rPr>
                <w:rFonts w:ascii="MS ゴシック" w:hAnsi="MS ゴシック" w:eastAsia="MS ゴシック"/>
                <w:b/>
                <w:i w:val="0"/>
                <w:color w:val="FFFFFF"/>
                <w:sz w:val="23"/>
              </w:rPr>
              <w:t>× よくある誤解</w:t>
            </w:r>
          </w:p>
        </w:tc>
        <w:tc>
          <w:tcPr>
            <w:tcW w:type="dxa" w:w="4816"/>
            <w:shd w:val="clear" w:fill="15803D"/>
            <w:tcMar>
              <w:top w:w="110" w:type="dxa"/>
              <w:left w:w="110" w:type="dxa"/>
              <w:bottom w:w="110" w:type="dxa"/>
              <w:right w:w="110" w:type="dxa"/>
            </w:tcMar>
          </w:tcPr>
          <w:p>
            <w:pPr>
              <w:widowControl/>
              <w:spacing w:lineRule="auto" w:line="324" w:before="0" w:after="40"/>
              <w:jc w:val="center"/>
            </w:pPr>
            <w:r/>
            <w:r>
              <w:rPr>
                <w:rFonts w:ascii="MS ゴシック" w:hAnsi="MS ゴシック" w:eastAsia="MS ゴシック"/>
                <w:b/>
                <w:i w:val="0"/>
                <w:color w:val="FFFFFF"/>
                <w:sz w:val="23"/>
              </w:rPr>
              <w:t>✓ 正しい理解</w:t>
            </w:r>
          </w:p>
        </w:tc>
      </w:tr>
      <w:tr>
        <w:tc>
          <w:tcPr>
            <w:tcW w:type="dxa" w:w="4816"/>
            <w:shd w:val="clear" w:fill="FFF1F2"/>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991B1B"/>
                <w:sz w:val="21"/>
              </w:rPr>
              <w:t>「危険な人だ」</w:t>
            </w:r>
          </w:p>
        </w:tc>
        <w:tc>
          <w:tcPr>
            <w:tcW w:type="dxa" w:w="4816"/>
            <w:shd w:val="clear" w:fill="F0FDF4"/>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166534"/>
                <w:sz w:val="21"/>
              </w:rPr>
              <w:t>他者を傷つけるリスクは一般の人と大きく変わらない。孤立や自傷への配慮が必要なことが多い。</w:t>
            </w:r>
          </w:p>
        </w:tc>
      </w:tr>
      <w:tr>
        <w:tc>
          <w:tcPr>
            <w:tcW w:type="dxa" w:w="4816"/>
            <w:shd w:val="clear" w:fill="FEE2E2"/>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991B1B"/>
                <w:sz w:val="21"/>
              </w:rPr>
              <w:t>「一生治らない」</w:t>
            </w:r>
          </w:p>
        </w:tc>
        <w:tc>
          <w:tcPr>
            <w:tcW w:type="dxa" w:w="4816"/>
            <w:shd w:val="clear" w:fill="DCFCE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166534"/>
                <w:sz w:val="21"/>
              </w:rPr>
              <w:t>適切な治療で症状をコントロールできる。多くの人が仕事・学業・生活を取り戻す。</w:t>
            </w:r>
          </w:p>
        </w:tc>
      </w:tr>
      <w:tr>
        <w:tc>
          <w:tcPr>
            <w:tcW w:type="dxa" w:w="4816"/>
            <w:shd w:val="clear" w:fill="FFF1F2"/>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991B1B"/>
                <w:sz w:val="21"/>
              </w:rPr>
              <w:t>「話が通じない」</w:t>
            </w:r>
          </w:p>
        </w:tc>
        <w:tc>
          <w:tcPr>
            <w:tcW w:type="dxa" w:w="4816"/>
            <w:shd w:val="clear" w:fill="F0FDF4"/>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166534"/>
                <w:sz w:val="21"/>
              </w:rPr>
              <w:t>急性期（症状が強い時期）以外は、普通に会話できることがほとんど。</w:t>
            </w:r>
          </w:p>
        </w:tc>
      </w:tr>
      <w:tr>
        <w:tc>
          <w:tcPr>
            <w:tcW w:type="dxa" w:w="4816"/>
            <w:shd w:val="clear" w:fill="FEE2E2"/>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991B1B"/>
                <w:sz w:val="21"/>
              </w:rPr>
              <w:t>「自業自得・意志が弱い」</w:t>
            </w:r>
          </w:p>
        </w:tc>
        <w:tc>
          <w:tcPr>
            <w:tcW w:type="dxa" w:w="4816"/>
            <w:shd w:val="clear" w:fill="DCFCE7"/>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166534"/>
                <w:sz w:val="21"/>
              </w:rPr>
              <w:t>脳の医学的な病気。本人の責任ではない。</w:t>
            </w:r>
          </w:p>
        </w:tc>
      </w:tr>
      <w:tr>
        <w:tc>
          <w:tcPr>
            <w:tcW w:type="dxa" w:w="4816"/>
            <w:shd w:val="clear" w:fill="FFF1F2"/>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991B1B"/>
                <w:sz w:val="21"/>
              </w:rPr>
              <w:t>「精神病=怖い」</w:t>
            </w:r>
          </w:p>
        </w:tc>
        <w:tc>
          <w:tcPr>
            <w:tcW w:type="dxa" w:w="4816"/>
            <w:shd w:val="clear" w:fill="F0FDF4"/>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color w:val="166534"/>
                <w:sz w:val="21"/>
              </w:rPr>
              <w:t>正しい知識が偏見をなくす。誤解や無関心が本人を苦しめる。</w:t>
            </w:r>
          </w:p>
        </w:tc>
      </w:tr>
    </w:tbl>
    <w:p>
      <w:pPr>
        <w:spacing w:after="80"/>
      </w:pPr>
    </w:p>
    <w:p>
      <w:pPr>
        <w:keepNext/>
        <w:widowControl/>
        <w:spacing w:before="240" w:after="100"/>
      </w:pPr>
      <w:r>
        <w:rPr>
          <w:rFonts w:ascii="MS ゴシック" w:hAnsi="MS ゴシック" w:eastAsia="MS ゴシック"/>
          <w:b/>
          <w:color w:val="0F766E"/>
          <w:sz w:val="23"/>
        </w:rPr>
        <w:t>困っている人へのサポート 5か条</w:t>
      </w:r>
    </w:p>
    <w:tbl>
      <w:tblPr>
        <w:tblStyle w:val="TableGrid"/>
        <w:tblW w:type="auto" w:w="0"/>
        <w:jc w:val="left"/>
        <w:tblLook w:firstColumn="1" w:firstRow="1" w:lastColumn="0" w:lastRow="0" w:noHBand="0" w:noVBand="1" w:val="04A0"/>
      </w:tblPr>
      <w:tblGrid>
        <w:gridCol w:w="3211"/>
        <w:gridCol w:w="3211"/>
        <w:gridCol w:w="3211"/>
      </w:tblGrid>
      <w:tr>
        <w:tc>
          <w:tcPr>
            <w:tcW w:type="dxa" w:w="3211"/>
            <w:shd w:val="clear" w:fill="0F766E"/>
            <w:tcMar>
              <w:top w:w="80" w:type="dxa"/>
              <w:left w:w="80" w:type="dxa"/>
              <w:bottom w:w="80" w:type="dxa"/>
              <w:right w:w="80" w:type="dxa"/>
            </w:tcMar>
            <w:vAlign w:val="center"/>
          </w:tcPr>
          <w:p>
            <w:pPr>
              <w:widowControl/>
              <w:spacing w:lineRule="auto" w:line="324" w:before="0" w:after="40"/>
              <w:jc w:val="center"/>
            </w:pPr>
            <w:r/>
            <w:r>
              <w:rPr>
                <w:rFonts w:ascii="MS ゴシック" w:hAnsi="MS ゴシック" w:eastAsia="MS ゴシック"/>
                <w:b/>
                <w:i w:val="0"/>
                <w:color w:val="FFFFFF"/>
                <w:sz w:val="28"/>
              </w:rPr>
              <w:t>1</w:t>
            </w:r>
          </w:p>
        </w:tc>
        <w:tc>
          <w:tcPr>
            <w:tcW w:type="dxa" w:w="3211"/>
            <w:shd w:val="clear" w:fill="F0FDFA"/>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0F766E"/>
                <w:sz w:val="23"/>
              </w:rPr>
              <w:t>まず「話を聞く」</w:t>
            </w:r>
          </w:p>
        </w:tc>
        <w:tc>
          <w:tcPr>
            <w:tcW w:type="dxa" w:w="3211"/>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解決しようとせず「大変だったね」と気持ちを受け止めるだけでいい</w:t>
            </w:r>
          </w:p>
        </w:tc>
      </w:tr>
      <w:tr>
        <w:tc>
          <w:tcPr>
            <w:tcW w:type="dxa" w:w="3211"/>
            <w:shd w:val="clear" w:fill="3B82F6"/>
            <w:tcMar>
              <w:top w:w="80" w:type="dxa"/>
              <w:left w:w="80" w:type="dxa"/>
              <w:bottom w:w="80" w:type="dxa"/>
              <w:right w:w="80" w:type="dxa"/>
            </w:tcMar>
            <w:vAlign w:val="center"/>
          </w:tcPr>
          <w:p>
            <w:pPr>
              <w:widowControl/>
              <w:spacing w:lineRule="auto" w:line="324" w:before="0" w:after="40"/>
              <w:jc w:val="center"/>
            </w:pPr>
            <w:r/>
            <w:r>
              <w:rPr>
                <w:rFonts w:ascii="MS ゴシック" w:hAnsi="MS ゴシック" w:eastAsia="MS ゴシック"/>
                <w:b/>
                <w:i w:val="0"/>
                <w:color w:val="FFFFFF"/>
                <w:sz w:val="28"/>
              </w:rPr>
              <w:t>2</w:t>
            </w:r>
          </w:p>
        </w:tc>
        <w:tc>
          <w:tcPr>
            <w:tcW w:type="dxa" w:w="3211"/>
            <w:shd w:val="clear" w:fill="EFF6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3B82F6"/>
                <w:sz w:val="23"/>
              </w:rPr>
              <w:t>否定・説得しない</w:t>
            </w:r>
          </w:p>
        </w:tc>
        <w:tc>
          <w:tcPr>
            <w:tcW w:type="dxa" w:w="3211"/>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「気のせいだよ」「頑張れば大丈夫」は逆効果になることがある</w:t>
            </w:r>
          </w:p>
        </w:tc>
      </w:tr>
      <w:tr>
        <w:tc>
          <w:tcPr>
            <w:tcW w:type="dxa" w:w="3211"/>
            <w:shd w:val="clear" w:fill="6366F1"/>
            <w:tcMar>
              <w:top w:w="80" w:type="dxa"/>
              <w:left w:w="80" w:type="dxa"/>
              <w:bottom w:w="80" w:type="dxa"/>
              <w:right w:w="80" w:type="dxa"/>
            </w:tcMar>
            <w:vAlign w:val="center"/>
          </w:tcPr>
          <w:p>
            <w:pPr>
              <w:widowControl/>
              <w:spacing w:lineRule="auto" w:line="324" w:before="0" w:after="40"/>
              <w:jc w:val="center"/>
            </w:pPr>
            <w:r/>
            <w:r>
              <w:rPr>
                <w:rFonts w:ascii="MS ゴシック" w:hAnsi="MS ゴシック" w:eastAsia="MS ゴシック"/>
                <w:b/>
                <w:i w:val="0"/>
                <w:color w:val="FFFFFF"/>
                <w:sz w:val="28"/>
              </w:rPr>
              <w:t>3</w:t>
            </w:r>
          </w:p>
        </w:tc>
        <w:tc>
          <w:tcPr>
            <w:tcW w:type="dxa" w:w="3211"/>
            <w:shd w:val="clear" w:fill="EEF2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6366F1"/>
                <w:sz w:val="23"/>
              </w:rPr>
              <w:t>専門家につなぐ</w:t>
            </w:r>
          </w:p>
        </w:tc>
        <w:tc>
          <w:tcPr>
            <w:tcW w:type="dxa" w:w="3211"/>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「一緒に相談窓口に行こう」と誘う。一人で抱え込まなくていい</w:t>
            </w:r>
          </w:p>
        </w:tc>
      </w:tr>
      <w:tr>
        <w:tc>
          <w:tcPr>
            <w:tcW w:type="dxa" w:w="3211"/>
            <w:shd w:val="clear" w:fill="7C3AED"/>
            <w:tcMar>
              <w:top w:w="80" w:type="dxa"/>
              <w:left w:w="80" w:type="dxa"/>
              <w:bottom w:w="80" w:type="dxa"/>
              <w:right w:w="80" w:type="dxa"/>
            </w:tcMar>
            <w:vAlign w:val="center"/>
          </w:tcPr>
          <w:p>
            <w:pPr>
              <w:widowControl/>
              <w:spacing w:lineRule="auto" w:line="324" w:before="0" w:after="40"/>
              <w:jc w:val="center"/>
            </w:pPr>
            <w:r/>
            <w:r>
              <w:rPr>
                <w:rFonts w:ascii="MS ゴシック" w:hAnsi="MS ゴシック" w:eastAsia="MS ゴシック"/>
                <w:b/>
                <w:i w:val="0"/>
                <w:color w:val="FFFFFF"/>
                <w:sz w:val="28"/>
              </w:rPr>
              <w:t>4</w:t>
            </w:r>
          </w:p>
        </w:tc>
        <w:tc>
          <w:tcPr>
            <w:tcW w:type="dxa" w:w="3211"/>
            <w:shd w:val="clear" w:fill="EDE9FE"/>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7C3AED"/>
                <w:sz w:val="23"/>
              </w:rPr>
              <w:t>秘密を守る</w:t>
            </w:r>
          </w:p>
        </w:tc>
        <w:tc>
          <w:tcPr>
            <w:tcW w:type="dxa" w:w="3211"/>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聞いたことを本人の許可なく周囲に広めない</w:t>
            </w:r>
          </w:p>
        </w:tc>
      </w:tr>
      <w:tr>
        <w:tc>
          <w:tcPr>
            <w:tcW w:type="dxa" w:w="3211"/>
            <w:shd w:val="clear" w:fill="E11D48"/>
            <w:tcMar>
              <w:top w:w="80" w:type="dxa"/>
              <w:left w:w="80" w:type="dxa"/>
              <w:bottom w:w="80" w:type="dxa"/>
              <w:right w:w="80" w:type="dxa"/>
            </w:tcMar>
            <w:vAlign w:val="center"/>
          </w:tcPr>
          <w:p>
            <w:pPr>
              <w:widowControl/>
              <w:spacing w:lineRule="auto" w:line="324" w:before="0" w:after="40"/>
              <w:jc w:val="center"/>
            </w:pPr>
            <w:r/>
            <w:r>
              <w:rPr>
                <w:rFonts w:ascii="MS ゴシック" w:hAnsi="MS ゴシック" w:eastAsia="MS ゴシック"/>
                <w:b/>
                <w:i w:val="0"/>
                <w:color w:val="FFFFFF"/>
                <w:sz w:val="28"/>
              </w:rPr>
              <w:t>5</w:t>
            </w:r>
          </w:p>
        </w:tc>
        <w:tc>
          <w:tcPr>
            <w:tcW w:type="dxa" w:w="3211"/>
            <w:shd w:val="clear" w:fill="FEE2E2"/>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E11D48"/>
                <w:sz w:val="23"/>
              </w:rPr>
              <w:t>自分も無理しない</w:t>
            </w:r>
          </w:p>
        </w:tc>
        <w:tc>
          <w:tcPr>
            <w:tcW w:type="dxa" w:w="3211"/>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サポートする側も疲弊しないよう、自分のペースで関わる</w:t>
            </w:r>
          </w:p>
        </w:tc>
      </w:tr>
    </w:tbl>
    <w:p>
      <w:pPr>
        <w:spacing w:after="120"/>
      </w:pPr>
    </w:p>
    <w:p>
      <w:pPr>
        <w:keepNext/>
        <w:widowControl/>
        <w:spacing w:before="240" w:after="100"/>
      </w:pPr>
      <w:r>
        <w:rPr>
          <w:rFonts w:ascii="MS ゴシック" w:hAnsi="MS ゴシック" w:eastAsia="MS ゴシック"/>
          <w:b/>
          <w:color w:val="0F766E"/>
          <w:sz w:val="23"/>
        </w:rPr>
        <w:t>相談できる主な窓口</w:t>
      </w:r>
    </w:p>
    <w:tbl>
      <w:tblPr>
        <w:tblStyle w:val="TableGrid"/>
        <w:tblW w:type="auto" w:w="0"/>
        <w:jc w:val="left"/>
        <w:tblLook w:firstColumn="1" w:firstRow="1" w:lastColumn="0" w:lastRow="0" w:noHBand="0" w:noVBand="1" w:val="04A0"/>
      </w:tblPr>
      <w:tblGrid>
        <w:gridCol w:w="4816"/>
        <w:gridCol w:w="4816"/>
      </w:tblGrid>
      <w:tr>
        <w:tc>
          <w:tcPr>
            <w:tcW w:type="dxa" w:w="4816"/>
            <w:shd w:val="clear" w:fill="DBEAFE"/>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1D4ED8"/>
                <w:sz w:val="21"/>
              </w:rPr>
              <w:t>精神保健福祉センター</w:t>
            </w:r>
          </w:p>
        </w:tc>
        <w:tc>
          <w:tcPr>
            <w:tcW w:type="dxa" w:w="4816"/>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各都道府県に設置。本人・家族・周囲の人も無料で相談可。</w:t>
            </w:r>
          </w:p>
        </w:tc>
      </w:tr>
      <w:tr>
        <w:tc>
          <w:tcPr>
            <w:tcW w:type="dxa" w:w="4816"/>
            <w:shd w:val="clear" w:fill="DCFCE7"/>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15803D"/>
                <w:sz w:val="21"/>
              </w:rPr>
              <w:t>こころの健康相談統一ダイヤル</w:t>
            </w:r>
          </w:p>
        </w:tc>
        <w:tc>
          <w:tcPr>
            <w:tcW w:type="dxa" w:w="4816"/>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0570-064-556（全国共通・平日）</w:t>
            </w:r>
          </w:p>
        </w:tc>
      </w:tr>
      <w:tr>
        <w:tc>
          <w:tcPr>
            <w:tcW w:type="dxa" w:w="4816"/>
            <w:shd w:val="clear" w:fill="FEE2E2"/>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DC2626"/>
                <w:sz w:val="21"/>
              </w:rPr>
              <w:t>よりそいホットライン</w:t>
            </w:r>
          </w:p>
        </w:tc>
        <w:tc>
          <w:tcPr>
            <w:tcW w:type="dxa" w:w="4816"/>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0120-279-338（24時間・無料）</w:t>
            </w:r>
          </w:p>
        </w:tc>
      </w:tr>
      <w:tr>
        <w:tc>
          <w:tcPr>
            <w:tcW w:type="dxa" w:w="4816"/>
            <w:shd w:val="clear" w:fill="F3E8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i w:val="0"/>
                <w:color w:val="7C3AED"/>
                <w:sz w:val="21"/>
              </w:rPr>
              <w:t>スクールカウンセラー</w:t>
            </w:r>
          </w:p>
        </w:tc>
        <w:tc>
          <w:tcPr>
            <w:tcW w:type="dxa" w:w="4816"/>
            <w:shd w:val="clear" w:fill="FFFFFF"/>
            <w:tcMar>
              <w:top w:w="110" w:type="dxa"/>
              <w:left w:w="110" w:type="dxa"/>
              <w:bottom w:w="110" w:type="dxa"/>
              <w:right w:w="110" w:type="dxa"/>
            </w:tcMar>
            <w:vAlign w:val="center"/>
          </w:tcPr>
          <w:p>
            <w:pPr>
              <w:widowControl/>
              <w:spacing w:lineRule="auto" w:line="324" w:before="0" w:after="40"/>
              <w:jc w:val="left"/>
            </w:pPr>
            <w:r/>
            <w:r>
              <w:rPr>
                <w:rFonts w:ascii="MS ゴシック" w:hAnsi="MS ゴシック" w:eastAsia="MS ゴシック"/>
                <w:b w:val="0"/>
                <w:i w:val="0"/>
                <w:sz w:val="21"/>
              </w:rPr>
              <w:t>在学中は学校内で相談可能</w:t>
            </w:r>
          </w:p>
        </w:tc>
      </w:tr>
    </w:tbl>
    <w:p>
      <w:pPr>
        <w:spacing w:after="120"/>
      </w:pPr>
    </w:p>
    <w:tbl>
      <w:tblPr>
        <w:tblStyle w:val="TableGrid"/>
        <w:tblW w:type="auto" w:w="0"/>
        <w:jc w:val="left"/>
        <w:tblLook w:firstColumn="1" w:firstRow="1" w:lastColumn="0" w:lastRow="0" w:noHBand="0" w:noVBand="1" w:val="04A0"/>
      </w:tblPr>
      <w:tblGrid>
        <w:gridCol w:w="9632"/>
      </w:tblGrid>
      <w:tr>
        <w:tc>
          <w:tcPr>
            <w:tcW w:type="dxa" w:w="9632"/>
            <w:shd w:val="clear" w:fill="3B82F6"/>
            <w:tcMar>
              <w:top w:w="90" w:type="dxa"/>
              <w:left w:w="90" w:type="dxa"/>
              <w:bottom w:w="90" w:type="dxa"/>
              <w:right w:w="90" w:type="dxa"/>
            </w:tcMar>
          </w:tcPr>
          <w:p>
            <w:pPr>
              <w:widowControl/>
              <w:spacing w:lineRule="auto" w:line="324" w:before="0" w:after="40"/>
              <w:jc w:val="left"/>
            </w:pPr>
            <w:r/>
            <w:r>
              <w:rPr>
                <w:rFonts w:ascii="MS ゴシック" w:hAnsi="MS ゴシック" w:eastAsia="MS ゴシック"/>
                <w:b/>
                <w:i w:val="0"/>
                <w:color w:val="FFFFFF"/>
                <w:sz w:val="23"/>
              </w:rPr>
              <w:t>この資料を読んで</w:t>
            </w:r>
          </w:p>
        </w:tc>
      </w:tr>
      <w:tr>
        <w:tc>
          <w:tcPr>
            <w:tcW w:type="dxa" w:w="9632"/>
            <w:shd w:val="clear" w:fill="DBEAFE"/>
            <w:tcMar>
              <w:top w:w="110" w:type="dxa"/>
              <w:left w:w="110" w:type="dxa"/>
              <w:bottom w:w="110" w:type="dxa"/>
              <w:right w:w="110" w:type="dxa"/>
            </w:tcMar>
          </w:tcPr>
          <w:p>
            <w:pPr>
              <w:widowControl/>
              <w:spacing w:lineRule="auto" w:line="324" w:before="0" w:after="40"/>
              <w:jc w:val="left"/>
            </w:pPr>
            <w:r/>
            <w:r>
              <w:rPr>
                <w:rFonts w:ascii="MS ゴシック" w:hAnsi="MS ゴシック" w:eastAsia="MS ゴシック"/>
                <w:b w:val="0"/>
                <w:i w:val="0"/>
                <w:sz w:val="21"/>
              </w:rPr>
              <w:t>統合失調症は、正しく理解すれば「怖い病気」ではなく、「適切な支援があれば回復できる病気」です。偏見や無関心ではなく、正しい知識と温かい関わりが、本人を助け社会全体をより生きやすくします。</w:t>
            </w:r>
          </w:p>
        </w:tc>
      </w:tr>
    </w:tbl>
    <w:p>
      <w:pPr>
        <w:spacing w:after="80"/>
      </w:pPr>
    </w:p>
    <w:p>
      <w:r>
        <w:br w:type="page"/>
      </w:r>
    </w:p>
    <w:p>
      <w:pPr>
        <w:keepNext/>
        <w:widowControl/>
        <w:spacing w:before="360" w:after="160"/>
        <w:pBdr>
          <w:bottom w:val="single" w:sz="8" w:space="3" w:color="0F766E"/>
        </w:pBdr>
      </w:pPr>
      <w:r>
        <w:rPr>
          <w:rFonts w:ascii="MS ゴシック" w:hAnsi="MS ゴシック" w:eastAsia="MS ゴシック"/>
          <w:b/>
          <w:color w:val="1E3A5F"/>
          <w:sz w:val="26"/>
        </w:rPr>
        <w:t>（付記）</w:t>
      </w:r>
    </w:p>
    <w:p>
      <w:pPr>
        <w:widowControl/>
        <w:spacing w:lineRule="auto" w:line="324" w:after="100"/>
        <w:jc w:val="left"/>
      </w:pPr>
      <w:r>
        <w:rPr>
          <w:rFonts w:ascii="MS ゴシック" w:hAnsi="MS ゴシック" w:eastAsia="MS ゴシック"/>
          <w:b w:val="0"/>
          <w:i w:val="0"/>
          <w:color w:val="475569"/>
          <w:sz w:val="19"/>
        </w:rPr>
        <w:t>この資料は、統合失調症について正しく知ってもらうことを目的とした一般教育用の資料です。</w:t>
      </w:r>
    </w:p>
    <w:p>
      <w:pPr>
        <w:widowControl/>
        <w:spacing w:lineRule="auto" w:line="324" w:after="100"/>
        <w:jc w:val="left"/>
      </w:pPr>
      <w:r>
        <w:rPr>
          <w:rFonts w:ascii="MS ゴシック" w:hAnsi="MS ゴシック" w:eastAsia="MS ゴシック"/>
          <w:b w:val="0"/>
          <w:i w:val="0"/>
          <w:color w:val="475569"/>
          <w:sz w:val="19"/>
        </w:rPr>
        <w:t>個別の診断・治療については、必ず医療機関にご相談ください。</w:t>
      </w:r>
    </w:p>
    <w:p>
      <w:pPr>
        <w:widowControl/>
        <w:spacing w:lineRule="auto" w:line="324" w:after="100"/>
        <w:jc w:val="left"/>
      </w:pPr>
      <w:r>
        <w:rPr>
          <w:rFonts w:ascii="MS ゴシック" w:hAnsi="MS ゴシック" w:eastAsia="MS ゴシック"/>
          <w:b w:val="0"/>
          <w:i w:val="0"/>
          <w:color w:val="475569"/>
          <w:sz w:val="19"/>
        </w:rPr>
        <w:t>参考: 日本精神神経学会、厚生労働省「みんなのメンタルヘルス」、世界保健機関（WHO）（2026年5月）</w:t>
      </w:r>
    </w:p>
    <w:sectPr w:rsidR="00FC693F" w:rsidRPr="0006063C" w:rsidSect="00034616">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