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line="324" w:lineRule="auto"/>
      </w:pPr>
      <w:r>
        <w:rPr>
          <w:rFonts w:ascii="MS ゴシック" w:hAnsi="MS ゴシック" w:eastAsia="MS ゴシック"/>
          <w:b/>
          <w:color w:val="1E3A5F"/>
          <w:sz w:val="32"/>
        </w:rPr>
        <w:t>精神保健指定医 症例レポート 第1例</w:t>
      </w:r>
    </w:p>
    <w:p>
      <w:pPr>
        <w:spacing w:before="0" w:after="40" w:line="324" w:lineRule="auto"/>
      </w:pPr>
      <w:r>
        <w:rPr>
          <w:rFonts w:ascii="MS ゴシック" w:hAnsi="MS ゴシック" w:eastAsia="MS ゴシック"/>
          <w:b/>
          <w:color w:val="DC2626"/>
          <w:sz w:val="22"/>
        </w:rPr>
        <w:t>入院形態：措置入院（精神保健福祉法 第29条）</w:t>
      </w:r>
    </w:p>
    <w:p>
      <w:pPr>
        <w:spacing w:before="0" w:after="200" w:line="324" w:lineRule="auto"/>
      </w:pPr>
      <w:r>
        <w:rPr>
          <w:rFonts w:ascii="MS ゴシック" w:hAnsi="MS ゴシック" w:eastAsia="MS ゴシック"/>
          <w:b w:val="0"/>
          <w:sz w:val="22"/>
        </w:rPr>
        <w:t>ICD-10診断：F20.0 妄想型統合失調症</w:t>
      </w:r>
    </w:p>
    <w:p>
      <w:pPr>
        <w:spacing w:before="160" w:after="60" w:line="324" w:lineRule="auto"/>
        <w:pBdr>
          <w:bottom w:val="single" w:sz="8" w:space="4" w:color="1E3A5F"/>
        </w:pBdr>
      </w:pPr>
      <w:r>
        <w:rPr>
          <w:rFonts w:ascii="MS ゴシック" w:hAnsi="MS ゴシック" w:eastAsia="MS ゴシック"/>
          <w:b/>
          <w:color w:val="1E3A5F"/>
          <w:sz w:val="26"/>
        </w:rPr>
        <w:t>1. 患者基本情報</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rFonts w:ascii="MS ゴシック" w:hAnsi="MS ゴシック" w:eastAsia="MS ゴシック"/>
                <w:b/>
                <w:color w:val="FFFFFF"/>
                <w:sz w:val="21"/>
              </w:rPr>
              <w:t>項目</w:t>
            </w:r>
          </w:p>
        </w:tc>
        <w:tc>
          <w:tcPr>
            <w:tcW w:type="dxa" w:w="4703"/>
            <w:shd w:val="clear" w:color="auto" w:fill="1E3A5F"/>
          </w:tcPr>
          <w:p>
            <w:r>
              <w:rPr>
                <w:rFonts w:ascii="MS ゴシック" w:hAnsi="MS ゴシック" w:eastAsia="MS ゴシック"/>
                <w:b/>
                <w:color w:val="FFFFFF"/>
                <w:sz w:val="21"/>
              </w:rPr>
              <w:t>内容</w:t>
            </w:r>
          </w:p>
        </w:tc>
      </w:tr>
      <w:tr>
        <w:tc>
          <w:tcPr>
            <w:tcW w:type="dxa" w:w="4703"/>
          </w:tcPr>
          <w:p>
            <w:r>
              <w:rPr>
                <w:rFonts w:ascii="MS ゴシック" w:hAnsi="MS ゴシック" w:eastAsia="MS ゴシック"/>
                <w:b w:val="0"/>
                <w:sz w:val="21"/>
              </w:rPr>
              <w:t>年齢・性別</w:t>
            </w:r>
          </w:p>
        </w:tc>
        <w:tc>
          <w:tcPr>
            <w:tcW w:type="dxa" w:w="4703"/>
          </w:tcPr>
          <w:p>
            <w:r>
              <w:rPr>
                <w:rFonts w:ascii="MS ゴシック" w:hAnsi="MS ゴシック" w:eastAsia="MS ゴシック"/>
                <w:b w:val="0"/>
                <w:sz w:val="21"/>
              </w:rPr>
              <w:t>38歳 男性</w:t>
            </w:r>
          </w:p>
        </w:tc>
      </w:tr>
      <w:tr>
        <w:tc>
          <w:tcPr>
            <w:tcW w:type="dxa" w:w="4703"/>
            <w:shd w:val="clear" w:color="auto" w:fill="F0F4F8"/>
          </w:tcPr>
          <w:p>
            <w:r>
              <w:rPr>
                <w:rFonts w:ascii="MS ゴシック" w:hAnsi="MS ゴシック" w:eastAsia="MS ゴシック"/>
                <w:b w:val="0"/>
                <w:sz w:val="21"/>
              </w:rPr>
              <w:t>職業</w:t>
            </w:r>
          </w:p>
        </w:tc>
        <w:tc>
          <w:tcPr>
            <w:tcW w:type="dxa" w:w="4703"/>
            <w:shd w:val="clear" w:color="auto" w:fill="F0F4F8"/>
          </w:tcPr>
          <w:p>
            <w:r>
              <w:rPr>
                <w:rFonts w:ascii="MS ゴシック" w:hAnsi="MS ゴシック" w:eastAsia="MS ゴシック"/>
                <w:b w:val="0"/>
                <w:sz w:val="21"/>
              </w:rPr>
              <w:t>無職（元会社員）</w:t>
            </w:r>
          </w:p>
        </w:tc>
      </w:tr>
      <w:tr>
        <w:tc>
          <w:tcPr>
            <w:tcW w:type="dxa" w:w="4703"/>
          </w:tcPr>
          <w:p>
            <w:r>
              <w:rPr>
                <w:rFonts w:ascii="MS ゴシック" w:hAnsi="MS ゴシック" w:eastAsia="MS ゴシック"/>
                <w:b w:val="0"/>
                <w:sz w:val="21"/>
              </w:rPr>
              <w:t>家族構成・生活状況</w:t>
            </w:r>
          </w:p>
        </w:tc>
        <w:tc>
          <w:tcPr>
            <w:tcW w:type="dxa" w:w="4703"/>
          </w:tcPr>
          <w:p>
            <w:r>
              <w:rPr>
                <w:rFonts w:ascii="MS ゴシック" w:hAnsi="MS ゴシック" w:eastAsia="MS ゴシック"/>
                <w:b w:val="0"/>
                <w:sz w:val="21"/>
              </w:rPr>
              <w:t>独居、両親は他県在住</w:t>
            </w:r>
          </w:p>
        </w:tc>
      </w:tr>
    </w:tbl>
    <w:p/>
    <w:p>
      <w:pPr>
        <w:spacing w:before="160" w:after="60" w:line="324" w:lineRule="auto"/>
        <w:pBdr>
          <w:bottom w:val="single" w:sz="8" w:space="4" w:color="1E3A5F"/>
        </w:pBdr>
      </w:pPr>
      <w:r>
        <w:rPr>
          <w:rFonts w:ascii="MS ゴシック" w:hAnsi="MS ゴシック" w:eastAsia="MS ゴシック"/>
          <w:b/>
          <w:color w:val="1E3A5F"/>
          <w:sz w:val="26"/>
        </w:rPr>
        <w:t>2. 生活歴・既往歴</w:t>
      </w:r>
    </w:p>
    <w:p>
      <w:pPr>
        <w:spacing w:before="100" w:after="40" w:line="324" w:lineRule="auto"/>
        <w:shd w:val="clear" w:color="auto" w:fill="EFF6FF"/>
      </w:pPr>
      <w:r>
        <w:rPr>
          <w:rFonts w:ascii="MS ゴシック" w:hAnsi="MS ゴシック" w:eastAsia="MS ゴシック"/>
          <w:b/>
          <w:color w:val="1E3A5F"/>
          <w:sz w:val="23"/>
        </w:rPr>
        <w:t xml:space="preserve">　精神科受診歴・入院歴</w:t>
      </w:r>
    </w:p>
    <w:p>
      <w:pPr>
        <w:spacing w:before="0" w:after="60" w:line="324" w:lineRule="auto"/>
      </w:pPr>
      <w:r>
        <w:rPr>
          <w:rFonts w:ascii="MS ゴシック" w:hAnsi="MS ゴシック" w:eastAsia="MS ゴシック"/>
          <w:b w:val="0"/>
          <w:sz w:val="21"/>
        </w:rPr>
        <w:t>20歳代より幻聴・妄想を呈し、当院に初診。過去3回の入院歴（措置入院1回・医療保護入院2回）。最終入院は3年前。外来通院中であったが、2か月前より服薬自己中断。</w:t>
      </w:r>
    </w:p>
    <w:p>
      <w:pPr>
        <w:spacing w:before="100" w:after="40" w:line="324" w:lineRule="auto"/>
        <w:shd w:val="clear" w:color="auto" w:fill="EFF6FF"/>
      </w:pPr>
      <w:r>
        <w:rPr>
          <w:rFonts w:ascii="MS ゴシック" w:hAnsi="MS ゴシック" w:eastAsia="MS ゴシック"/>
          <w:b/>
          <w:color w:val="1E3A5F"/>
          <w:sz w:val="23"/>
        </w:rPr>
        <w:t xml:space="preserve">　身体疾患・家族歴</w:t>
      </w:r>
    </w:p>
    <w:p>
      <w:pPr>
        <w:spacing w:before="0" w:after="60" w:line="324" w:lineRule="auto"/>
      </w:pPr>
      <w:r>
        <w:rPr>
          <w:rFonts w:ascii="MS ゴシック" w:hAnsi="MS ゴシック" w:eastAsia="MS ゴシック"/>
          <w:b w:val="0"/>
          <w:sz w:val="21"/>
        </w:rPr>
        <w:t>特記すべき身体疾患なし。家族歴：父親が統合失調症の診断歴あり。</w:t>
      </w:r>
    </w:p>
    <w:p>
      <w:pPr>
        <w:spacing w:before="100" w:after="40" w:line="324" w:lineRule="auto"/>
        <w:shd w:val="clear" w:color="auto" w:fill="EFF6FF"/>
      </w:pPr>
      <w:r>
        <w:rPr>
          <w:rFonts w:ascii="MS ゴシック" w:hAnsi="MS ゴシック" w:eastAsia="MS ゴシック"/>
          <w:b/>
          <w:color w:val="1E3A5F"/>
          <w:sz w:val="23"/>
        </w:rPr>
        <w:t xml:space="preserve">　生活歴</w:t>
      </w:r>
    </w:p>
    <w:p>
      <w:pPr>
        <w:spacing w:before="0" w:after="60" w:line="324" w:lineRule="auto"/>
      </w:pPr>
      <w:r>
        <w:rPr>
          <w:rFonts w:ascii="MS ゴシック" w:hAnsi="MS ゴシック" w:eastAsia="MS ゴシック"/>
          <w:b w:val="0"/>
          <w:sz w:val="21"/>
        </w:rPr>
        <w:t>○○県出身。高校卒業後、製造業に就労するも対人関係に困難を来し離職。現在無職。未婚、独居。</w:t>
      </w:r>
    </w:p>
    <w:p>
      <w:pPr>
        <w:spacing w:before="160" w:after="60" w:line="324" w:lineRule="auto"/>
        <w:pBdr>
          <w:bottom w:val="single" w:sz="8" w:space="4" w:color="1E3A5F"/>
        </w:pBdr>
      </w:pPr>
      <w:r>
        <w:rPr>
          <w:rFonts w:ascii="MS ゴシック" w:hAnsi="MS ゴシック" w:eastAsia="MS ゴシック"/>
          <w:b/>
          <w:color w:val="1E3A5F"/>
          <w:sz w:val="26"/>
        </w:rPr>
        <w:t>3. 現病歴・入院契機</w:t>
      </w:r>
    </w:p>
    <w:p>
      <w:pPr>
        <w:spacing w:before="100" w:after="40" w:line="324" w:lineRule="auto"/>
        <w:shd w:val="clear" w:color="auto" w:fill="EFF6FF"/>
      </w:pPr>
      <w:r>
        <w:rPr>
          <w:rFonts w:ascii="MS ゴシック" w:hAnsi="MS ゴシック" w:eastAsia="MS ゴシック"/>
          <w:b/>
          <w:color w:val="1E3A5F"/>
          <w:sz w:val="23"/>
        </w:rPr>
        <w:t xml:space="preserve">　発症経過</w:t>
      </w:r>
    </w:p>
    <w:p>
      <w:pPr>
        <w:spacing w:before="0" w:after="60" w:line="324" w:lineRule="auto"/>
      </w:pPr>
      <w:r>
        <w:rPr>
          <w:rFonts w:ascii="MS ゴシック" w:hAnsi="MS ゴシック" w:eastAsia="MS ゴシック"/>
          <w:b w:val="0"/>
          <w:sz w:val="21"/>
        </w:rPr>
        <w:t>X年Y月頃より徐々に「盗聴されている」「隣人に監視されている」などの被害関係妄想が出現し、睡眠障害・食欲低下も認めた。外来受診を勧めたが本人は拒否。</w:t>
      </w:r>
    </w:p>
    <w:p>
      <w:pPr>
        <w:spacing w:before="100" w:after="40" w:line="324" w:lineRule="auto"/>
        <w:shd w:val="clear" w:color="auto" w:fill="EFF6FF"/>
      </w:pPr>
      <w:r>
        <w:rPr>
          <w:rFonts w:ascii="MS ゴシック" w:hAnsi="MS ゴシック" w:eastAsia="MS ゴシック"/>
          <w:b/>
          <w:color w:val="1E3A5F"/>
          <w:sz w:val="23"/>
        </w:rPr>
        <w:t xml:space="preserve">　今回の入院に至った直接の経緯</w:t>
      </w:r>
    </w:p>
    <w:p>
      <w:pPr>
        <w:spacing w:before="0" w:after="60" w:line="324" w:lineRule="auto"/>
      </w:pPr>
      <w:r>
        <w:rPr>
          <w:rFonts w:ascii="MS ゴシック" w:hAnsi="MS ゴシック" w:eastAsia="MS ゴシック"/>
          <w:b w:val="0"/>
          <w:sz w:val="21"/>
        </w:rPr>
        <w:t>X月Y日 深夜に自宅で大声を上げ窓から物を投げるなどの行動があり、近隣住民からの通報で警察が臨場。自傷行為（前腕切傷）も確認され、警察官通報により当院に搬送された。</w:t>
      </w:r>
    </w:p>
    <w:p>
      <w:pPr>
        <w:spacing w:before="100" w:after="40" w:line="324" w:lineRule="auto"/>
        <w:shd w:val="clear" w:color="auto" w:fill="EFF6FF"/>
      </w:pPr>
      <w:r>
        <w:rPr>
          <w:rFonts w:ascii="MS ゴシック" w:hAnsi="MS ゴシック" w:eastAsia="MS ゴシック"/>
          <w:b/>
          <w:color w:val="1E3A5F"/>
          <w:sz w:val="23"/>
        </w:rPr>
        <w:t xml:space="preserve">　来院時の状況</w:t>
      </w:r>
    </w:p>
    <w:p>
      <w:pPr>
        <w:spacing w:before="0" w:after="60" w:line="324" w:lineRule="auto"/>
      </w:pPr>
      <w:r>
        <w:rPr>
          <w:rFonts w:ascii="MS ゴシック" w:hAnsi="MS ゴシック" w:eastAsia="MS ゴシック"/>
          <w:b w:val="0"/>
          <w:sz w:val="21"/>
        </w:rPr>
        <w:t>救急車で来院。興奮状態で「監視員を追い払った。おれは何も悪いことをしていない」と発言。問いかけには断片的に応答するのみ。</w:t>
      </w:r>
    </w:p>
    <w:p>
      <w:pPr>
        <w:spacing w:before="160" w:after="60" w:line="324" w:lineRule="auto"/>
        <w:pBdr>
          <w:bottom w:val="single" w:sz="8" w:space="4" w:color="1E3A5F"/>
        </w:pBdr>
      </w:pPr>
      <w:r>
        <w:rPr>
          <w:rFonts w:ascii="MS ゴシック" w:hAnsi="MS ゴシック" w:eastAsia="MS ゴシック"/>
          <w:b/>
          <w:color w:val="1E3A5F"/>
          <w:sz w:val="26"/>
        </w:rPr>
        <w:t>4. 精神症状・身体所見</w:t>
      </w:r>
    </w:p>
    <w:tbl>
      <w:tblPr>
        <w:tblStyle w:val="TableGrid"/>
        <w:tblW w:type="auto" w:w="0"/>
        <w:tblLook w:firstColumn="1" w:firstRow="1" w:lastColumn="0" w:lastRow="0" w:noHBand="0" w:noVBand="1" w:val="04A0"/>
      </w:tblPr>
      <w:tblGrid>
        <w:gridCol w:w="4703"/>
        <w:gridCol w:w="4703"/>
      </w:tblGrid>
      <w:tr>
        <w:tc>
          <w:tcPr>
            <w:tcW w:type="dxa" w:w="4703"/>
            <w:shd w:val="clear" w:color="auto" w:fill="1E3A5F"/>
          </w:tcPr>
          <w:p>
            <w:r>
              <w:rPr>
                <w:rFonts w:ascii="MS ゴシック" w:hAnsi="MS ゴシック" w:eastAsia="MS ゴシック"/>
                <w:b/>
                <w:color w:val="FFFFFF"/>
                <w:sz w:val="21"/>
              </w:rPr>
              <w:t>領域</w:t>
            </w:r>
          </w:p>
        </w:tc>
        <w:tc>
          <w:tcPr>
            <w:tcW w:type="dxa" w:w="4703"/>
            <w:shd w:val="clear" w:color="auto" w:fill="1E3A5F"/>
          </w:tcPr>
          <w:p>
            <w:r>
              <w:rPr>
                <w:rFonts w:ascii="MS ゴシック" w:hAnsi="MS ゴシック" w:eastAsia="MS ゴシック"/>
                <w:b/>
                <w:color w:val="FFFFFF"/>
                <w:sz w:val="21"/>
              </w:rPr>
              <w:t>所見</w:t>
            </w:r>
          </w:p>
        </w:tc>
      </w:tr>
      <w:tr>
        <w:tc>
          <w:tcPr>
            <w:tcW w:type="dxa" w:w="4703"/>
          </w:tcPr>
          <w:p>
            <w:r>
              <w:rPr>
                <w:rFonts w:ascii="MS ゴシック" w:hAnsi="MS ゴシック" w:eastAsia="MS ゴシック"/>
                <w:b w:val="0"/>
                <w:sz w:val="21"/>
              </w:rPr>
              <w:t>意識・見当識</w:t>
            </w:r>
          </w:p>
        </w:tc>
        <w:tc>
          <w:tcPr>
            <w:tcW w:type="dxa" w:w="4703"/>
          </w:tcPr>
          <w:p>
            <w:r>
              <w:rPr>
                <w:rFonts w:ascii="MS ゴシック" w:hAnsi="MS ゴシック" w:eastAsia="MS ゴシック"/>
                <w:b w:val="0"/>
                <w:sz w:val="21"/>
              </w:rPr>
              <w:t>清明。時・場所・人の見当識保たれる。ただし入院の理由について病識なし。</w:t>
            </w:r>
          </w:p>
        </w:tc>
      </w:tr>
      <w:tr>
        <w:tc>
          <w:tcPr>
            <w:tcW w:type="dxa" w:w="4703"/>
            <w:shd w:val="clear" w:color="auto" w:fill="F0F4F8"/>
          </w:tcPr>
          <w:p>
            <w:r>
              <w:rPr>
                <w:rFonts w:ascii="MS ゴシック" w:hAnsi="MS ゴシック" w:eastAsia="MS ゴシック"/>
                <w:b w:val="0"/>
                <w:sz w:val="21"/>
              </w:rPr>
              <w:t>感情・気分</w:t>
            </w:r>
          </w:p>
        </w:tc>
        <w:tc>
          <w:tcPr>
            <w:tcW w:type="dxa" w:w="4703"/>
            <w:shd w:val="clear" w:color="auto" w:fill="F0F4F8"/>
          </w:tcPr>
          <w:p>
            <w:r>
              <w:rPr>
                <w:rFonts w:ascii="MS ゴシック" w:hAnsi="MS ゴシック" w:eastAsia="MS ゴシック"/>
                <w:b w:val="0"/>
                <w:sz w:val="21"/>
              </w:rPr>
              <w:t>開放的・誇大的。易刺激性高く、些細なことで激高する。恐怖・不安も混在。</w:t>
            </w:r>
          </w:p>
        </w:tc>
      </w:tr>
      <w:tr>
        <w:tc>
          <w:tcPr>
            <w:tcW w:type="dxa" w:w="4703"/>
          </w:tcPr>
          <w:p>
            <w:r>
              <w:rPr>
                <w:rFonts w:ascii="MS ゴシック" w:hAnsi="MS ゴシック" w:eastAsia="MS ゴシック"/>
                <w:b w:val="0"/>
                <w:sz w:val="21"/>
              </w:rPr>
              <w:t>思考（内容・過程）</w:t>
            </w:r>
          </w:p>
        </w:tc>
        <w:tc>
          <w:tcPr>
            <w:tcW w:type="dxa" w:w="4703"/>
          </w:tcPr>
          <w:p>
            <w:r>
              <w:rPr>
                <w:rFonts w:ascii="MS ゴシック" w:hAnsi="MS ゴシック" w:eastAsia="MS ゴシック"/>
                <w:b w:val="0"/>
                <w:sz w:val="21"/>
              </w:rPr>
              <w:t>被害妄想（監視・追跡）、関係念慮が著明。思考の流れは乱れており脱線が多い。</w:t>
            </w:r>
          </w:p>
        </w:tc>
      </w:tr>
      <w:tr>
        <w:tc>
          <w:tcPr>
            <w:tcW w:type="dxa" w:w="4703"/>
            <w:shd w:val="clear" w:color="auto" w:fill="F0F4F8"/>
          </w:tcPr>
          <w:p>
            <w:r>
              <w:rPr>
                <w:rFonts w:ascii="MS ゴシック" w:hAnsi="MS ゴシック" w:eastAsia="MS ゴシック"/>
                <w:b w:val="0"/>
                <w:sz w:val="21"/>
              </w:rPr>
              <w:t>知覚（幻覚等）</w:t>
            </w:r>
          </w:p>
        </w:tc>
        <w:tc>
          <w:tcPr>
            <w:tcW w:type="dxa" w:w="4703"/>
            <w:shd w:val="clear" w:color="auto" w:fill="F0F4F8"/>
          </w:tcPr>
          <w:p>
            <w:r>
              <w:rPr>
                <w:rFonts w:ascii="MS ゴシック" w:hAnsi="MS ゴシック" w:eastAsia="MS ゴシック"/>
                <w:b w:val="0"/>
                <w:sz w:val="21"/>
              </w:rPr>
              <w:t>「頭の中に声が聞こえる（命令する声）」と訴える。幻視は否定。</w:t>
            </w:r>
          </w:p>
        </w:tc>
      </w:tr>
      <w:tr>
        <w:tc>
          <w:tcPr>
            <w:tcW w:type="dxa" w:w="4703"/>
          </w:tcPr>
          <w:p>
            <w:r>
              <w:rPr>
                <w:rFonts w:ascii="MS ゴシック" w:hAnsi="MS ゴシック" w:eastAsia="MS ゴシック"/>
                <w:b w:val="0"/>
                <w:sz w:val="21"/>
              </w:rPr>
              <w:t>意志・行動</w:t>
            </w:r>
          </w:p>
        </w:tc>
        <w:tc>
          <w:tcPr>
            <w:tcW w:type="dxa" w:w="4703"/>
          </w:tcPr>
          <w:p>
            <w:r>
              <w:rPr>
                <w:rFonts w:ascii="MS ゴシック" w:hAnsi="MS ゴシック" w:eastAsia="MS ゴシック"/>
                <w:b w:val="0"/>
                <w:sz w:val="21"/>
              </w:rPr>
              <w:t>衝動性高く、攻撃的行動のリスクあり。セルフケア低下（食事摂取不良・不衛生）。</w:t>
            </w:r>
          </w:p>
        </w:tc>
      </w:tr>
      <w:tr>
        <w:tc>
          <w:tcPr>
            <w:tcW w:type="dxa" w:w="4703"/>
            <w:shd w:val="clear" w:color="auto" w:fill="F0F4F8"/>
          </w:tcPr>
          <w:p>
            <w:r>
              <w:rPr>
                <w:rFonts w:ascii="MS ゴシック" w:hAnsi="MS ゴシック" w:eastAsia="MS ゴシック"/>
                <w:b w:val="0"/>
                <w:sz w:val="21"/>
              </w:rPr>
              <w:t>病識</w:t>
            </w:r>
          </w:p>
        </w:tc>
        <w:tc>
          <w:tcPr>
            <w:tcW w:type="dxa" w:w="4703"/>
            <w:shd w:val="clear" w:color="auto" w:fill="F0F4F8"/>
          </w:tcPr>
          <w:p>
            <w:r>
              <w:rPr>
                <w:rFonts w:ascii="MS ゴシック" w:hAnsi="MS ゴシック" w:eastAsia="MS ゴシック"/>
                <w:b w:val="0"/>
                <w:sz w:val="21"/>
              </w:rPr>
              <w:t>病識は全く欠如。「自分は病気ではない」「入院は不当だ」と強く主張する。</w:t>
            </w:r>
          </w:p>
        </w:tc>
      </w:tr>
      <w:tr>
        <w:tc>
          <w:tcPr>
            <w:tcW w:type="dxa" w:w="4703"/>
          </w:tcPr>
          <w:p>
            <w:r>
              <w:rPr>
                <w:rFonts w:ascii="MS ゴシック" w:hAnsi="MS ゴシック" w:eastAsia="MS ゴシック"/>
                <w:b w:val="0"/>
                <w:sz w:val="21"/>
              </w:rPr>
              <w:t>身体所見・バイタル</w:t>
            </w:r>
          </w:p>
        </w:tc>
        <w:tc>
          <w:tcPr>
            <w:tcW w:type="dxa" w:w="4703"/>
          </w:tcPr>
          <w:p>
            <w:r>
              <w:rPr>
                <w:rFonts w:ascii="MS ゴシック" w:hAnsi="MS ゴシック" w:eastAsia="MS ゴシック"/>
                <w:b w:val="0"/>
                <w:sz w:val="21"/>
              </w:rPr>
              <w:t>BP 128/76, HR 96, RR 16, BT 36.8℃。前腕に切傷（処置済）。神経学的異常所見なし。</w:t>
            </w:r>
          </w:p>
        </w:tc>
      </w:tr>
    </w:tbl>
    <w:p/>
    <w:p>
      <w:pPr>
        <w:spacing w:before="0" w:after="40" w:line="324" w:lineRule="auto"/>
      </w:pPr>
      <w:r>
        <w:rPr>
          <w:rFonts w:ascii="MS ゴシック" w:hAnsi="MS ゴシック" w:eastAsia="MS ゴシック"/>
          <w:b/>
          <w:color w:val="DC2626"/>
          <w:sz w:val="21"/>
        </w:rPr>
        <w:t>【自傷他害リスク評価】</w:t>
      </w:r>
      <w:r>
        <w:rPr>
          <w:rFonts w:ascii="MS ゴシック" w:hAnsi="MS ゴシック" w:eastAsia="MS ゴシック"/>
          <w:b w:val="0"/>
          <w:sz w:val="21"/>
        </w:rPr>
        <w:br/>
        <w:t>「死にたい」という発言あり。過去の自傷歴（リストカット）あり。他者への攻撃性も高く、本日も「監視員を攻撃する」との言動あり。切迫したリスクありと判断した。</w:t>
      </w:r>
    </w:p>
    <w:p>
      <w:pPr>
        <w:spacing w:before="160" w:after="60" w:line="324" w:lineRule="auto"/>
        <w:pBdr>
          <w:bottom w:val="single" w:sz="8" w:space="4" w:color="1E3A5F"/>
        </w:pBdr>
      </w:pPr>
      <w:r>
        <w:rPr>
          <w:rFonts w:ascii="MS ゴシック" w:hAnsi="MS ゴシック" w:eastAsia="MS ゴシック"/>
          <w:b/>
          <w:color w:val="1E3A5F"/>
          <w:sz w:val="26"/>
        </w:rPr>
        <w:t>5. 診断</w:t>
      </w:r>
    </w:p>
    <w:p>
      <w:pPr>
        <w:spacing w:before="0" w:after="40" w:line="324" w:lineRule="auto"/>
      </w:pPr>
      <w:r>
        <w:rPr>
          <w:rFonts w:ascii="MS ゴシック" w:hAnsi="MS ゴシック" w:eastAsia="MS ゴシック"/>
          <w:b/>
          <w:color w:val="DC2626"/>
          <w:sz w:val="21"/>
        </w:rPr>
        <w:t>【主診断】</w:t>
      </w:r>
      <w:r>
        <w:rPr>
          <w:rFonts w:ascii="MS ゴシック" w:hAnsi="MS ゴシック" w:eastAsia="MS ゴシック"/>
          <w:b w:val="0"/>
          <w:sz w:val="21"/>
        </w:rPr>
        <w:br/>
        <w:t>F20.0 妄想型統合失調症</w:t>
      </w:r>
    </w:p>
    <w:p>
      <w:pPr>
        <w:spacing w:before="0" w:after="40" w:line="324" w:lineRule="auto"/>
      </w:pPr>
      <w:r>
        <w:rPr>
          <w:rFonts w:ascii="MS ゴシック" w:hAnsi="MS ゴシック" w:eastAsia="MS ゴシック"/>
          <w:b/>
          <w:color w:val="1E3A5F"/>
          <w:sz w:val="21"/>
        </w:rPr>
        <w:t>【診断根拠（診断基準との対応）】</w:t>
      </w:r>
      <w:r>
        <w:rPr>
          <w:rFonts w:ascii="MS ゴシック" w:hAnsi="MS ゴシック" w:eastAsia="MS ゴシック"/>
          <w:b w:val="0"/>
          <w:sz w:val="21"/>
        </w:rPr>
        <w:br/>
        <w:t>本症例では2か月以上にわたる幻聴（命令する声）・被害妄想・解体した思考（ICD-10 F20の特徴的症状A群）が認められ、症状は1か月以上持続（基準B）しており、気分障害によるものではない（基準D）。以上よりICD-10 F20.0（妄想型統合失調症）と診断した。</w:t>
      </w:r>
    </w:p>
    <w:p>
      <w:pPr>
        <w:spacing w:before="0" w:after="40" w:line="324" w:lineRule="auto"/>
      </w:pPr>
      <w:r>
        <w:rPr>
          <w:rFonts w:ascii="MS ゴシック" w:hAnsi="MS ゴシック" w:eastAsia="MS ゴシック"/>
          <w:b/>
          <w:color w:val="1E3A5F"/>
          <w:sz w:val="21"/>
        </w:rPr>
        <w:t>【鑑別診断・除外根拠】</w:t>
      </w:r>
      <w:r>
        <w:rPr>
          <w:rFonts w:ascii="MS ゴシック" w:hAnsi="MS ゴシック" w:eastAsia="MS ゴシック"/>
          <w:b w:val="0"/>
          <w:sz w:val="21"/>
        </w:rPr>
        <w:br/>
        <w:t>【躁病エピソード（F30）の除外】：気分高揚・活動性亢進は認めるが誇大妄想は乏しく、主症状は幻聴・被害妄想であり統合失調症が第一診断と判断。【器質性疾患の除外】：神経学的所見なし、頭部MRI異常なし。</w:t>
      </w:r>
    </w:p>
    <w:p>
      <w:pPr>
        <w:spacing w:before="160" w:after="60" w:line="324" w:lineRule="auto"/>
        <w:pBdr>
          <w:bottom w:val="single" w:sz="8" w:space="4" w:color="1E3A5F"/>
        </w:pBdr>
      </w:pPr>
      <w:r>
        <w:rPr>
          <w:rFonts w:ascii="MS ゴシック" w:hAnsi="MS ゴシック" w:eastAsia="MS ゴシック"/>
          <w:b/>
          <w:color w:val="1E3A5F"/>
          <w:sz w:val="26"/>
        </w:rPr>
        <w:t>6. 入院形態の判定根拠</w:t>
      </w:r>
    </w:p>
    <w:p>
      <w:pPr>
        <w:spacing w:before="0" w:after="40" w:line="324" w:lineRule="auto"/>
      </w:pPr>
      <w:r>
        <w:rPr>
          <w:rFonts w:ascii="MS ゴシック" w:hAnsi="MS ゴシック" w:eastAsia="MS ゴシック"/>
          <w:b/>
          <w:color w:val="DC2626"/>
          <w:sz w:val="21"/>
        </w:rPr>
        <w:t>【自傷他害のおそれの判断根拠（第29条）】</w:t>
      </w:r>
      <w:r>
        <w:rPr>
          <w:rFonts w:ascii="MS ゴシック" w:hAnsi="MS ゴシック" w:eastAsia="MS ゴシック"/>
          <w:b w:val="0"/>
          <w:sz w:val="21"/>
        </w:rPr>
        <w:br/>
        <w:t>本症例では自傷行為（前腕切傷）が実際に確認されており、「まだ死ぬ気ではないが監視員を攻撃する必要がある」との発言から他害リスクが切迫していると判断した。命令する幻聴の内容が「敵を排除せよ」であり衝動制御困難な状態であることから、精神保健福祉法第29条の「著しく他人に害を及ぼすおそれ」に該当すると判定した。</w:t>
      </w:r>
    </w:p>
    <w:p>
      <w:pPr>
        <w:spacing w:before="0" w:after="40" w:line="324" w:lineRule="auto"/>
      </w:pPr>
      <w:r>
        <w:rPr>
          <w:rFonts w:ascii="MS ゴシック" w:hAnsi="MS ゴシック" w:eastAsia="MS ゴシック"/>
          <w:b/>
          <w:color w:val="1E3A5F"/>
          <w:sz w:val="21"/>
        </w:rPr>
        <w:t>【措置診察の実施状況】</w:t>
      </w:r>
      <w:r>
        <w:rPr>
          <w:rFonts w:ascii="MS ゴシック" w:hAnsi="MS ゴシック" w:eastAsia="MS ゴシック"/>
          <w:b w:val="0"/>
          <w:sz w:val="21"/>
        </w:rPr>
        <w:br/>
        <w:t>都道府県より派遣された精神保健福祉士（公務員）の立会いのもと、当院で措置診察を実施。もう1名の指定医（○○医師）とともに診察し、2名一致して措置入院相当と判定した。措置入院診察書（第1号様式）を作成、都道府県知事へ提出した。</w:t>
      </w:r>
    </w:p>
    <w:p>
      <w:pPr>
        <w:spacing w:before="160" w:after="60" w:line="324" w:lineRule="auto"/>
        <w:pBdr>
          <w:bottom w:val="single" w:sz="8" w:space="4" w:color="1E3A5F"/>
        </w:pBdr>
      </w:pPr>
      <w:r>
        <w:rPr>
          <w:rFonts w:ascii="MS ゴシック" w:hAnsi="MS ゴシック" w:eastAsia="MS ゴシック"/>
          <w:b/>
          <w:color w:val="1E3A5F"/>
          <w:sz w:val="26"/>
        </w:rPr>
        <w:t>7. 治療計画・入院後の経過</w:t>
      </w:r>
    </w:p>
    <w:p>
      <w:pPr>
        <w:spacing w:before="0" w:after="40" w:line="324" w:lineRule="auto"/>
      </w:pPr>
      <w:r>
        <w:rPr>
          <w:rFonts w:ascii="MS ゴシック" w:hAnsi="MS ゴシック" w:eastAsia="MS ゴシック"/>
          <w:b/>
          <w:color w:val="1E3A5F"/>
          <w:sz w:val="21"/>
        </w:rPr>
        <w:t>【薬物療法】</w:t>
      </w:r>
      <w:r>
        <w:rPr>
          <w:rFonts w:ascii="MS ゴシック" w:hAnsi="MS ゴシック" w:eastAsia="MS ゴシック"/>
          <w:b w:val="0"/>
          <w:sz w:val="21"/>
        </w:rPr>
        <w:br/>
        <w:t>入院初日よりオランザピン10mg/日（経口）を開始。第3病日より20mg/日に増量。睡眠確保のためベンゾジアゼピン系薬（ニトラゼパム5mg 就寝前）を短期間併用した。</w:t>
      </w:r>
    </w:p>
    <w:p>
      <w:pPr>
        <w:spacing w:before="0" w:after="40" w:line="324" w:lineRule="auto"/>
      </w:pPr>
      <w:r>
        <w:rPr>
          <w:rFonts w:ascii="MS ゴシック" w:hAnsi="MS ゴシック" w:eastAsia="MS ゴシック"/>
          <w:b/>
          <w:color w:val="1E3A5F"/>
          <w:sz w:val="21"/>
        </w:rPr>
        <w:t>【非薬物療法・心理社会的介入】</w:t>
      </w:r>
      <w:r>
        <w:rPr>
          <w:rFonts w:ascii="MS ゴシック" w:hAnsi="MS ゴシック" w:eastAsia="MS ゴシック"/>
          <w:b w:val="0"/>
          <w:sz w:val="21"/>
        </w:rPr>
        <w:br/>
        <w:t>症状安定後より作業療法（週3回）を開始。家族（母親）への心理教育（疾患の説明・再発サイン・服薬継続の重要性）を実施した。退院後のデイケア・訪問看護導入について精神保健福祉士と連携した。</w:t>
      </w:r>
    </w:p>
    <w:p>
      <w:pPr>
        <w:spacing w:before="0" w:after="40" w:line="324" w:lineRule="auto"/>
      </w:pPr>
      <w:r>
        <w:rPr>
          <w:rFonts w:ascii="MS ゴシック" w:hAnsi="MS ゴシック" w:eastAsia="MS ゴシック"/>
          <w:b/>
          <w:color w:val="1E3A5F"/>
          <w:sz w:val="21"/>
        </w:rPr>
        <w:t>【入院後の経過・症状変化】</w:t>
      </w:r>
      <w:r>
        <w:rPr>
          <w:rFonts w:ascii="MS ゴシック" w:hAnsi="MS ゴシック" w:eastAsia="MS ゴシック"/>
          <w:b w:val="0"/>
          <w:sz w:val="21"/>
        </w:rPr>
        <w:br/>
        <w:t>第5病日頃より幻聴の頻度が減少し、被害妄想も部分的に修正されてきた。第10病日には他患者との交流も可能となり、ADL自立して経過した。</w:t>
      </w:r>
    </w:p>
    <w:p>
      <w:pPr>
        <w:spacing w:before="0" w:after="40" w:line="324" w:lineRule="auto"/>
      </w:pPr>
      <w:r>
        <w:rPr>
          <w:rFonts w:ascii="MS ゴシック" w:hAnsi="MS ゴシック" w:eastAsia="MS ゴシック"/>
          <w:b/>
          <w:color w:val="1E3A5F"/>
          <w:sz w:val="21"/>
        </w:rPr>
        <w:t>【退院への計画・地域支援】</w:t>
      </w:r>
      <w:r>
        <w:rPr>
          <w:rFonts w:ascii="MS ゴシック" w:hAnsi="MS ゴシック" w:eastAsia="MS ゴシック"/>
          <w:b w:val="0"/>
          <w:sz w:val="21"/>
        </w:rPr>
        <w:br/>
        <w:t>症状安定・服薬自己管理能力確認後に退院予定。退院後は当院精神科外来への月2回通院・訪問看護週1回・デイケア週3回の支援体制を整えた。</w:t>
      </w:r>
    </w:p>
    <w:p>
      <w:pPr>
        <w:spacing w:before="0" w:after="40" w:line="324" w:lineRule="auto"/>
      </w:pPr>
      <w:r>
        <w:rPr>
          <w:rFonts w:ascii="MS ゴシック" w:hAnsi="MS ゴシック" w:eastAsia="MS ゴシック"/>
          <w:b/>
          <w:color w:val="1E3A5F"/>
          <w:sz w:val="21"/>
        </w:rPr>
        <w:t>【考察・まとめ】</w:t>
      </w:r>
      <w:r>
        <w:rPr>
          <w:rFonts w:ascii="MS ゴシック" w:hAnsi="MS ゴシック" w:eastAsia="MS ゴシック"/>
          <w:b w:val="0"/>
          <w:sz w:val="21"/>
        </w:rPr>
        <w:br/>
        <w:t>本症例では、精神科救急場面における迅速な入院形態判定と行動制限の適正使用が求められた。措置入院の法的要件を具体的事実に基づいて判定することの重要性、および行動制限の最小化に向けた継続的評価の必要性を改めて認識した。</w:t>
      </w:r>
    </w:p>
    <w:p>
      <w:pPr>
        <w:spacing w:before="200" w:after="0"/>
      </w:pPr>
      <w:r>
        <w:rPr>
          <w:rFonts w:ascii="MS ゴシック" w:hAnsi="MS ゴシック" w:eastAsia="MS ゴシック"/>
          <w:b w:val="0"/>
          <w:color w:val="9CA3AF"/>
          <w:sz w:val="18"/>
        </w:rPr>
        <w:t>※ 本レポートは作成支援ツール（shitei-report-wizard.html）により生成された草案です。申請前に内容を確認・加筆修正し、指導医・申請窓口の確認を行ってください。</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