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阿里云实验2：VPC/SLB/EIP实验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学会使用阿里云帮助文档。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理解VPC及其应用场景。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理解SLB及其应用场景。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学会VPC、虚拟交换机的相关操作。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学会SLB的创建、绑定后台服务器等操作。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理解EIP及其操作。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highlight w:val="red"/>
          <w:lang w:val="en-US" w:eastAsia="zh-CN"/>
        </w:rPr>
        <w:t>注意事项：请使用chrome浏览器进行相关操作。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相关文档及链接：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帮助文档：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"https://help.aliyun.com/?spm=5176.11182178.console-base-top.dsupport-0.6ff94882ydSiwt"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VPC产品简介：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"https://help.aliyun.com/document_detail/34217.html?spm=5176.11065259.1996646101.searchclickresult.6089422dEvC6oz&amp;aly_as=K4WORtKe"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https://help.aliyun.com/document_detail/34217.html?spm=5176.11065259.1996646101.searchclickresult.6089422dEvC6oz&amp;aly_as=K4WORtKe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SLB产品简介：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"https://help.aliyun.com/document_detail/27539.html?spm=a2c4g.11174283.6.544.6d311192qlRCkm"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https://help.aliyun.com/document_detail/27539.html?spm=a2c4g.11174283.6.544.6d311192qlRCkm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EIP产品简介：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"https://help.aliyun.com/document_detail/32321.html?spm=a2c4g.11174283.6.541.35296f76SJZPV7"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https://help.aliyun.com/document_detail/32321.html?spm=a2c4g.11174283.6.541.35296f76SJZPV7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rPr>
          <w:rFonts w:hint="eastAsia"/>
          <w:i/>
          <w:iCs/>
          <w:color w:val="FF0000"/>
          <w:highlight w:val="none"/>
          <w:lang w:val="en-US" w:eastAsia="zh-CN"/>
        </w:rPr>
      </w:pPr>
      <w:r>
        <w:rPr>
          <w:rFonts w:hint="eastAsia"/>
          <w:i/>
          <w:iCs/>
          <w:color w:val="FF0000"/>
          <w:highlight w:val="none"/>
          <w:lang w:val="en-US" w:eastAsia="zh-CN"/>
        </w:rPr>
        <w:t>注意：使用按需（流量）付费方式创建，创建时注意区域选择的一致性，否则有可能无法进行关联操作。创建前注意费用总计。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新建一个VPC，命名为vpc1，规划IP地址为172.16.0.0/12，创建2个vSwitch,分别命名为vSwitch1和vSwitch2，每个vSwitch分别规划IP地址为172.16.1.0/24和172.16.2.0/24。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创建2台</w:t>
      </w:r>
      <w:r>
        <w:rPr>
          <w:rFonts w:hint="eastAsia" w:ascii="宋体" w:hAnsi="宋体" w:eastAsia="宋体" w:cs="宋体"/>
          <w:sz w:val="21"/>
          <w:szCs w:val="21"/>
          <w:highlight w:val="red"/>
          <w:lang w:val="en-US" w:eastAsia="zh-CN"/>
        </w:rPr>
        <w:t>不带公网IP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的ECS实例，系统选择ubuntu16.04，命名为instance1和instance2，网络选择分别连接到vpc1的vSwitch1或者vSwitch2，设置为密码认证。（创建时实例可用区要和vSwitch一致）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申请一个弹性公网IP，先与instance1进行绑定，绑定后通过secureCRT进行远程登陆instance1。解绑弹性公网IP，并于instance2进行绑定，绑定后通过secureCRT进行远程登陆。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创建SLB，名称：my-slb,实例规格:简约型，实例类型：公网。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添加后端服务器：instance1和instance2，权重默认100，不修改。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监听配置：后端协议：TCP，监听端口为22，后端服务器组选择默认服务器组，端口改为22。使用secureCRT工具进行远程连接SLB的公网IP，登陆后，查看IP地址（命令：ifconfig），多登陆几次，查看在不同次登陆是否登陆到不同的实例，确认是否实现了负载均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释放SLB、虚拟机资源、弹性公网IP。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作业提交要求：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提交要求：相应结果进行截图，整合在一个word文档，提交到FTP。相应截图示例如下：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1.VPC操作创建2台vSwitch的截图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58496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2.弹性公网IP及其绑定的截图，状态应该为已分配，绑定的实例不为空。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1450975"/>
            <wp:effectExtent l="0" t="0" r="508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3.负载均衡及其配置截图，红框部分应有值，且类型对应。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407795"/>
            <wp:effectExtent l="0" t="0" r="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D1B1877"/>
    <w:rsid w:val="0F101979"/>
    <w:rsid w:val="0F5B73B3"/>
    <w:rsid w:val="11BB0288"/>
    <w:rsid w:val="12305E82"/>
    <w:rsid w:val="15631BB3"/>
    <w:rsid w:val="167D4408"/>
    <w:rsid w:val="1AE249D2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2019-09-26T02:40:00Z</dcterms:created>
  <dc:creator>qwyang</dc:creator>
  <cp:lastModifiedBy>zflh</cp:lastModifiedBy>
  <dcterms:modified xsi:type="dcterms:W3CDTF">2019-09-26T15:48:10Z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