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阿里云主账号AccessKey拥有所有API的访问权限，风险很高。强烈建议您创建并使用RAM账号进行API访问或日常运维，请登录 https://ram.console.aliyun.com 创建RAM账号。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&lt;yourAccessKeyId&gt;'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&lt;yourAccessKeySecret&gt;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&lt;yourBucketName&gt;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&lt;yourObjectName&gt;上传文件到OSS时需要指定包含文件后缀在内的完整路径，例如abc/efg/123.jpg。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&lt;yourLocalFile&gt;由本地文件路径加文件名包括后缀组成，例如/users/local/myfile.txt。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&lt;yourObjectName&gt;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eastAsia="monospace" w:cs="monospace"/>
          <w:color w:val="FF0000"/>
          <w:sz w:val="16"/>
          <w:szCs w:val="16"/>
          <w:shd w:val="clear" w:color="auto" w:fill="F7F7F7"/>
        </w:rPr>
        <w:t>&lt;yourLocalFile&gt;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57800" cy="137160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59705" cy="948055"/>
            <wp:effectExtent l="0" t="0" r="17145" b="444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AC61CA5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1587</Characters>
  <Lines>13</Lines>
  <Paragraphs>3</Paragraphs>
  <TotalTime>73</TotalTime>
  <ScaleCrop>false</ScaleCrop>
  <LinksUpToDate>false</LinksUpToDate>
  <CharactersWithSpaces>1862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总有刁民想害朕</cp:lastModifiedBy>
  <dcterms:modified xsi:type="dcterms:W3CDTF">2019-11-07T10:29:09Z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