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</w:instrText>
      </w:r>
      <w:r>
        <w:instrText xml:space="preserve">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工作模式</w:t>
      </w:r>
      <w:r>
        <w:rPr>
          <w:rFonts w:hint="eastAsia"/>
        </w:rPr>
        <w:t>和</w:t>
      </w:r>
      <w:r>
        <w:rPr>
          <w:rFonts w:hint="eastAsia"/>
        </w:rPr>
        <w:t>发布订阅</w:t>
      </w:r>
      <w:r>
        <w:rPr>
          <w:rFonts w:hint="eastAsia"/>
        </w:rPr>
        <w:t>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  <w:bookmarkStart w:id="1" w:name="_GoBack"/>
      <w:bookmarkEnd w:id="1"/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</w:t>
      </w:r>
      <w:r>
        <w:t xml:space="preserve"> web</w:t>
      </w:r>
      <w:r>
        <w:t>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>安装</w:t>
      </w:r>
      <w:r>
        <w:t xml:space="preserve">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441454">
      <w:r>
        <w:rPr>
          <w:noProof/>
        </w:rPr>
        <w:drawing>
          <wp:inline distT="0" distB="0" distL="114300" distR="114300">
            <wp:extent cx="5266690" cy="3673475"/>
            <wp:effectExtent l="0" t="0" r="635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441454">
      <w:r>
        <w:rPr>
          <w:noProof/>
        </w:rPr>
        <w:drawing>
          <wp:inline distT="0" distB="0" distL="114300" distR="114300">
            <wp:extent cx="5263515" cy="56959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441454">
      <w:r>
        <w:rPr>
          <w:noProof/>
        </w:rPr>
        <w:lastRenderedPageBreak/>
        <w:drawing>
          <wp:inline distT="0" distB="0" distL="114300" distR="114300">
            <wp:extent cx="5265420" cy="371475"/>
            <wp:effectExtent l="0" t="0" r="762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</w:t>
      </w:r>
      <w:r>
        <w:rPr>
          <w:rFonts w:ascii="宋体" w:hAnsi="宋体" w:hint="eastAsia"/>
        </w:rPr>
        <w:t>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</w:t>
      </w:r>
      <w:r>
        <w:rPr>
          <w:rFonts w:hint="eastAsia"/>
        </w:rPr>
        <w:t>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2014-10-29T12:08:00Z</dcterms:created>
  <dcterms:modified xsi:type="dcterms:W3CDTF">2019-11-28T07:46:00Z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