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="0" w:left="0" w:right="0"/>
      </w:pPr>
      <w:r>
        <w:t>R1 展示台交接与现场操作手册</w:t>
      </w:r>
    </w:p>
    <w:p>
      <w:pPr>
        <w:pStyle w:val="Subtitle"/>
        <w:ind w:firstLine="0" w:left="0" w:right="0"/>
      </w:pPr>
      <w:r>
        <w:t>同学交付版  2026年10月27日  v3</w:t>
      </w:r>
    </w:p>
    <w:p>
      <w:pPr>
        <w:ind w:firstLine="0" w:left="0" w:right="0"/>
      </w:pPr>
      <w:r>
        <w:t>完整解压交付包后，启动本机服务即可离线展示。本手册帮助负责展台的同学完成开场、讲解、无人轮播和故障恢复。默认进入展会主屏；另外两个画面分别是模型推理回放和四机调度模拟。</w:t>
      </w:r>
    </w:p>
    <w:p>
      <w:pPr>
        <w:pStyle w:val="Heading2"/>
        <w:ind w:firstLine="0" w:left="0" w:right="0"/>
      </w:pPr>
      <w:r>
        <w:t>开展前准备</w:t>
      </w:r>
    </w:p>
    <w:p>
      <w:pPr>
        <w:ind w:firstLine="0" w:left="0" w:right="0"/>
      </w:pPr>
      <w:r>
        <w:t>准备已安装 Python 3.9 或更新版本、Chrome 或 Edge 的电脑，一块 1920×1080 屏幕和键鼠。浏览器缩放设为 100%。软件需在开展前装好；交付包不附带 Python 或浏览器，运行无需 pip、网络、API 或密钥。</w:t>
      </w:r>
    </w:p>
    <w:p>
      <w:pPr>
        <w:pStyle w:val="Heading2"/>
        <w:ind w:firstLine="0" w:left="0" w:right="0"/>
      </w:pPr>
      <w:r>
        <w:t>三步启动</w:t>
      </w:r>
    </w:p>
    <w:p>
      <w:pPr>
        <w:ind w:firstLine="0" w:left="0" w:right="0"/>
      </w:pPr>
      <w:r>
        <w:rPr>
          <w:b/>
        </w:rPr>
        <w:t xml:space="preserve">1  完整解压  </w:t>
      </w:r>
      <w:r>
        <w:t>把 ZIP 解压到桌面等可写目录。不要在 ZIP 预览中启动，也不要挪走 exhibit 和 replay_panel 文件夹。</w:t>
      </w:r>
    </w:p>
    <w:p>
      <w:pPr>
        <w:ind w:firstLine="0" w:left="0" w:right="0"/>
      </w:pPr>
      <w:r>
        <w:rPr>
          <w:b/>
        </w:rPr>
        <w:t xml:space="preserve">2  运行启动器  </w:t>
      </w:r>
      <w:r>
        <w:t>按下表操作。终端需保持开启，启动器会优先打开 Chrome 或 Edge 的独立全屏窗口。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8164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63445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系统</w:t>
            </w:r>
          </w:p>
        </w:tc>
        <w:tc>
          <w:tcPr>
            <w:tcW w:type="dxa" w:w="81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63445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在解压后的包根操作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7"/>
          </w:tcPr>
          <w:p>
            <w:pPr>
              <w:spacing w:after="40" w:line="264" w:lineRule="auto"/>
            </w:pPr>
            <w:r>
              <w:rPr>
                <w:sz w:val="19"/>
              </w:rPr>
              <w:t>Windows</w:t>
            </w:r>
          </w:p>
        </w:tc>
        <w:tc>
          <w:tcPr>
            <w:tcW w:type="dxa" w:w="81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7"/>
          </w:tcPr>
          <w:p>
            <w:pPr>
              <w:spacing w:after="40" w:line="264" w:lineRule="auto"/>
            </w:pPr>
            <w:r>
              <w:rPr>
                <w:sz w:val="19"/>
              </w:rPr>
              <w:t>双击 run.bat。若提示缺少 Python，检查安装时是否加入 PATH。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19"/>
              </w:rPr>
              <w:t>Linux</w:t>
            </w:r>
          </w:p>
        </w:tc>
        <w:tc>
          <w:tcPr>
            <w:tcW w:type="dxa" w:w="81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19"/>
              </w:rPr>
              <w:t>在终端运行 sh run.sh；也可设置 run.sh 可执行后双击，选择在终端运行。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7"/>
          </w:tcPr>
          <w:p>
            <w:pPr>
              <w:spacing w:after="40" w:line="264" w:lineRule="auto"/>
            </w:pPr>
            <w:r>
              <w:rPr>
                <w:sz w:val="19"/>
              </w:rPr>
              <w:t>macOS</w:t>
            </w:r>
          </w:p>
        </w:tc>
        <w:tc>
          <w:tcPr>
            <w:tcW w:type="dxa" w:w="81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7"/>
          </w:tcPr>
          <w:p>
            <w:pPr>
              <w:spacing w:after="40" w:line="264" w:lineRule="auto"/>
            </w:pPr>
            <w:r>
              <w:rPr>
                <w:sz w:val="19"/>
              </w:rPr>
              <w:t>双击 run.command；若权限未保留，在包根终端运行 sh run.sh。</w:t>
            </w:r>
          </w:p>
        </w:tc>
      </w:tr>
    </w:tbl>
    <w:p>
      <w:pPr>
        <w:spacing w:after="0"/>
        <w:ind w:firstLine="0" w:left="0" w:right="0"/>
      </w:pPr>
    </w:p>
    <w:p>
      <w:pPr>
        <w:ind w:firstLine="0" w:left="0" w:right="0"/>
      </w:pPr>
      <w:r>
        <w:rPr>
          <w:b/>
        </w:rPr>
        <w:t xml:space="preserve">3  确认画面  </w:t>
      </w:r>
      <w:r>
        <w:t>看到三路相机和“真机记录 · 回放”。浏览器未自动打开时，访问 http://127.0.0.1:8771/。普通浏览器窗口在 Windows/Linux 可按 F11 全屏。</w:t>
      </w:r>
    </w:p>
    <w:p>
      <w:pPr>
        <w:pStyle w:val="Heading2"/>
        <w:ind w:firstLine="0" w:left="0" w:right="0"/>
      </w:pPr>
      <w:r>
        <w:t>先记住这些入口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427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63445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按键或文件</w:t>
            </w:r>
          </w:p>
        </w:tc>
        <w:tc>
          <w:tcPr>
            <w:tcW w:type="dxa" w:w="742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63445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7"/>
          </w:tcPr>
          <w:p>
            <w:pPr>
              <w:spacing w:after="40" w:line="264" w:lineRule="auto"/>
            </w:pPr>
            <w:r>
              <w:rPr>
                <w:sz w:val="19"/>
              </w:rPr>
              <w:t>3 / 2 / 1</w:t>
            </w:r>
          </w:p>
        </w:tc>
        <w:tc>
          <w:tcPr>
            <w:tcW w:type="dxa" w:w="742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7"/>
          </w:tcPr>
          <w:p>
            <w:pPr>
              <w:spacing w:after="40" w:line="264" w:lineRule="auto"/>
            </w:pPr>
            <w:r>
              <w:rPr>
                <w:sz w:val="19"/>
              </w:rPr>
              <w:t>展会主屏 / 模型推理回放 / 车队调度；也可点顶部标签。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19"/>
              </w:rPr>
              <w:t>空格 / 左右箭头</w:t>
            </w:r>
          </w:p>
        </w:tc>
        <w:tc>
          <w:tcPr>
            <w:tcW w:type="dxa" w:w="742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19"/>
              </w:rPr>
              <w:t>主屏和回放暂停或播放 / 前后跳 2 秒。先点击空白处，避开输入与下拉控件。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7"/>
          </w:tcPr>
          <w:p>
            <w:pPr>
              <w:spacing w:after="40" w:line="264" w:lineRule="auto"/>
            </w:pPr>
            <w:r>
              <w:rPr>
                <w:sz w:val="19"/>
              </w:rPr>
              <w:t>START_HERE.html</w:t>
            </w:r>
          </w:p>
        </w:tc>
        <w:tc>
          <w:tcPr>
            <w:tcW w:type="dxa" w:w="742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7"/>
          </w:tcPr>
          <w:p>
            <w:pPr>
              <w:spacing w:after="40" w:line="264" w:lineRule="auto"/>
            </w:pPr>
            <w:r>
              <w:rPr>
                <w:sz w:val="19"/>
              </w:rPr>
              <w:t>可离线双击打开的图文手册；QUICKSTART.txt 是纯文字备用说明。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19"/>
              </w:rPr>
              <w:t>check.bat / sh check.sh</w:t>
            </w:r>
          </w:p>
        </w:tc>
        <w:tc>
          <w:tcPr>
            <w:tcW w:type="dxa" w:w="742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19"/>
              </w:rPr>
              <w:t>只检查 Python 与包内文件完整性，不启动服务或更改模拟进度。</w:t>
            </w:r>
          </w:p>
        </w:tc>
      </w:tr>
    </w:tbl>
    <w:p>
      <w:pPr>
        <w:spacing w:after="0"/>
        <w:ind w:firstLine="0" w:left="0" w:right="0"/>
      </w:pPr>
    </w:p>
    <w:p>
      <w:pPr>
        <w:ind w:firstLine="0" w:left="0" w:right="0"/>
      </w:pPr>
      <w:r>
        <w:t>Windows / Linux 现场电脑仍需完成第 6 页的验收清单。本次自动化验证环境为 macOS Chrome。</w:t>
      </w:r>
    </w:p>
    <w:p>
      <w:pPr>
        <w:ind w:firstLine="0" w:left="0" w:right="0"/>
      </w:pPr>
      <w:r>
        <w:br w:type="page"/>
      </w:r>
    </w:p>
    <w:p>
      <w:pPr>
        <w:pStyle w:val="Heading1"/>
        <w:ind w:firstLine="0" w:left="0" w:right="0"/>
      </w:pPr>
      <w:r>
        <w:t>展会主屏展示真实动作记录</w:t>
      </w:r>
    </w:p>
    <w:p>
      <w:pPr>
        <w:ind w:firstLine="0" w:left="0" w:right="0"/>
      </w:pPr>
      <w:r>
        <w:t>按 3 进入。来源保持“真实运行记录”，选择运行记录 01。画面来自 R1 Pro 的取布放筐日志；每路原始相机输入为 224×224 采样帧。</w:t>
      </w:r>
    </w:p>
    <w:p>
      <w:pPr>
        <w:keepNext/>
        <w:spacing w:after="60"/>
        <w:ind w:firstLine="0" w:left="0" w:right="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wcase_action_1920x108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 w:left="0" w:right="0"/>
      </w:pPr>
      <w:r>
        <w:t>图 1  展会主屏在闭合条件附近暂停  三路相机与动作证据来自同一条记录</w:t>
      </w:r>
    </w:p>
    <w:p>
      <w:pPr>
        <w:pStyle w:val="Heading2"/>
        <w:ind w:firstLine="0" w:left="0" w:right="0"/>
      </w:pPr>
      <w:r>
        <w:t>操作顺序</w:t>
      </w:r>
    </w:p>
    <w:p>
      <w:pPr>
        <w:ind w:firstLine="0" w:left="0" w:right="0"/>
      </w:pPr>
      <w:r>
        <w:rPr>
          <w:b/>
        </w:rPr>
        <w:t xml:space="preserve">1  从头看  </w:t>
      </w:r>
      <w:r>
        <w:t>点击底部“从头播放”。左侧看三路相机，右侧看动作模型、32 步预测、已下发步数和反馈。</w:t>
      </w:r>
    </w:p>
    <w:p>
      <w:pPr>
        <w:ind w:firstLine="0" w:left="0" w:right="0"/>
      </w:pPr>
      <w:r>
        <w:rPr>
          <w:b/>
        </w:rPr>
        <w:t xml:space="preserve">2  定位关键时刻  </w:t>
      </w:r>
      <w:r>
        <w:t>点击底部“01 观察输入”“02 动作下发”“03 闭合条件”或“04 张开指令”。这些入口跳到已有日志时间点。末尾张开后缺少画面和反馈时会明确提示，不能据此确认放下完成。</w:t>
      </w:r>
    </w:p>
    <w:p>
      <w:pPr>
        <w:ind w:firstLine="0" w:left="0" w:right="0"/>
      </w:pPr>
      <w:r>
        <w:rPr>
          <w:b/>
        </w:rPr>
        <w:t xml:space="preserve">3  进入细节  </w:t>
      </w:r>
      <w:r>
        <w:t>点击右侧“查看这一刻的模型细节”。详细回放会打开同一条记录、定位同一时刻并暂停，适合指着曲线讲解。</w:t>
      </w:r>
    </w:p>
    <w:p>
      <w:pPr>
        <w:pStyle w:val="Heading2"/>
        <w:ind w:firstLine="0" w:left="0" w:right="0"/>
      </w:pPr>
      <w:r>
        <w:t>可以这样介绍</w:t>
      </w:r>
    </w:p>
    <w:p>
      <w:pPr>
        <w:ind w:firstLine="0" w:left="0" w:right="0"/>
      </w:pPr>
      <w:r>
        <w:t>“这是 R1 Pro 一次取布放筐的真实记录。我们把相机输入、动作模型输出和执行反馈放在同一个时间轴上，便于追溯动作过程。”</w:t>
      </w:r>
    </w:p>
    <w:p>
      <w:pPr>
        <w:pStyle w:val="Heading2"/>
        <w:ind w:firstLine="0" w:left="0" w:right="0"/>
      </w:pPr>
      <w:r>
        <w:t>准确解释画面的含义</w:t>
      </w:r>
    </w:p>
    <w:p>
      <w:pPr>
        <w:ind w:firstLine="0" w:left="0" w:right="0"/>
      </w:pPr>
      <w:r>
        <w:t>“闭合条件”说明夹爪反馈达到了检测阈值，“张开指令”说明日志记录了张开目标；两者都不能单独证明物体抓稳或入筐。当前任务结果保持“待核验”。两条记录没有 VLM 文字推理，也不是医院现场直播。</w:t>
      </w:r>
    </w:p>
    <w:p>
      <w:pPr>
        <w:ind w:firstLine="0" w:left="0" w:right="0"/>
      </w:pPr>
      <w:r>
        <w:t>主屏的“实时观察”入口尚未连接机器人，显示未连接是预期状态。展览时切回“真实运行记录”即可继续。离开主屏会暂停，返回后继续原来的进度。</w:t>
      </w:r>
    </w:p>
    <w:p>
      <w:pPr>
        <w:ind w:firstLine="0" w:left="0" w:right="0"/>
      </w:pPr>
      <w:r>
        <w:br w:type="page"/>
      </w:r>
    </w:p>
    <w:p>
      <w:pPr>
        <w:pStyle w:val="Heading1"/>
        <w:ind w:firstLine="0" w:left="0" w:right="0"/>
      </w:pPr>
      <w:r>
        <w:t>详细回放解释预测与执行差异</w:t>
      </w:r>
    </w:p>
    <w:p>
      <w:pPr>
        <w:ind w:firstLine="0" w:left="0" w:right="0"/>
      </w:pPr>
      <w:r>
        <w:t>按 2 进入。直接切入此画面会从头播放；从主屏的细节按钮进入则保留对应时刻并暂停。运行记录下拉框可切换两条本地记录。</w:t>
      </w:r>
    </w:p>
    <w:p>
      <w:pPr>
        <w:keepNext/>
        <w:spacing w:after="60"/>
        <w:ind w:firstLine="0" w:left="0" w:right="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lay_recording_2_1920x10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 w:left="0" w:right="0"/>
      </w:pPr>
      <w:r>
        <w:t>图 2  第二条记录在 70 秒暂停  预测虚线与第 21 至 30 段的 RTT 异常可同时观察</w:t>
      </w:r>
    </w:p>
    <w:p>
      <w:pPr>
        <w:pStyle w:val="Heading2"/>
        <w:ind w:firstLine="0" w:left="0" w:right="0"/>
      </w:pPr>
      <w:r>
        <w:t>看懂三个指标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540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63445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画面标记</w:t>
            </w:r>
          </w:p>
        </w:tc>
        <w:tc>
          <w:tcPr>
            <w:tcW w:type="dxa" w:w="75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63445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讲解方法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7"/>
          </w:tcPr>
          <w:p>
            <w:pPr>
              <w:spacing w:after="40" w:line="264" w:lineRule="auto"/>
            </w:pPr>
            <w:r>
              <w:rPr>
                <w:sz w:val="19"/>
              </w:rPr>
              <w:t>橙色预测虚线</w:t>
            </w:r>
          </w:p>
        </w:tc>
        <w:tc>
          <w:tcPr>
            <w:tcW w:type="dxa" w:w="75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7"/>
          </w:tcPr>
          <w:p>
            <w:pPr>
              <w:spacing w:after="40" w:line="264" w:lineRule="auto"/>
            </w:pPr>
            <w:r>
              <w:rPr>
                <w:sz w:val="19"/>
              </w:rPr>
              <w:t>当前段完整 32 步预测。橙色实线是已下发目标，蓝色线是发送前采样反馈；不是 32 步全部已执行。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19"/>
              </w:rPr>
              <w:t>目标/反馈偏差</w:t>
            </w:r>
          </w:p>
        </w:tc>
        <w:tc>
          <w:tcPr>
            <w:tcW w:type="dxa" w:w="75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19"/>
              </w:rPr>
              <w:t>当前段已下发记录中，双臂 14 个关节的绝对差均值，单位 rad。夹爪、底盘、躯干不计入。无有效记录时显示横线。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7"/>
          </w:tcPr>
          <w:p>
            <w:pPr>
              <w:spacing w:after="40" w:line="264" w:lineRule="auto"/>
            </w:pPr>
            <w:r>
              <w:rPr>
                <w:sz w:val="19"/>
              </w:rPr>
              <w:t>时间轴红框与倒三角</w:t>
            </w:r>
          </w:p>
        </w:tc>
        <w:tc>
          <w:tcPr>
            <w:tcW w:type="dxa" w:w="75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7"/>
          </w:tcPr>
          <w:p>
            <w:pPr>
              <w:spacing w:after="40" w:line="264" w:lineRule="auto"/>
            </w:pPr>
            <w:r>
              <w:rPr>
                <w:sz w:val="19"/>
              </w:rPr>
              <w:t>RTT 严格高于该条运行记录中位数的 1.5 倍。悬停可看往返时延和阈值；红短线另表示安全裁剪。</w:t>
            </w:r>
          </w:p>
        </w:tc>
      </w:tr>
    </w:tbl>
    <w:p>
      <w:pPr>
        <w:spacing w:after="0"/>
        <w:ind w:firstLine="0" w:left="0" w:right="0"/>
      </w:pPr>
    </w:p>
    <w:p>
      <w:pPr>
        <w:ind w:firstLine="0" w:left="0" w:right="0"/>
      </w:pPr>
      <w:r>
        <w:t>反馈在本步指令发送前采样，未做时序对齐，因此这里展示的是目标/反馈偏差，不能把这个数字当成跟踪精度或任务成功率。第二条记录 70 秒处约为 0.017 rad；第一条记录 40 秒处约为 0.006 rad。</w:t>
      </w:r>
    </w:p>
    <w:p>
      <w:pPr>
        <w:pStyle w:val="Heading2"/>
        <w:ind w:firstLine="0" w:left="0" w:right="0"/>
      </w:pPr>
      <w:r>
        <w:t>现场可操作的细节</w:t>
      </w:r>
    </w:p>
    <w:p>
      <w:pPr>
        <w:ind w:firstLine="0" w:left="0" w:right="0"/>
      </w:pPr>
      <w:r>
        <w:t>点击动作图上方的右臂、左臂、躯干、夹爪或底盘标签切换曲线。悬停动作图查看数值；点击或拖动底部时间轴定位；空格暂停，左右箭头跳 2 秒。详细回放默认循环播放。</w:t>
      </w:r>
    </w:p>
    <w:p>
      <w:pPr>
        <w:ind w:firstLine="0" w:left="0" w:right="0"/>
      </w:pPr>
      <w:r>
        <w:t>给技术同学：23 维顺序为左臂 0–6、右臂 7–13、左右爪 14/15、底盘 16–18、躯干 19–22。新增回放按 replay_panel/README.md 操作；展览播放不需要原始 run 目录。</w:t>
      </w:r>
    </w:p>
    <w:p>
      <w:pPr>
        <w:ind w:firstLine="0" w:left="0" w:right="0"/>
      </w:pPr>
      <w:r>
        <w:br w:type="page"/>
      </w:r>
    </w:p>
    <w:p>
      <w:pPr>
        <w:pStyle w:val="Heading1"/>
        <w:ind w:firstLine="0" w:left="0" w:right="0"/>
      </w:pPr>
      <w:r>
        <w:t>车队调度演示接力与恢复</w:t>
      </w:r>
    </w:p>
    <w:p>
      <w:pPr>
        <w:ind w:firstLine="0" w:left="0" w:right="0"/>
      </w:pPr>
      <w:r>
        <w:t>按 1 进入。当前版本模拟 2 台 R1 Pro 和 2 台 R1 Lite，运输同一辆 C17。默认使用规则调度，不需要模型服务或机器人连接。</w:t>
      </w:r>
    </w:p>
    <w:p>
      <w:pPr>
        <w:keepNext/>
        <w:spacing w:after="60"/>
        <w:ind w:firstLine="0" w:left="0" w:right="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eet_1920x108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 w:left="0" w:right="0"/>
      </w:pPr>
      <w:r>
        <w:t>图 3  Lite 01 持车前往已预约的交接 B  机器人卡片与执行记录同步更新</w:t>
      </w:r>
    </w:p>
    <w:p>
      <w:pPr>
        <w:pStyle w:val="Heading2"/>
        <w:ind w:firstLine="0" w:left="0" w:right="0"/>
      </w:pPr>
      <w:r>
        <w:t>标准演示</w:t>
      </w:r>
    </w:p>
    <w:p>
      <w:pPr>
        <w:ind w:firstLine="0" w:left="0" w:right="0"/>
      </w:pPr>
      <w:r>
        <w:rPr>
          <w:b/>
        </w:rPr>
        <w:t xml:space="preserve">1  准备  </w:t>
      </w:r>
      <w:r>
        <w:t>关闭底栏“自动演示”，选择“规则调度”和“标准交接”，点击“重置”，再点“开始运行”。重置只清除本轮模拟进度。</w:t>
      </w:r>
    </w:p>
    <w:p>
      <w:pPr>
        <w:ind w:firstLine="0" w:left="0" w:right="0"/>
      </w:pPr>
      <w:r>
        <w:rPr>
          <w:b/>
        </w:rPr>
        <w:t xml:space="preserve">2  观察接力  </w:t>
      </w:r>
      <w:r>
        <w:t>满车按 Pro 01 → Lite 01 → Lite 02 → Pro 02 传递。每次先放车、原机退出，再由下一台接车；工位确认卸空后反向补回源区。</w:t>
      </w:r>
    </w:p>
    <w:p>
      <w:pPr>
        <w:ind w:firstLine="0" w:left="0" w:right="0"/>
      </w:pPr>
      <w:r>
        <w:rPr>
          <w:b/>
        </w:rPr>
        <w:t xml:space="preserve">3  解释状态  </w:t>
      </w:r>
      <w:r>
        <w:t>蓝色虚线框表示预约，绿框表示车辆就位，红框表示外部占用。持车时车辆跟着机器人走；右侧新执行事件会短暂高亮。</w:t>
      </w:r>
    </w:p>
    <w:p>
      <w:pPr>
        <w:pStyle w:val="Heading2"/>
        <w:ind w:firstLine="0" w:left="0" w:right="0"/>
      </w:pPr>
      <w:r>
        <w:t>演示一次掉线与恢复</w:t>
      </w:r>
    </w:p>
    <w:p>
      <w:pPr>
        <w:ind w:firstLine="0" w:left="0" w:right="0"/>
      </w:pPr>
      <w:r>
        <w:t>在机器人正在执行时点击“机器人掉线”，观察离线或待核对状态。点击“恢复并核对”，必要时再点“开始运行”。自动演示在离线或待核对时会等待处理，不会反复尝试启动。</w:t>
      </w:r>
    </w:p>
    <w:p>
      <w:pPr>
        <w:ind w:firstLine="0" w:left="0" w:right="0"/>
      </w:pPr>
      <w:r>
        <w:t>若只想回到开场状态，选“标准交接”后重置即可。占用主交接位、首次抓取失败、迟到回执等按钮也只作用于本地模拟。</w:t>
      </w:r>
    </w:p>
    <w:p>
      <w:pPr>
        <w:pStyle w:val="Heading2"/>
        <w:ind w:firstLine="0" w:left="0" w:right="0"/>
      </w:pPr>
      <w:r>
        <w:t>讲解时点出边界</w:t>
      </w:r>
    </w:p>
    <w:p>
      <w:pPr>
        <w:ind w:firstLine="0" w:left="0" w:right="0"/>
      </w:pPr>
      <w:r>
        <w:t>“这页用模拟展示车的归属、资源预约和故障恢复。满车送出、空车返回的一轮包含 22 项成功动作与 6 次交接。它并不表示现场正有四台实机执行这些任务。”</w:t>
      </w:r>
    </w:p>
    <w:p>
      <w:pPr>
        <w:ind w:firstLine="0" w:left="0" w:right="0"/>
      </w:pPr>
      <w:r>
        <w:br w:type="page"/>
      </w:r>
    </w:p>
    <w:p>
      <w:pPr>
        <w:pStyle w:val="Heading1"/>
        <w:ind w:firstLine="0" w:left="0" w:right="0"/>
      </w:pPr>
      <w:r>
        <w:t>三分钟讲解与无人展示</w:t>
      </w:r>
    </w:p>
    <w:p>
      <w:pPr>
        <w:ind w:firstLine="0" w:left="0" w:right="0"/>
      </w:pPr>
      <w:r>
        <w:t>讲解前关闭顶部“自动轮播”和车队底栏“自动演示”。主屏选运行记录 01，车队保持规则调度。无需等待完整往返结束。</w:t>
      </w:r>
    </w:p>
    <w:p>
      <w:pPr>
        <w:pStyle w:val="Heading2"/>
        <w:ind w:firstLine="0" w:left="0" w:right="0"/>
      </w:pPr>
      <w:r>
        <w:t>可以照着讲的三分钟</w:t>
      </w:r>
    </w:p>
    <w:p>
      <w:pPr>
        <w:ind w:firstLine="0" w:left="0" w:right="0"/>
      </w:pPr>
      <w:r>
        <w:rPr>
          <w:b/>
        </w:rPr>
        <w:t xml:space="preserve">0:00–0:35  主屏按 3  </w:t>
      </w:r>
      <w:r>
        <w:t>指三路相机及右侧动作证据：“这里是真实取布放筐记录，相机输入、预测和反馈来自同一次运行。”</w:t>
      </w:r>
    </w:p>
    <w:p>
      <w:pPr>
        <w:ind w:firstLine="0" w:left="0" w:right="0"/>
      </w:pPr>
      <w:r>
        <w:rPr>
          <w:b/>
        </w:rPr>
        <w:t xml:space="preserve">0:35–1:10  进入动作细节  </w:t>
      </w:r>
      <w:r>
        <w:t>点击“03 闭合条件”，再点“查看这一刻的模型细节”：“虚线是本段 32 步预测，其他曲线给出目标与反馈。日志记录了夹爪条件，结果仍需核验。”</w:t>
      </w:r>
    </w:p>
    <w:p>
      <w:pPr>
        <w:ind w:firstLine="0" w:left="0" w:right="0"/>
      </w:pPr>
      <w:r>
        <w:rPr>
          <w:b/>
        </w:rPr>
        <w:t xml:space="preserve">1:10–1:55  车队按 1  </w:t>
      </w:r>
      <w:r>
        <w:t>标准交接 → 重置 → 开始运行，指向 C17 和交接位：“四机依次接力，每次先放车、退出，再由下一台接走，卸空后反向补回。”</w:t>
      </w:r>
    </w:p>
    <w:p>
      <w:pPr>
        <w:ind w:firstLine="0" w:left="0" w:right="0"/>
      </w:pPr>
      <w:r>
        <w:rPr>
          <w:b/>
        </w:rPr>
        <w:t xml:space="preserve">1:55–2:30  演示故障  </w:t>
      </w:r>
      <w:r>
        <w:t>执行中点击“机器人掉线”，再点“恢复并核对”：“系统保留资源、等待核对。这里由模拟器核对状态，真机接入还需要设备回执。”</w:t>
      </w:r>
    </w:p>
    <w:p>
      <w:pPr>
        <w:ind w:firstLine="0" w:left="0" w:right="0"/>
      </w:pPr>
      <w:r>
        <w:rPr>
          <w:b/>
        </w:rPr>
        <w:t xml:space="preserve">2:30–3:00  回到主屏  </w:t>
      </w:r>
      <w:r>
        <w:t>按 3，点击“从头播放”：“这套展示将真实动作记录和接力调度模拟放在一起，便于解释过程，也能指出还需要核验的结果。”</w:t>
      </w:r>
    </w:p>
    <w:p>
      <w:pPr>
        <w:pStyle w:val="Heading2"/>
        <w:ind w:firstLine="0" w:left="0" w:right="0"/>
      </w:pPr>
      <w:r>
        <w:t>无人时设置两项开关</w:t>
      </w:r>
    </w:p>
    <w:p>
      <w:pPr>
        <w:ind w:firstLine="0" w:left="0" w:right="0"/>
      </w:pPr>
      <w:r>
        <w:rPr>
          <w:b/>
        </w:rPr>
        <w:t xml:space="preserve">1  先恢复正常  </w:t>
      </w:r>
      <w:r>
        <w:t>车队选规则调度、标准交接，点击重置，勾选底栏“自动演示”。</w:t>
      </w:r>
    </w:p>
    <w:p>
      <w:pPr>
        <w:ind w:firstLine="0" w:left="0" w:right="0"/>
      </w:pPr>
      <w:r>
        <w:rPr>
          <w:b/>
        </w:rPr>
        <w:t xml:space="preserve">2  再开启轮播  </w:t>
      </w:r>
      <w:r>
        <w:t>勾选顶部“自动轮播”，推荐“每 90 秒切换”。未开启时选项置灰；开启或调整后重新计时。顺序为主屏 → 车队 → 详细回放。进入详细回放会从头播放。</w:t>
      </w:r>
    </w:p>
    <w:p>
      <w:pPr>
        <w:ind w:firstLine="0" w:left="0" w:right="0"/>
      </w:pPr>
      <w:r>
        <w:rPr>
          <w:b/>
        </w:rPr>
        <w:t xml:space="preserve">3  确认一轮  </w:t>
      </w:r>
      <w:r>
        <w:t>确认车队完成后停 8 秒并切到下一个场景。自动场景依次为标准交接、满车位被占、首次抓取失败。</w:t>
      </w:r>
    </w:p>
    <w:p>
      <w:pPr>
        <w:ind w:firstLine="0" w:left="0" w:right="0"/>
      </w:pPr>
      <w:r>
        <w:t>两个开关作用不同：“自动轮播”切换画面，“自动演示”推进车队并更换场景。车队点击暂停或单步会关闭自动演示；单纯切换画面不会暂停车队。掉线或待核对仍需同学处理。</w:t>
      </w:r>
    </w:p>
    <w:p>
      <w:pPr>
        <w:pStyle w:val="Heading2"/>
        <w:ind w:firstLine="0" w:left="0" w:right="0"/>
      </w:pPr>
      <w:r>
        <w:t>收场与重启</w:t>
      </w:r>
    </w:p>
    <w:p>
      <w:pPr>
        <w:ind w:firstLine="0" w:left="0" w:right="0"/>
      </w:pPr>
      <w:r>
        <w:t>Windows / Linux 按 Alt+F4 关闭全屏展示，Mac 用 ⌘W。然后在启动终端按 Ctrl+C 停止本次服务。只关闭浏览器不会停止服务；若提示复用已有服务，需要回最初启动的终端停止。</w:t>
      </w:r>
    </w:p>
    <w:p>
      <w:pPr>
        <w:ind w:firstLine="0" w:left="0" w:right="0"/>
      </w:pPr>
      <w:r>
        <w:t>重启使用同一启动脚本。模拟进度保存在本地数据库；需要从头讲解时，到车队页点击重置。两条真实回放内容不变。</w:t>
      </w:r>
    </w:p>
    <w:p>
      <w:pPr>
        <w:ind w:firstLine="0" w:left="0" w:right="0"/>
      </w:pPr>
      <w:r>
        <w:br w:type="page"/>
      </w:r>
    </w:p>
    <w:p>
      <w:pPr>
        <w:pStyle w:val="Heading1"/>
        <w:ind w:firstLine="0" w:left="0" w:right="0"/>
      </w:pPr>
      <w:r>
        <w:t>现场排障与开展前验收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597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63445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759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63445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按顺序处理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7"/>
          </w:tcPr>
          <w:p>
            <w:pPr>
              <w:spacing w:after="40" w:line="264" w:lineRule="auto"/>
            </w:pPr>
            <w:r>
              <w:rPr>
                <w:sz w:val="19"/>
              </w:rPr>
              <w:t>提示没有 Python</w:t>
            </w:r>
          </w:p>
        </w:tc>
        <w:tc>
          <w:tcPr>
            <w:tcW w:type="dxa" w:w="759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7"/>
          </w:tcPr>
          <w:p>
            <w:pPr>
              <w:spacing w:after="40" w:line="264" w:lineRule="auto"/>
            </w:pPr>
            <w:r>
              <w:rPr>
                <w:sz w:val="19"/>
              </w:rPr>
              <w:t>检查 Python 版本至少 3.9，Windows 检查 PATH。来不及安装时，使用下方独立回放备用路径。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19"/>
              </w:rPr>
              <w:t>端口占用或旧服务</w:t>
            </w:r>
          </w:p>
        </w:tc>
        <w:tc>
          <w:tcPr>
            <w:tcW w:type="dxa" w:w="759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19"/>
              </w:rPr>
              <w:t>在包根运行 run.bat --port 8772 或 sh run.sh --port 8772，然后访问终端显示的新地址。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7"/>
          </w:tcPr>
          <w:p>
            <w:pPr>
              <w:spacing w:after="40" w:line="264" w:lineRule="auto"/>
            </w:pPr>
            <w:r>
              <w:rPr>
                <w:sz w:val="19"/>
              </w:rPr>
              <w:t>白屏或无法连接</w:t>
            </w:r>
          </w:p>
        </w:tc>
        <w:tc>
          <w:tcPr>
            <w:tcW w:type="dxa" w:w="759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7"/>
          </w:tcPr>
          <w:p>
            <w:pPr>
              <w:spacing w:after="40" w:line="264" w:lineRule="auto"/>
            </w:pPr>
            <w:r>
              <w:rPr>
                <w:sz w:val="19"/>
              </w:rPr>
              <w:t>确认完整解压、终端仍在运行，地址为 http://127.0.0.1:端口/。不要双击 static/index.html；必要时停止再启动。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19"/>
              </w:rPr>
              <w:t>待核对或机器人不动</w:t>
            </w:r>
          </w:p>
        </w:tc>
        <w:tc>
          <w:tcPr>
            <w:tcW w:type="dxa" w:w="759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19"/>
              </w:rPr>
              <w:t>先点“恢复并核对”，必要时“开始运行”。从头展示可选标准交接后重置。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7"/>
          </w:tcPr>
          <w:p>
            <w:pPr>
              <w:spacing w:after="40" w:line="264" w:lineRule="auto"/>
            </w:pPr>
            <w:r>
              <w:rPr>
                <w:sz w:val="19"/>
              </w:rPr>
              <w:t>模型未配置或实时未连接</w:t>
            </w:r>
          </w:p>
        </w:tc>
        <w:tc>
          <w:tcPr>
            <w:tcW w:type="dxa" w:w="759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7"/>
          </w:tcPr>
          <w:p>
            <w:pPr>
              <w:spacing w:after="40" w:line="264" w:lineRule="auto"/>
            </w:pPr>
            <w:r>
              <w:rPr>
                <w:sz w:val="19"/>
              </w:rPr>
              <w:t>车队切回“规则调度”；主屏切回“真实运行记录”。交付默认不需要外部服务。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19"/>
              </w:rPr>
              <w:t>快捷键或全屏不生效</w:t>
            </w:r>
          </w:p>
        </w:tc>
        <w:tc>
          <w:tcPr>
            <w:tcW w:type="dxa" w:w="759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19"/>
              </w:rPr>
              <w:t>先点击画面空白处，再按 1/2/3；下拉框不抢按键。使用顶部标签亦可。普通窗口用浏览器全屏菜单。</w:t>
            </w:r>
          </w:p>
        </w:tc>
      </w:tr>
    </w:tbl>
    <w:p>
      <w:pPr>
        <w:spacing w:after="0"/>
        <w:ind w:firstLine="0" w:left="0" w:right="0"/>
      </w:pPr>
    </w:p>
    <w:p>
      <w:pPr>
        <w:pStyle w:val="Heading2"/>
        <w:ind w:firstLine="0" w:left="0" w:right="0"/>
      </w:pPr>
      <w:r>
        <w:t>独立回放备用路径</w:t>
      </w:r>
    </w:p>
    <w:p>
      <w:pPr>
        <w:ind w:firstLine="0" w:left="0" w:right="0"/>
      </w:pPr>
      <w:r>
        <w:t>无需 Python 或本地服务。用 Chrome / Edge 打开包内 exhibit/static/replays/ 中任意 replay_ 开头的 HTML，即可离线循环播放详细回放；此路径不包含展会主屏或车队调度。</w:t>
      </w:r>
    </w:p>
    <w:p>
      <w:pPr>
        <w:pStyle w:val="Heading2"/>
        <w:ind w:firstLine="0" w:left="0" w:right="0"/>
      </w:pPr>
      <w:r>
        <w:t>在目标展台电脑逐项打勾</w:t>
      </w:r>
    </w:p>
    <w:p>
      <w:pPr>
        <w:ind w:firstLine="0" w:left="0" w:right="0"/>
      </w:pPr>
      <w:r>
        <w:t>□  完整解压；check.bat 或 sh check.sh 报告 PASS。</w:t>
      </w:r>
    </w:p>
    <w:p>
      <w:pPr>
        <w:ind w:firstLine="0" w:left="0" w:right="0"/>
      </w:pPr>
      <w:r>
        <w:t>□  断网后从启动器打开；三路相机、曲线和两条记录均可显示。</w:t>
      </w:r>
    </w:p>
    <w:p>
      <w:pPr>
        <w:ind w:firstLine="0" w:left="0" w:right="0"/>
      </w:pPr>
      <w:r>
        <w:t>□  1920×1080、浏览器 100%；无卡片遮挡或底栏裁切。</w:t>
      </w:r>
    </w:p>
    <w:p>
      <w:pPr>
        <w:ind w:firstLine="0" w:left="0" w:right="0"/>
      </w:pPr>
      <w:r>
        <w:t>□  在详细回放内点击后按 1，再按 2 和 3；画面正确切换。</w:t>
      </w:r>
    </w:p>
    <w:p>
      <w:pPr>
        <w:ind w:firstLine="0" w:left="0" w:right="0"/>
      </w:pPr>
      <w:r>
        <w:t>□  执行一次掉线与恢复；自动演示没有连续重试启动。</w:t>
      </w:r>
    </w:p>
    <w:p>
      <w:pPr>
        <w:ind w:firstLine="0" w:left="0" w:right="0"/>
      </w:pPr>
      <w:r>
        <w:t>□  开启轮播；回到详细回放从头播放；试一次退出和重启。</w:t>
      </w:r>
    </w:p>
    <w:p>
      <w:pPr>
        <w:ind w:firstLine="0" w:left="0" w:right="0"/>
      </w:pPr>
      <w:r>
        <w:t>现场记录：系统 __________  浏览器及版本 __________</w:t>
        <w:br/>
        <w:t>验证同学 __________  日期 __________  遗留问题 ____________________</w:t>
      </w:r>
    </w:p>
    <w:p>
      <w:pPr>
        <w:pStyle w:val="Heading2"/>
        <w:ind w:firstLine="0" w:left="0" w:right="0"/>
      </w:pPr>
      <w:r>
        <w:t>本次交付验证范围</w:t>
      </w:r>
    </w:p>
    <w:p>
      <w:pPr>
        <w:ind w:firstLine="0" w:left="0" w:right="0"/>
      </w:pPr>
      <w:r>
        <w:t>macOS Chrome 下，69 项 Python 回归通过；22 项车队与回放浏览器检查、26 项主屏检查通过，并检查 1920×1080 截图。Python -S 可生成 43 段、344 步、129 张图的回放。Windows Chrome/Edge 与 Linux 实机启动、键盘及缩放需在目标电脑完成上面的验收。</w:t>
      </w:r>
    </w:p>
    <w:p>
      <w:pPr>
        <w:ind w:firstLine="0" w:left="0" w:right="0"/>
      </w:pPr>
      <w:r>
        <w:t>技术资料：exhibit/README.md、replay_panel/README.md。包内含源码、测试、两条自包含回放和文件校验清单，不含原始 training 数据、运行数据库或密钥。</w:t>
      </w:r>
    </w:p>
    <w:sectPr w:rsidR="00FC693F" w:rsidRPr="0006063C" w:rsidSect="00034616">
      <w:footerReference w:type="default" r:id="rId9"/>
      <w:pgSz w:w="11906" w:h="16838"/>
      <w:pgMar w:top="935" w:right="1020" w:bottom="935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R1 展示台交接手册  |  2026年10月27日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  <w:ind w:firstLine="0" w:left="0" w:right="0"/>
    </w:pPr>
    <w:rPr>
      <w:rFonts w:ascii="Arial" w:hAnsi="Arial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="Arial" w:hAnsi="Arial" w:eastAsia="Heiti SC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="Arial" w:hAnsi="Arial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 w:eastAsia="Heiti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rial" w:hAnsi="Arial" w:eastAsia="Heiti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0" w:after="140"/>
    </w:pPr>
    <w:rPr>
      <w:rFonts w:ascii="Arial" w:hAnsi="Arial" w:eastAsia="Hei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R1 展示台交接与现场操作手册</dc:title>
  <dc:subject>离线展览部署 讲解与故障恢复</dc:subject>
  <dc:creator>R1 展示项目组</dc:creator>
  <cp:keywords>R1 Pro R1 Lite 离线展示 现场操作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