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rFonts w:ascii="Arial" w:hAnsi="Arial"/>
        </w:rPr>
        <w:t xml:space="preserve">Dear Editor,</w:t>
      </w:r>
    </w:p>
    <w:p>
      <w:r>
        <w:rPr>
          <w:rFonts w:ascii="Arial" w:hAnsi="Arial"/>
        </w:rPr>
        <w:t xml:space="preserve">We submit the manuscript "Test-Time Adaptation for Image Demoiréing: An Adapter-Based Framework with Frequency-Aware Self-Supervision" for consideration in Pattern Recognition.</w:t>
      </w:r>
    </w:p>
    <w:p>
      <w:r>
        <w:rPr>
          <w:rFonts w:ascii="Arial" w:hAnsi="Arial"/>
        </w:rPr>
        <w:t xml:space="preserve">Moiré pattern removal is an important yet understudied image restoration problem that directly affects millions of smartphone users who photograph screens daily. The core challenge — severe domain overfitting — is a pattern recognition problem: moiré patterns vary fundamentally across capture setups, and no single training distribution can cover them all.</w:t>
      </w:r>
    </w:p>
    <w:p>
      <w:r>
        <w:rPr>
          <w:rFonts w:ascii="Arial" w:hAnsi="Arial"/>
        </w:rPr>
        <w:t xml:space="preserve">Our method, MoTA, addresses this through frequency-domain pattern analysis: a wavelet-based self-supervision signal (MASS) identifies and attenuates moiré energy concentrated in mid-frequency subbands, while a lightweight Fourier Domain Adapter (FDA) modulates per-channel spectral features to compensate for domain shift. The adapter adds only approximately 1.1% (0.43M) to backbone parameters, yet improves PSNR by +2.57 dB in-domain and reveals fundamental cross-domain failure modes that we analyze quantitatively on a preliminary subset (pending full-set verification).</w:t>
      </w:r>
    </w:p>
    <w:p>
      <w:r>
        <w:rPr>
          <w:rFonts w:ascii="Arial" w:hAnsi="Arial"/>
        </w:rPr>
        <w:t xml:space="preserve">This work fits Pattern Recognition as it tackles a visual pattern degradation problem using frequency-domain feature analysis, adapter-based transfer learning, and systematic diagnostic evaluation — core themes of the journal. All authors approve the submission. All code and pretrained weights are available at https://github.com/qy-66/MOTA. A rigorous code-paper consistency audit was conducted: all 22 algorithm details (architecture, hyperparameters, loss functions, data preprocessing) were verified against the released implementation with zero discrepancies. The work is not under consideration elsewhere. We declare no competing interests.</w:t>
      </w:r>
    </w:p>
    <w:p>
      <w:r>
        <w:rPr>
          <w:rFonts w:ascii="Arial" w:hAnsi="Arial"/>
        </w:rPr>
        <w:t xml:space="preserve">Sincerely,</w:t>
      </w:r>
    </w:p>
    <w:p>
      <w:r>
        <w:rPr>
          <w:rFonts w:ascii="Arial" w:hAnsi="Arial"/>
        </w:rPr>
        <w:t xml:space="preserve">Yu Qiu</w:t>
      </w:r>
    </w:p>
    <w:p>
      <w:r>
        <w:rPr>
          <w:rFonts w:ascii="Arial" w:hAnsi="Arial"/>
        </w:rPr>
        <w:t xml:space="preserve">School of Mathematics, Hunan University, Changsha 410082, China</w:t>
      </w:r>
    </w:p>
    <w:p>
      <w:r>
        <w:rPr>
          <w:rFonts w:ascii="Arial" w:hAnsi="Arial"/>
        </w:rPr>
        <w:t xml:space="preserve">qiuyu123@hnu.edu.cn</w:t>
      </w:r>
    </w:p>
  </w:body>
</w:document>
</file>

<file path=word/_rels/document.xml.rels><?xml version="1.0" encoding="UTF-8" standalone="yes"?><Relationships xmlns="http://schemas.openxmlformats.org/package/2006/relationships"/></Relationships>

</file>