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b/>
          <w:rFonts w:ascii="Arial" w:hAnsi="Arial"/>
        </w:rPr>
        <w:t>Highlights</w:t>
      </w:r>
    </w:p>
    <w:p>
      <w:pPr>
        <w:numPr>
          <w:ilvl w:val="0"/>
          <w:numId w:val="1"/>
        </w:numPr>
      </w:pPr>
      <w:r>
        <w:rPr>
          <w:rFonts w:ascii="Arial" w:hAnsi="Arial"/>
        </w:rPr>
        <w:t xml:space="preserve">A test-time adaptation framework for image demoiréing without paired target-domain data.</w:t>
      </w:r>
    </w:p>
    <w:p>
      <w:pPr>
        <w:numPr>
          <w:ilvl w:val="0"/>
          <w:numId w:val="1"/>
        </w:numPr>
      </w:pPr>
      <w:r>
        <w:rPr>
          <w:rFonts w:ascii="Arial" w:hAnsi="Arial"/>
        </w:rPr>
        <w:t xml:space="preserve">Fourier Domain Adapter (FDA) with &lt;2% backbone parameters enables per-image optimization.</w:t>
      </w:r>
    </w:p>
    <w:p>
      <w:pPr>
        <w:numPr>
          <w:ilvl w:val="0"/>
          <w:numId w:val="1"/>
        </w:numPr>
      </w:pPr>
      <w:r>
        <w:rPr>
          <w:rFonts w:ascii="Arial" w:hAnsi="Arial"/>
        </w:rPr>
        <w:t xml:space="preserve">Moiré-Aware Self-Supervision (MASS) exploits band-limited moiré energy for pseudo-clean targets.</w:t>
      </w:r>
    </w:p>
    <w:p>
      <w:pPr>
        <w:numPr>
          <w:ilvl w:val="0"/>
          <w:numId w:val="1"/>
        </w:numPr>
      </w:pPr>
      <w:r>
        <w:rPr>
          <w:rFonts w:ascii="Arial" w:hAnsi="Arial"/>
        </w:rPr>
        <w:t xml:space="preserve">In-domain +2.57 dB PSNR improvement; honest cross-domain failure analysis with quantitative diagnostics.</w:t>
      </w:r>
    </w:p>
    <w:p>
      <w:pPr>
        <w:numPr>
          <w:ilvl w:val="0"/>
          <w:numId w:val="1"/>
        </w:numPr>
      </w:pPr>
      <w:r>
        <w:rPr>
          <w:rFonts w:ascii="Arial" w:hAnsi="Arial"/>
        </w:rPr>
        <w:t xml:space="preserve">Parallel FDA and spatial gating adapters exhibit representation competition; FDA-alone is recommended.</w:t>
      </w:r>
    </w:p>
  </w:body>
</w:document>
</file>

<file path=word/_rels/document.xml.rels><?xml version="1.0" encoding="UTF-8" standalone="yes"?><Relationships xmlns="http://schemas.openxmlformats.org/package/2006/relationships"/></Relationships>

</file>