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Arial" w:cs="Arial" w:eastAsia="Arial" w:hAnsi="Arial"/>
          <w:b/>
          <w:bCs/>
          <w:color w:val="1F4E78"/>
          <w:sz w:val="38"/>
          <w:szCs w:val="38"/>
        </w:rPr>
        <w:t xml:space="preserve">OLIST MARKETPLACE ANALYTICS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6B78"/>
          <w:sz w:val="30"/>
          <w:szCs w:val="30"/>
        </w:rPr>
        <w:t xml:space="preserve">Growth, Seller Onboarding &amp; Fulfilment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Olist 市场增长、卖家入驻与履约分析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5B6573"/>
          <w:sz w:val="22"/>
          <w:szCs w:val="22"/>
        </w:rPr>
        <w:t xml:space="preserve">Bilingual Project Master Plan | 双语项目总计划</w:t>
      </w:r>
    </w:p>
    <w:p>
      <w:pPr>
        <w:pBdr>
          <w:bottom w:val="single" w:color="0F6B78" w:sz="8" w:space="1"/>
        </w:pBdr>
        <w:spacing w:after="180" w:before="220"/>
      </w:pPr>
    </w:p>
    <w:p>
      <w:pPr>
        <w:spacing w:after="100" w:line="285"/>
        <w:jc w:val="center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Updated: 29 July 2026 | 更新日期：2026年7月29日</w:t>
      </w:r>
    </w:p>
    <w:p>
      <w:pPr>
        <w:spacing w:after="100" w:line="285"/>
        <w:jc w:val="center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Status: New flagship confirmed; GA4 work retained as a mini technical case.</w:t>
      </w:r>
    </w:p>
    <w:p>
      <w:pPr>
        <w:spacing w:after="100" w:line="285"/>
        <w:jc w:val="center"/>
      </w:pPr>
      <w:r>
        <w:rPr>
          <w:rFonts w:ascii="Arial" w:cs="Arial" w:eastAsia="Arial" w:hAnsi="Arial"/>
          <w:color w:val="5B6573"/>
          <w:sz w:val="20"/>
          <w:szCs w:val="20"/>
        </w:rPr>
        <w:t xml:space="preserve">状态：新主项目已确认；现有 GA4 工作保留为迷你技术案例。</w:t>
      </w:r>
    </w:p>
    <w:p>
      <w:r>
        <w:br w:type="page"/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1. 最终决定 / Final Decision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主项目改为 Olist Marketing Funnel + Brazilian E-Commerce 两个官方数据集的联合分析。这个方向比单独做常见的销售 Dashboard 更完整：它把卖家获客、成交、上线销售、配送和评价串成一条业务生命周期。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The flagship project combines Olist’s official Marketing Funnel and Brazilian E-Commerce datasets. It goes beyond a standard sales dashboard by connecting seller acquisition, deal closure, seller activation, order performance, delivery, and reviews.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主项目</w:t>
      </w:r>
      <w:r>
        <w:rPr>
          <w:rFonts w:ascii="Arial" w:cs="Arial" w:eastAsia="Arial" w:hAnsi="Arial"/>
          <w:color w:val="1F2937"/>
        </w:rPr>
        <w:t xml:space="preserve"> / Olist Marketplace Growth, Seller Onboarding &amp; Fulfilment Analytics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迷你技术案例</w:t>
      </w:r>
      <w:r>
        <w:rPr>
          <w:rFonts w:ascii="Arial" w:cs="Arial" w:eastAsia="Arial" w:hAnsi="Arial"/>
          <w:color w:val="1F2937"/>
        </w:rPr>
        <w:t xml:space="preserve"> / Retain the three completed GA4 BigQuery SQL files to demonstrate nested data and UNNEST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Python/ML 证明</w:t>
      </w:r>
      <w:r>
        <w:rPr>
          <w:rFonts w:ascii="Arial" w:cs="Arial" w:eastAsia="Arial" w:hAnsi="Arial"/>
          <w:color w:val="1F2937"/>
        </w:rPr>
        <w:t xml:space="preserve"> / Use the existing H-SMOTE FYP; do not force machine learning into Olist version 1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Excel 准备</w:t>
      </w:r>
      <w:r>
        <w:rPr>
          <w:rFonts w:ascii="Arial" w:cs="Arial" w:eastAsia="Arial" w:hAnsi="Arial"/>
          <w:color w:val="1F2937"/>
        </w:rPr>
        <w:t xml:space="preserve"> / Complete a separate compact Excel interview exercise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真实取舍：Olist 是公开且常见的数据集，所以竞争力不会来自数据集名字，而会来自跨数据集 seller_id 连接、正确的数据粒度、避免 JOIN 重复计算、数据质量验证，以及可执行的商业建议。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Honest trade-off: Olist is public and commonly used. Differentiation must come from the cross-dataset seller_id bridge, correct grains, fan-out prevention, data-quality validation, and actionable recommendations.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2. 数据在哪里拿 / Where to Get the Data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只下载以下两个 Olist 官方 Kaggle 数据集。不要使用别人已经清洗、合并或添加特征的版本。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Download only these two official Olist Kaggle datasets. Do not use third-party cleaned, merged, or feature-engineered copies.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官方下载入口 / Official Download Pages</w:t>
      </w:r>
    </w:p>
    <w:p>
      <w:pPr>
        <w:spacing w:after="110"/>
      </w:pPr>
      <w:hyperlink w:history="1" r:id="rIdf27ixrwafgh5dwbb6vnv-">
        <w:r>
          <w:rPr>
            <w:rFonts w:ascii="Arial" w:cs="Arial" w:eastAsia="Arial" w:hAnsi="Arial"/>
            <w:color w:val="0563C1"/>
            <w:u w:val="single"/>
          </w:rPr>
          <w:t xml:space="preserve">1) Brazilian E-Commerce Public Dataset by Olist</w:t>
        </w:r>
      </w:hyperlink>
    </w:p>
    <w:p>
      <w:pPr>
        <w:spacing w:after="110"/>
      </w:pPr>
      <w:hyperlink w:history="1" r:id="rIdy3vtiiczc9iqvghxeijdu">
        <w:r>
          <w:rPr>
            <w:rFonts w:ascii="Arial" w:cs="Arial" w:eastAsia="Arial" w:hAnsi="Arial"/>
            <w:color w:val="0563C1"/>
            <w:u w:val="single"/>
          </w:rPr>
          <w:t xml:space="preserve">2) Marketing Funnel by Olist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26"/>
        <w:gridCol w:w="2400"/>
      </w:tblGrid>
      <w:tr>
        <w:trPr>
          <w:cantSplit/>
          <w:tblHeader/>
        </w:trPr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数据包 / Package</w:t>
            </w:r>
          </w:p>
        </w:tc>
        <w:tc>
          <w:tcPr>
            <w:tcW w:type="dxa" w:w="41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 / Contents</w:t>
            </w:r>
          </w:p>
        </w:tc>
        <w:tc>
          <w:tcPr>
            <w:tcW w:type="dxa" w:w="24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连接键 / Bridge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Brazilian E-Commerce</w:t>
            </w:r>
          </w:p>
        </w:tc>
        <w:tc>
          <w:tcPr>
            <w:tcW w:type="dxa" w:w="41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约100k订单；订单、商品、付款、客户、卖家、配送和评价</w:t>
            </w:r>
          </w:p>
        </w:tc>
        <w:tc>
          <w:tcPr>
            <w:tcW w:type="dxa" w:w="24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order_id, customer_id, product_id, seller_id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 Funnel</w:t>
            </w:r>
          </w:p>
        </w:tc>
        <w:tc>
          <w:tcPr>
            <w:tcW w:type="dxa" w:w="41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约8k MQL 与842个成交记录；来源、首次联系、成交日期和卖家资料</w:t>
            </w:r>
          </w:p>
        </w:tc>
        <w:tc>
          <w:tcPr>
            <w:tcW w:type="dxa" w:w="24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mql_id; seller_id links to e-commerce</w:t>
            </w:r>
          </w:p>
        </w:tc>
      </w:tr>
    </w:tbl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下载后应有的11个 CSV / Expected 11 CSV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cantSplit/>
          <w:tblHeader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 / Group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文件 / CSV File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一行代表什么 / Grain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olist_orders_dataset.csv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 / one order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olist_order_items_dataset.csv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订单中的一个商品行 / one order item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olist_order_payments_dataset.csv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一笔订单付款记录 / one payment record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olist_order_reviews_dataset.csv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一条订单评价 / one review record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olist_customers_dataset.csv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一张订单对应的客户ID / one order-level customer 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olist_products_dataset.csv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一个商品 / one product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olist_sellers_dataset.csv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一个卖家 / one seller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olist_geolocation_dataset.csv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一个邮编坐标记录 / one postcode coordinate record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product_category_name_translation.csv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一个葡语至英语类别映射 / one category translation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olist_marketing_qualified_leads_dataset.csv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 MQL / one marketing-qualified lead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</w:t>
            </w:r>
          </w:p>
        </w:tc>
        <w:tc>
          <w:tcPr>
            <w:tcW w:type="dxa" w:w="39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olist_closed_deals_dataset.csv</w:t>
            </w:r>
          </w:p>
        </w:tc>
        <w:tc>
          <w:tcPr>
            <w:tcW w:type="dxa" w:w="36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一个成功成交的 MQL / one closed MQL deal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3. 项目到底解决什么 / Business Problem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项目目标不是描述所有数据，而是帮助 marketplace 的增长与运营团队判断：哪些获客渠道带来能够真正成交、上线销售，并持续创造高质量订单的卖家？哪些卖家虽然订单高，却有配送延迟或低评分风险？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The project helps marketplace growth and operations teams identify which acquisition channels produce sellers who close, activate, generate valuable orders, and fulfil them reliably—and which high-volume sellers create delivery or review risks.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核心问题 / Core Questions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各来源带来多少 MQL，成交率是多少？</w:t>
      </w:r>
      <w:r>
        <w:rPr>
          <w:rFonts w:ascii="Arial" w:cs="Arial" w:eastAsia="Arial" w:hAnsi="Arial"/>
          <w:color w:val="1F2937"/>
        </w:rPr>
        <w:t xml:space="preserve"> / How many MQLs and closed deals does each origin produce?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从首次联系到成交需要多少天？</w:t>
      </w:r>
      <w:r>
        <w:rPr>
          <w:rFonts w:ascii="Arial" w:cs="Arial" w:eastAsia="Arial" w:hAnsi="Arial"/>
          <w:color w:val="1F2937"/>
        </w:rPr>
        <w:t xml:space="preserve"> / How long does lead-to-close take?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成交卖家从 won_date 到第一张订单需要多少天？</w:t>
      </w:r>
      <w:r>
        <w:rPr>
          <w:rFonts w:ascii="Arial" w:cs="Arial" w:eastAsia="Arial" w:hAnsi="Arial"/>
          <w:color w:val="1F2937"/>
        </w:rPr>
        <w:t xml:space="preserve"> / How long does seller activation take from won_date to first sale?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哪些来源带来的卖家拥有较高订单量、GMV和客单价？</w:t>
      </w:r>
      <w:r>
        <w:rPr>
          <w:rFonts w:ascii="Arial" w:cs="Arial" w:eastAsia="Arial" w:hAnsi="Arial"/>
          <w:color w:val="1F2937"/>
        </w:rPr>
        <w:t xml:space="preserve"> / Which origins produce sellers with stronger orders, GMV, and AOV?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哪些卖家订单高但延迟率高或评分低？</w:t>
      </w:r>
      <w:r>
        <w:rPr>
          <w:rFonts w:ascii="Arial" w:cs="Arial" w:eastAsia="Arial" w:hAnsi="Arial"/>
          <w:color w:val="1F2937"/>
        </w:rPr>
        <w:t xml:space="preserve"> / Which sellers have high volume but high late-delivery rates or low ratings?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配送延迟是否伴随较低评分？</w:t>
      </w:r>
      <w:r>
        <w:rPr>
          <w:rFonts w:ascii="Arial" w:cs="Arial" w:eastAsia="Arial" w:hAnsi="Arial"/>
          <w:color w:val="1F2937"/>
        </w:rPr>
        <w:t xml:space="preserve"> / Is late delivery associated with lower review scores?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限制：项目报告关联，不声称营销来源或配送延迟一定造成某个结果。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Limitation: the analysis reports associations and does not claim causal effects.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4. 数据流程与技术 / Workflow and Tools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Raw CSV → BigQuery raw tables → SQL profiling → staging views → analytical marts → quality checks → Power BI semantic model → four report pages → README and interview story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原始 CSV → BigQuery 原始表 → SQL 数据检查 → staging 整理层 → 分析数据集市 → 质量检查 → Power BI 语义模型 → 四页报告 → README 与面试表达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 / Tool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在项目中的职责 / Responsibility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BigQuery + GoogleSQL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载入11张关系表；检查、清洗、JOIN、汇总、建模和验证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Power BI + DAX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建立星型模型、动态KPI、筛选、drill-through和四页互动报告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保存SQL、数据字典、决策、README与版本历史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Python/pytest（轻量支持）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可选地自动验证导出表；Python/ML能力主要由H-SMOTE FYP证明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独立的面试实务练习，不承担主项目的数据工程</w:t>
            </w:r>
          </w:p>
        </w:tc>
      </w:tr>
    </w:tbl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必须避免的 JOIN 错误 / Critical Join Rule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orders、order_items、payments 和 reviews 不是全部一对一。必须先分别汇总 order_items 和 payments，再连接订单；否则一个订单有多个商品与多笔付款时，GMV或付款金额会被乘大。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Orders, items, payments, and reviews are not all one-to-one. Aggregate items and payments separately before joining to orders; otherwise multi-item and multi-payment orders can multiply GMV or payment value.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5. 第一版交付成果 / Version 1 Deliverables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固定15个核心 SQL 文件，分成5个阶段</w:t>
      </w:r>
      <w:r>
        <w:rPr>
          <w:rFonts w:ascii="Arial" w:cs="Arial" w:eastAsia="Arial" w:hAnsi="Arial"/>
          <w:color w:val="1F2937"/>
        </w:rPr>
        <w:t xml:space="preserve"> / Exactly 15 core SQL files across five stages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4个可供 Power BI 使用的分析 marts</w:t>
      </w:r>
      <w:r>
        <w:rPr>
          <w:rFonts w:ascii="Arial" w:cs="Arial" w:eastAsia="Arial" w:hAnsi="Arial"/>
          <w:color w:val="1F2937"/>
        </w:rPr>
        <w:t xml:space="preserve"> / Four Power BI-ready analytical marts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2个最终数据质量与对账文件</w:t>
      </w:r>
      <w:r>
        <w:rPr>
          <w:rFonts w:ascii="Arial" w:cs="Arial" w:eastAsia="Arial" w:hAnsi="Arial"/>
          <w:color w:val="1F2937"/>
        </w:rPr>
        <w:t xml:space="preserve"> / Two final data-quality and reconciliation files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1个 Power BI .pbix：4个主报告页面 + 1个 drill-through 详情页面</w:t>
      </w:r>
      <w:r>
        <w:rPr>
          <w:rFonts w:ascii="Arial" w:cs="Arial" w:eastAsia="Arial" w:hAnsi="Arial"/>
          <w:color w:val="1F2937"/>
        </w:rPr>
        <w:t xml:space="preserve"> / One Power BI .pbix with four main report pages plus one drill-through detail page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双语 README、数据字典、架构和限制说明</w:t>
      </w:r>
      <w:r>
        <w:rPr>
          <w:rFonts w:ascii="Arial" w:cs="Arial" w:eastAsia="Arial" w:hAnsi="Arial"/>
          <w:color w:val="1F2937"/>
        </w:rPr>
        <w:t xml:space="preserve"> / Bilingual README, data dictionary, architecture, and limitations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3分钟英文项目介绍与常见面试问答</w:t>
      </w:r>
      <w:r>
        <w:rPr>
          <w:rFonts w:ascii="Arial" w:cs="Arial" w:eastAsia="Arial" w:hAnsi="Arial"/>
          <w:color w:val="1F2937"/>
        </w:rPr>
        <w:t xml:space="preserve"> / A three-minute English walkthrough and common interview Q&amp;A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不纳入第一版 / Excluded from Version 1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评论文字 NLP</w:t>
      </w:r>
      <w:r>
        <w:rPr>
          <w:rFonts w:ascii="Arial" w:cs="Arial" w:eastAsia="Arial" w:hAnsi="Arial"/>
          <w:color w:val="1F2937"/>
        </w:rPr>
        <w:t xml:space="preserve"> / Review-text NLP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机器学习、预测或推荐系统</w:t>
      </w:r>
      <w:r>
        <w:rPr>
          <w:rFonts w:ascii="Arial" w:cs="Arial" w:eastAsia="Arial" w:hAnsi="Arial"/>
          <w:color w:val="1F2937"/>
        </w:rPr>
        <w:t xml:space="preserve"> / Machine learning, forecasting, or recommendation systems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复杂地理地图</w:t>
      </w:r>
      <w:r>
        <w:rPr>
          <w:rFonts w:ascii="Arial" w:cs="Arial" w:eastAsia="Arial" w:hAnsi="Arial"/>
          <w:color w:val="1F2937"/>
        </w:rPr>
        <w:t xml:space="preserve"> / Complex geospatial mapping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RFM、churn 与 Streamlit</w:t>
      </w:r>
      <w:r>
        <w:rPr>
          <w:rFonts w:ascii="Arial" w:cs="Arial" w:eastAsia="Arial" w:hAnsi="Arial"/>
          <w:color w:val="1F2937"/>
        </w:rPr>
        <w:t xml:space="preserve"> / RFM, churn, and Streamlit</w:t>
      </w:r>
    </w:p>
    <w:p>
      <w:r>
        <w:br w:type="page"/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6. SQL完整蓝图：固定15个文件 / Exact 15-File SQL Blueprint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SQL 不是15道互不相关的练习，而是一条可追溯的数据管道。每个文件必须有清楚的输入、输出、grain、业务用途和验证方法。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The fifteen SQL files form one traceable pipeline rather than fifteen unrelated exercises. Every file must state its inputs, output grain, business purpose, and validation method.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500"/>
        <w:gridCol w:w="3426"/>
      </w:tblGrid>
      <w:tr>
        <w:trPr>
          <w:cantSplit/>
          <w:tblHeader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文件 / File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输出粒度 / Output Grain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用途与SQL重点 / Purpose and SQL Evidence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00_source_profiling/01_table_inventory.sql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每张来源表一行 / one row per source table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COUNT、COUNT DISTINCT、MIN/MAX、UNION ALL；记录11表行数、日期范围和候选键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00_source_profiling/02_source_quality_and_keys.sql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每项检查一行 / one row per quality check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CTE、HAVING、NOT EXISTS；检查空值、重复主键、孤儿外键、未知状态和异常日期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01_staging/01_stg_orders.sql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 / one order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清理时间字段；LEFT JOIN customers；CASE、COALESCE、DATE_DIFF；建立 delivered、late、cancelled flags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01_staging/02_stg_order_items.sql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一个订单商品 / one order item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JOIN products、category translation、sellers；建立 item_value、freight_value 与商品类别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01_staging/03_stg_order_payments.sql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 / one order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先按 order_id GROUP BY；SUM payment_value、付款次数、分期与付款类型，避免JOIN放大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01_staging/04_stg_marketing_funnel.sql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一个MQL / one MQL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MQL LEFT JOIN closed deals；保留未成交 leads；deal flag、lead-to-close days 与 seller_id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02_marts/01_mart_orders.sql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 / one order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多个CTE先汇总 items/payments；ROW_NUMBER 处理多评价；整合订单、配送、付款、评价和客户地区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02_marts/02_mart_order_seller.sql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订单×卖家 / one order-seller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按 order_id + seller_id 汇总商品金额、运费与件数；为卖家表现分析提供安全grain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02_marts/03_mart_marketing_funnel.sql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一个MQL / one MQL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输出来源、首次联系、成交、成交天数与卖家ID，供Power BI漏斗使用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02_marts/04_mart_seller_lifecycle.sql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一个成交卖家 / one closed seller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funnel JOIN seller首单与表现；MIN、DATE_DIFF；activation flag、days-to-first-sale、累计GMV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03_analysis/01_acquisition_channel_quality.sql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月份×来源 / month-origin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条件聚合、SAFE_DIVIDE、LAG；比较MQL、成交、激活卖家与月度变化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03_analysis/02_seller_activation_performance.sql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一个卖家 / one seller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RANK或NTILE；找出快速激活、高GMV、延迟率高或低评分的卖家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03_analysis/03_delivery_review_analysis.sql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分析群组 / analytical segment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CASE、AVG、COUNTIF、SAFE_DIVIDE；比较准时与延迟订单的配送时间和评分，只报告关联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04_quality_checks/01_join_fanout_reconciliation.sql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每项对账一行 / one row per reconciliation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比较JOIN前后行数、distinct orders、GMV和付款值；所有意外差异必须解释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04_quality_checks/02_final_kpi_validation.sql</w:t>
            </w:r>
          </w:p>
        </w:tc>
        <w:tc>
          <w:tcPr>
            <w:tcW w:type="dxa" w:w="2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每个KPI一行 / one row per KPI</w:t>
            </w:r>
          </w:p>
        </w:tc>
        <w:tc>
          <w:tcPr>
            <w:tcW w:type="dxa" w:w="34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raw→staging→mart→Power BI数字核对；输出pass/fail与差异，作为发布闸门</w:t>
            </w:r>
          </w:p>
        </w:tc>
      </w:tr>
    </w:tbl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五个阶段的完成条件 / Stage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326"/>
      </w:tblGrid>
      <w:tr>
        <w:trPr>
          <w:cantSplit/>
          <w:tblHeader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 / Stage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文件数 / Files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完成条件 / Exit Criterion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00 Source Profiling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能解释11张表、候选键、关系、空值与重要质量问题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 Staging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字段类型、日期、flags与基础关系稳定；不改变原始含义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 Marts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每张mart只有一个明确grain，JOIN不会放大金额或订单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 Analysis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回答增长、卖家激活、履约与评价三个核心业务问题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 Quality Checks</w:t>
            </w:r>
          </w:p>
        </w:tc>
        <w:tc>
          <w:tcPr>
            <w:tcW w:type="dxa" w:w="1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所有关键KPI可从raw追溯；未通过检查不得进入Power BI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7. SQL要做到多深 / Required SQL Depth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rPr>
          <w:cantSplit/>
          <w:tblHeader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 / Level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必须展示 / Required Evidence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在本项目哪里出现 / Where It Appears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基础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SELECT、WHERE、GROUP BY、ORDER BY、aliases、COUNT DISTINCT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profiling、staging、所有分析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中级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CTE、CASE WHEN、COALESCE、CAST、日期函数、条件聚合、SAFE_DIVIDE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staging、marts、business analysis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JOIN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INNER JOIN、LEFT JOIN、聚合后再JOIN、anti-join/NOT EXISTS、cardinality说明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items、orders、funnel、seller lifecycle、quality checks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进阶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ROW_NUMBER、LAG、RANK/NTILE、多个CTE、分层marts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review去重、月度变化、卖家排序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质量</w:t>
            </w:r>
          </w:p>
        </w:tc>
        <w:tc>
          <w:tcPr>
            <w:tcW w:type="dxa" w:w="38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重复键、孤儿键、行数对账、金额对账、pass/fail发布闸门</w:t>
            </w:r>
          </w:p>
        </w:tc>
        <w:tc>
          <w:tcPr>
            <w:tcW w:type="dxa" w:w="39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两个profiling文件与两个quality文件</w:t>
            </w:r>
          </w:p>
        </w:tc>
      </w:tr>
    </w:tbl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JOIN使用规则 / JOIN Rules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LEFT JOIN 是主要连接：保留所有订单或所有MQL，即使右表没有匹配</w:t>
      </w:r>
      <w:r>
        <w:rPr>
          <w:rFonts w:ascii="Arial" w:cs="Arial" w:eastAsia="Arial" w:hAnsi="Arial"/>
          <w:color w:val="1F2937"/>
        </w:rPr>
        <w:t xml:space="preserve"> / Use LEFT JOIN to preserve every order or MQL when the right-side record may be missing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INNER JOIN 只在业务上要求必须匹配时使用</w:t>
      </w:r>
      <w:r>
        <w:rPr>
          <w:rFonts w:ascii="Arial" w:cs="Arial" w:eastAsia="Arial" w:hAnsi="Arial"/>
          <w:color w:val="1F2937"/>
        </w:rPr>
        <w:t xml:space="preserve"> / Use INNER JOIN only when a matched record is required by the business grain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一对多表必须先汇总到目标grain再连接</w:t>
      </w:r>
      <w:r>
        <w:rPr>
          <w:rFonts w:ascii="Arial" w:cs="Arial" w:eastAsia="Arial" w:hAnsi="Arial"/>
          <w:color w:val="1F2937"/>
        </w:rPr>
        <w:t xml:space="preserve"> / Aggregate one-to-many tables to the target grain before joining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每次JOIN前写出左表grain、右表grain和预期cardinality</w:t>
      </w:r>
      <w:r>
        <w:rPr>
          <w:rFonts w:ascii="Arial" w:cs="Arial" w:eastAsia="Arial" w:hAnsi="Arial"/>
          <w:color w:val="1F2937"/>
        </w:rPr>
        <w:t xml:space="preserve"> / State the left grain, right grain, and expected cardinality before every join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用NOT EXISTS检查孤儿外键；用JOIN前后COUNT与SUM检查fan-out</w:t>
      </w:r>
      <w:r>
        <w:rPr>
          <w:rFonts w:ascii="Arial" w:cs="Arial" w:eastAsia="Arial" w:hAnsi="Arial"/>
          <w:color w:val="1F2937"/>
        </w:rPr>
        <w:t xml:space="preserve"> / Use NOT EXISTS for orphan keys and compare counts and sums before and after joins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不会为了显得高级而强行使用RIGHT、FULL、CROSS或SELF JOIN</w:t>
      </w:r>
      <w:r>
        <w:rPr>
          <w:rFonts w:ascii="Arial" w:cs="Arial" w:eastAsia="Arial" w:hAnsi="Arial"/>
          <w:color w:val="1F2937"/>
        </w:rPr>
        <w:t xml:space="preserve"> / Do not force RIGHT, FULL, CROSS, or SELF JOIN when the business problem does not require them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金额术语必须准确 / Correct Financial Terminology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Olist 数据包含商品价格、运费和付款金额，但没有Olist佣金、成本或利润。因此项目使用 GMV / Item Sales Value、Payment Value 和 Freight Value；不能把这些直接称为Olist公司的revenue或profit。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The dataset contains item prices, freight, and payment values but not Olist commissions, costs, or profit. Use GMV / Item Sales Value, Payment Value, and Freight Value; do not present them as Olist company revenue or profit.</w:t>
      </w:r>
    </w:p>
    <w:p>
      <w:r>
        <w:br w:type="page"/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8. Power BI完整规格 / Power BI Scope and Depth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最终只建立一个专业的 .pbix 报告，不用页面数量堆砌。范围固定为4个主报告页面加1个隐藏的drill-through详情页面。发布到Power BI Service后，可选建立1个真正的单页dashboard；Desktop中的多页面成品技术上叫report。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Build one professional .pbix report: four main pages plus one hidden drill-through detail page. If Power BI Service is available, optionally create one true single-page dashboard. The multi-page Desktop deliverable is technically a report.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数据模型 / Semantic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200"/>
        <w:gridCol w:w="3226"/>
      </w:tblGrid>
      <w:tr>
        <w:trPr>
          <w:cantSplit/>
          <w:tblHeader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模型表 / Model Table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 / Source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职责与关系 / Role and Relationships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FactOrders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一张订单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mart_orders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订单、配送、评价、客户地区；连接DimDate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FactOrderSeller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订单×卖家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mart_order_seller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卖家订单、GMV与运费；连接DimDate和DimSeller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FactMQL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一个MQL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mart_marketing_funnel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来源、成交与lead-to-close；连接DimDate和DimOrigin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DimSeller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一个成交卖家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mart_seller_lifecycle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来源、成交日、首单日、activation；过滤FactOrderSeller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DimDate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一天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DAX日期表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连续日期、月、季度、年份；支持趋势与time intelligence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DimOrigin</w:t>
            </w:r>
          </w:p>
        </w:tc>
        <w:tc>
          <w:tcPr>
            <w:tcW w:type="dxa" w:w="15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一个来源渠道</w:t>
            </w:r>
          </w:p>
        </w:tc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FactMQL去重</w:t>
            </w:r>
          </w:p>
        </w:tc>
        <w:tc>
          <w:tcPr>
            <w:tcW w:type="dxa" w:w="32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统一渠道名称；过滤FactMQL并通过DimSeller解释卖家来源</w:t>
            </w:r>
          </w:p>
        </w:tc>
      </w:tr>
    </w:tbl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模型必须是一对多、单向筛选为主。禁止直接把11张raw CSV全部互相连接。每个关系都要检查cardinality，不允许many-to-many关系被静默接受。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Use primarily one-to-many, single-direction relationships. Do not connect all eleven raw CSV files directly. Validate every relationship cardinality and do not silently accept many-to-many relationships.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4个主页面 + 1个详情页 / Four Main Pages + One Detail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26"/>
        <w:gridCol w:w="5300"/>
      </w:tblGrid>
      <w:tr>
        <w:trPr>
          <w:cantSplit/>
          <w:tblHeader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 / Page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 / Main Question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 / Required Visuals and Interactions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Executive Overview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平台整体表现怎样？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KPI cards：Orders、GMV、AOV、Active Sellers、On-Time Rate、Avg Review；月度趋势；状态分布；关键结论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Acquisition Funnel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哪些来源带来成交并激活的卖家？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MQL→Closed Deal→Activated Seller漏斗；origin close rate；lead-to-close与activation days；日期与origin slicers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Seller Performance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哪些卖家创造价值，哪些存在风险？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GMV/订单排名；GMV vs late-rate scatter；activation cohort；条件格式风险表；点击进入seller drill-through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Fulfilment &amp; CX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配送表现如何影响客户体验？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On-time/late rate、delivery days、freight-to-GMV、review score；按州和状态比较；只报告association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Seller Detail</w:t>
            </w:r>
          </w:p>
        </w:tc>
        <w:tc>
          <w:tcPr>
            <w:tcW w:type="dxa" w:w="2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单个卖家的完整情况是什么？</w:t>
            </w:r>
          </w:p>
        </w:tc>
        <w:tc>
          <w:tcPr>
            <w:tcW w:type="dxa" w:w="5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隐藏drill-through页；卖家KPI、月度GMV、订单状态、配送与评分；返回按钮</w:t>
            </w:r>
          </w:p>
        </w:tc>
      </w:tr>
    </w:tbl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DAX深度：约18个核心Measures / DAX Depth: About 18 Core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 / Group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 Measures / Core Measures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Growth Funnel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MQLs; Closed Deals; Close Rate; Median Lead-to-Close Days; Activated Sellers; Activation Rate; Median Days to First Sale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Orders; Active Sellers; GMV; Average Order Value; Orders per Seller; Total Freight; Freight-to-GMV Ratio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Fulfilment &amp; CX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Delivered Orders; On-Time Delivery Rate; Late Delivery Rate; Average Delivery Days; Average Review Score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必须使用DISTINCTCOUNT、SUM、DIVIDE、CALCULATE、FILTER与MEDIANX</w:t>
      </w:r>
      <w:r>
        <w:rPr>
          <w:rFonts w:ascii="Arial" w:cs="Arial" w:eastAsia="Arial" w:hAnsi="Arial"/>
          <w:color w:val="1F2937"/>
        </w:rPr>
        <w:t xml:space="preserve"> / Use DISTINCTCOUNT, SUM, DIVIDE, CALCULATE, FILTER, and MEDIANX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需要时使用USERELATIONSHIP处理first-contact、won-date或order-date</w:t>
      </w:r>
      <w:r>
        <w:rPr>
          <w:rFonts w:ascii="Arial" w:cs="Arial" w:eastAsia="Arial" w:hAnsi="Arial"/>
          <w:color w:val="1F2937"/>
        </w:rPr>
        <w:t xml:space="preserve"> / Use USERELATIONSHIP when a fact requires alternate date relationships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使用RANKX或SQL rank展示卖家排名，但不得把排名当成因果结论</w:t>
      </w:r>
      <w:r>
        <w:rPr>
          <w:rFonts w:ascii="Arial" w:cs="Arial" w:eastAsia="Arial" w:hAnsi="Arial"/>
          <w:color w:val="1F2937"/>
        </w:rPr>
        <w:t xml:space="preserve"> / Use RANKX or SQL ranking for seller comparison without causal claims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所有KPI必须与SQL validation结果一致</w:t>
      </w:r>
      <w:r>
        <w:rPr>
          <w:rFonts w:ascii="Arial" w:cs="Arial" w:eastAsia="Arial" w:hAnsi="Arial"/>
          <w:color w:val="1F2937"/>
        </w:rPr>
        <w:t xml:space="preserve"> / Every KPI must match the SQL validation output</w:t>
      </w:r>
    </w:p>
    <w:p>
      <w:pPr>
        <w:pStyle w:val="Heading2"/>
        <w:keepNext/>
        <w:spacing w:after="140" w:before="180"/>
      </w:pPr>
      <w:r>
        <w:rPr>
          <w:rFonts w:ascii="Arial" w:cs="Arial" w:eastAsia="Arial" w:hAnsi="Arial"/>
          <w:b/>
          <w:bCs/>
          <w:color w:val="0F6B78"/>
        </w:rPr>
        <w:t xml:space="preserve">Power BI必须具备的互动深度 / Required Interactivity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日期、origin、seller state和order status slicers</w:t>
      </w:r>
      <w:r>
        <w:rPr>
          <w:rFonts w:ascii="Arial" w:cs="Arial" w:eastAsia="Arial" w:hAnsi="Arial"/>
          <w:color w:val="1F2937"/>
        </w:rPr>
        <w:t xml:space="preserve"> / Date, origin, seller-state, and order-status slicers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seller drill-through、report-page tooltip和返回按钮</w:t>
      </w:r>
      <w:r>
        <w:rPr>
          <w:rFonts w:ascii="Arial" w:cs="Arial" w:eastAsia="Arial" w:hAnsi="Arial"/>
          <w:color w:val="1F2937"/>
        </w:rPr>
        <w:t xml:space="preserve"> / Seller drill-through, report-page tooltip, and back button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交叉筛选、条件格式、动态标题和清楚的filter context</w:t>
      </w:r>
      <w:r>
        <w:rPr>
          <w:rFonts w:ascii="Arial" w:cs="Arial" w:eastAsia="Arial" w:hAnsi="Arial"/>
          <w:color w:val="1F2937"/>
        </w:rPr>
        <w:t xml:space="preserve"> / Cross-filtering, conditional formatting, dynamic titles, and clear filter context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每页最多回答一个主要商业问题，并给出2至3条结论</w:t>
      </w:r>
      <w:r>
        <w:rPr>
          <w:rFonts w:ascii="Arial" w:cs="Arial" w:eastAsia="Arial" w:hAnsi="Arial"/>
          <w:color w:val="1F2937"/>
        </w:rPr>
        <w:t xml:space="preserve"> / Each page answers one primary business question and presents two to three conclusions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9. 项目完成与面试标准 / Completion and Interview Standard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 / Area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必须能够证明 / Evidence Required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独立解释15个文件的目的、grain、JOIN选择、窗口函数与验证结果；能修改条件并重新运行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Modelling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画出11张raw表关系与Power BI星型模型；解释一对多和fan-out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Power BI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解释4个页面、18个measures、filter context、drill-through与KPI验证方法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提出3至5条有数据证据、注明限制且可执行的建议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English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完成3分钟项目介绍，并回答grain、LEFT JOIN、duplicate、GMV与causation问题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Portfolio</w:t>
            </w:r>
          </w:p>
        </w:tc>
        <w:tc>
          <w:tcPr>
            <w:tcW w:type="dxa" w:w="68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GitHub含README、SQL、data dictionary、architecture、screenshots和limitations；不上传大型raw data</w:t>
            </w:r>
          </w:p>
        </w:tc>
      </w:tr>
    </w:tbl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完成标准不是SQL全部成功运行就结束。只有当SQL验证通过、Power BI数字一致、商业结论不越界，而且你能自己解释整个流程时，项目才算完成。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The project is complete only when SQL checks pass, Power BI numbers reconcile, claims stay within the data’s limits, and you can explain the full workflow independently.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10. 18天完成路线 / 18-Day Build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cantSplit/>
          <w:tblHeader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 / Days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 / Work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1F4E7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 / Done When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下载、解压、11表盘点、主键与粒度；完成SQL 1–2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能用自己的话解释每张表一行代表什么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3–6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完成4个staging文件；SQL 3–6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字段、日期、flags和基础JOIN正确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7–10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完成4个marts；SQL 7–10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数字不会因一对多 JOIN 膨胀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11–12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3个业务分析 + 2个质量检查；SQL 11–15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seller_id 串起获客与销售；最终检查通过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建立Power BI星型模型与约18个DAX measures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所有KPI可追溯并与SQL一致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14–16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完成4个主页面 + 1个drill-through页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筛选、tooltip与drill-through正确运行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README、架构、数据字典与GitHub整理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陌生人能读懂项目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最终QA、截图、洞察和面试讲解</w:t>
            </w:r>
          </w:p>
        </w:tc>
        <w:tc>
          <w:tcPr>
            <w:tcW w:type="dxa" w:w="3526"/>
            <w:tcBorders>
              <w:top w:val="single" w:color="C9D2D9" w:sz="1"/>
              <w:left w:val="single" w:color="C9D2D9" w:sz="1"/>
              <w:bottom w:val="single" w:color="C9D2D9" w:sz="1"/>
              <w:right w:val="single" w:color="C9D2D9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可独立演示完整流程</w:t>
            </w:r>
          </w:p>
        </w:tc>
      </w:tr>
    </w:tbl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以每天5小时计算：10天只能完成赶工版；14–18天可完成可靠的第一版；21–25天可达到较好的面试准备状态。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At five hours per day: ten days gives a rushed draft; 14–18 days gives a reliable version 1; 21–25 days allows stronger interview preparation.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11. 教学规则 / Mentoring Rules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基础 SQL：我给英文业务题和提示，你先判断并自己写</w:t>
      </w:r>
      <w:r>
        <w:rPr>
          <w:rFonts w:ascii="Arial" w:cs="Arial" w:eastAsia="Arial" w:hAnsi="Arial"/>
          <w:color w:val="1F2937"/>
        </w:rPr>
        <w:t xml:space="preserve"> / Basic SQL: receive an English business task and hints, then write it yourself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非基础 SQL：我先教结构和例子，你再解释和修改</w:t>
      </w:r>
      <w:r>
        <w:rPr>
          <w:rFonts w:ascii="Arial" w:cs="Arial" w:eastAsia="Arial" w:hAnsi="Arial"/>
          <w:color w:val="1F2937"/>
        </w:rPr>
        <w:t xml:space="preserve"> / Advanced SQL: receive a direct explanation and example, then explain and modify it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所有练习必须成为项目文件或直接服务项目</w:t>
      </w:r>
      <w:r>
        <w:rPr>
          <w:rFonts w:ascii="Arial" w:cs="Arial" w:eastAsia="Arial" w:hAnsi="Arial"/>
          <w:color w:val="1F2937"/>
        </w:rPr>
        <w:t xml:space="preserve"> / Every exercise must become a project artifact or directly support 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先说明 grain，再写 COUNT 或 JOIN</w:t>
      </w:r>
      <w:r>
        <w:rPr>
          <w:rFonts w:ascii="Arial" w:cs="Arial" w:eastAsia="Arial" w:hAnsi="Arial"/>
          <w:color w:val="1F2937"/>
        </w:rPr>
        <w:t xml:space="preserve"> / State the grain before writing COUNT or JOIN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不以文件数量假装高级</w:t>
      </w:r>
      <w:r>
        <w:rPr>
          <w:rFonts w:ascii="Arial" w:cs="Arial" w:eastAsia="Arial" w:hAnsi="Arial"/>
          <w:color w:val="1F2937"/>
        </w:rPr>
        <w:t xml:space="preserve"> / Do not inflate the file count to appear advanced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1F2937"/>
        </w:rPr>
        <w:t xml:space="preserve">每完成一阶段，练一次英文面试表达</w:t>
      </w:r>
      <w:r>
        <w:rPr>
          <w:rFonts w:ascii="Arial" w:cs="Arial" w:eastAsia="Arial" w:hAnsi="Arial"/>
          <w:color w:val="1F2937"/>
        </w:rPr>
        <w:t xml:space="preserve"> / Practise an English interview explanation after each phase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4E78"/>
        </w:rPr>
        <w:t xml:space="preserve">12. 现在马上做什么 / Immediate Next Step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F2937"/>
        </w:rPr>
        <w:t xml:space="preserve">打开两个官方 Kaggle 链接并登录</w:t>
      </w:r>
      <w:r>
        <w:rPr>
          <w:rFonts w:ascii="Arial" w:cs="Arial" w:eastAsia="Arial" w:hAnsi="Arial"/>
          <w:color w:val="1F2937"/>
        </w:rPr>
        <w:t xml:space="preserve"> / Open both official Kaggle links and sign in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F2937"/>
        </w:rPr>
        <w:t xml:space="preserve">每个页面点击 Download，得到两个 ZIP</w:t>
      </w:r>
      <w:r>
        <w:rPr>
          <w:rFonts w:ascii="Arial" w:cs="Arial" w:eastAsia="Arial" w:hAnsi="Arial"/>
          <w:color w:val="1F2937"/>
        </w:rPr>
        <w:t xml:space="preserve"> / Click Download on each page to obtain two ZIP files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F2937"/>
        </w:rPr>
        <w:t xml:space="preserve">先不要改文件名，也不要打开后合并</w:t>
      </w:r>
      <w:r>
        <w:rPr>
          <w:rFonts w:ascii="Arial" w:cs="Arial" w:eastAsia="Arial" w:hAnsi="Arial"/>
          <w:color w:val="1F2937"/>
        </w:rPr>
        <w:t xml:space="preserve"> / Do not rename, clean, or merge the files yet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F2937"/>
        </w:rPr>
        <w:t xml:space="preserve">把两个 ZIP 放到 D:\olist-marketplace-analytics\data\raw\downloads</w:t>
      </w:r>
      <w:r>
        <w:rPr>
          <w:rFonts w:ascii="Arial" w:cs="Arial" w:eastAsia="Arial" w:hAnsi="Arial"/>
          <w:color w:val="1F2937"/>
        </w:rPr>
        <w:t xml:space="preserve"> / Place both ZIP files in D:\olist-marketplace-analytics\data\raw\downloads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F2937"/>
        </w:rPr>
        <w:t xml:space="preserve">完成后告诉导师“下载好了”并附文件夹截图</w:t>
      </w:r>
      <w:r>
        <w:rPr>
          <w:rFonts w:ascii="Arial" w:cs="Arial" w:eastAsia="Arial" w:hAnsi="Arial"/>
          <w:color w:val="1F2937"/>
        </w:rPr>
        <w:t xml:space="preserve"> / When finished, say “下载好了” and attach a folder screenshot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第一课不是马上 JOIN。第一课是 Data Inventory：确认11个 CSV 是否齐全、每张表的行数、列数、主键候选和一行代表什么。</w:t>
      </w:r>
    </w:p>
    <w:p>
      <w:pPr>
        <w:spacing w:after="100" w:line="285"/>
      </w:pPr>
      <w:r>
        <w:rPr>
          <w:rFonts w:ascii="Arial" w:cs="Arial" w:eastAsia="Arial" w:hAnsi="Arial"/>
          <w:color w:val="1F2937"/>
        </w:rPr>
        <w:t xml:space="preserve">Lesson 1 is not a JOIN. It is Data Inventory: verify all eleven CSV files, row counts, column counts, candidate keys, and the grain of each table.</w:t>
      </w:r>
    </w:p>
    <w:sectPr>
      <w:headerReference w:type="default" r:id="rId7"/>
      <w:footerReference w:type="default" r:id="rId8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1727C"/>
        <w:sz w:val="17"/>
        <w:szCs w:val="17"/>
      </w:rPr>
      <w:t xml:space="preserve">Page </w:t>
    </w:r>
    <w:r>
      <w:rPr>
        <w:rFonts w:ascii="Arial" w:cs="Arial" w:eastAsia="Arial" w:hAnsi="Arial"/>
        <w:color w:val="61727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7BBC8" w:sz="4" w:space="1"/>
      </w:pBdr>
    </w:pPr>
    <w:r>
      <w:rPr>
        <w:rFonts w:ascii="Arial" w:cs="Arial" w:eastAsia="Arial" w:hAnsi="Arial"/>
        <w:color w:val="61727C"/>
        <w:sz w:val="17"/>
        <w:szCs w:val="17"/>
      </w:rPr>
      <w:t xml:space="preserve">Olist Marketplace Analytics | 双语项目总计划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6B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27ixrwafgh5dwbb6vnv-" Type="http://schemas.openxmlformats.org/officeDocument/2006/relationships/hyperlink" Target="https://www.kaggle.com/datasets/olistbr/brazilian-ecommerce" TargetMode="External"/><Relationship Id="rIdy3vtiiczc9iqvghxeijdu" Type="http://schemas.openxmlformats.org/officeDocument/2006/relationships/hyperlink" Target="https://www.kaggle.com/datasets/olistbr/marketing-funnel-olis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Marketplace Analytics Bilingual Project Master Plan</dc:title>
  <dc:subject>Fresh Graduate Data Analyst Portfolio Plan</dc:subject>
  <dc:creator>Codex</dc:creator>
  <dc:description>Bilingual project scope, dataset sources, workflow, deliverables, and 18-day learning plan.</dc:description>
  <cp:lastModifiedBy>Un-named</cp:lastModifiedBy>
  <cp:revision>1</cp:revision>
  <dcterms:created xsi:type="dcterms:W3CDTF">2026-07-29T13:32:02.591Z</dcterms:created>
  <dcterms:modified xsi:type="dcterms:W3CDTF">2026-07-29T13:32:02.592Z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