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P.</w:t>
      </w:r>
      <w:r>
        <w:rPr>
          <w:spacing w:val="12"/>
          <w:w w:val="95"/>
        </w:rPr>
        <w:t> </w:t>
      </w:r>
      <w:r>
        <w:rPr>
          <w:w w:val="95"/>
        </w:rPr>
        <w:t>DataTransfer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331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312" w:lineRule="auto" w:before="233"/>
        <w:ind w:left="120" w:right="87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Functional</w:t>
      </w:r>
      <w:r>
        <w:rPr>
          <w:spacing w:val="-12"/>
        </w:rPr>
        <w:t> </w:t>
      </w:r>
      <w:r>
        <w:rPr>
          <w:spacing w:val="-1"/>
        </w:rPr>
        <w:t>Block</w:t>
      </w:r>
      <w:r>
        <w:rPr>
          <w:spacing w:val="-12"/>
        </w:rPr>
        <w:t> </w:t>
      </w:r>
      <w:r>
        <w:rPr>
          <w:spacing w:val="-1"/>
        </w:rPr>
        <w:t>describes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functionality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enables</w:t>
      </w:r>
      <w:r>
        <w:rPr>
          <w:spacing w:val="-13"/>
        </w:rPr>
        <w:t> </w:t>
      </w:r>
      <w:r>
        <w:rPr>
          <w:spacing w:val="-1"/>
        </w:rPr>
        <w:t>parties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extend</w:t>
      </w:r>
      <w:r>
        <w:rPr>
          <w:spacing w:val="-13"/>
        </w:rPr>
        <w:t> </w:t>
      </w:r>
      <w:r>
        <w:rPr>
          <w:spacing w:val="-1"/>
        </w:rPr>
        <w:t>existing</w:t>
      </w:r>
      <w:r>
        <w:rPr>
          <w:spacing w:val="-12"/>
        </w:rPr>
        <w:t> </w:t>
      </w:r>
      <w:r>
        <w:rPr>
          <w:spacing w:val="-1"/>
        </w:rPr>
        <w:t>commands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custom</w:t>
      </w:r>
      <w:r>
        <w:rPr>
          <w:spacing w:val="-11"/>
        </w:rPr>
        <w:t> </w:t>
      </w:r>
      <w:r>
        <w:rPr/>
        <w:t>attributes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add</w:t>
      </w:r>
      <w:r>
        <w:rPr>
          <w:spacing w:val="1"/>
        </w:rPr>
        <w:t> </w:t>
      </w:r>
      <w:r>
        <w:rPr/>
        <w:t>new</w:t>
      </w:r>
      <w:r>
        <w:rPr>
          <w:spacing w:val="-11"/>
        </w:rPr>
        <w:t> </w:t>
      </w:r>
      <w:r>
        <w:rPr/>
        <w:t>custom</w:t>
      </w:r>
      <w:r>
        <w:rPr>
          <w:spacing w:val="-9"/>
        </w:rPr>
        <w:t> </w:t>
      </w:r>
      <w:r>
        <w:rPr/>
        <w:t>commands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OCPP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20"/>
      </w:pPr>
      <w:r>
        <w:rPr/>
        <w:t>OCPP</w:t>
      </w:r>
      <w:r>
        <w:rPr>
          <w:spacing w:val="-9"/>
        </w:rPr>
        <w:t> </w:t>
      </w:r>
      <w:r>
        <w:rPr/>
        <w:t>offers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mechanisms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vendor-specific</w:t>
      </w:r>
      <w:r>
        <w:rPr>
          <w:spacing w:val="-9"/>
        </w:rPr>
        <w:t> </w:t>
      </w:r>
      <w:r>
        <w:rPr/>
        <w:t>custom</w:t>
      </w:r>
      <w:r>
        <w:rPr>
          <w:spacing w:val="-8"/>
        </w:rPr>
        <w:t> </w:t>
      </w:r>
      <w:r>
        <w:rPr/>
        <w:t>extension.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7" w:lineRule="auto" w:before="0" w:after="0"/>
        <w:ind w:left="720" w:right="297" w:hanging="218"/>
        <w:jc w:val="left"/>
        <w:rPr>
          <w:sz w:val="18"/>
        </w:rPr>
      </w:pPr>
      <w:r>
        <w:rPr>
          <w:sz w:val="18"/>
        </w:rPr>
        <w:t>The </w:t>
      </w:r>
      <w:r>
        <w:rPr>
          <w:color w:val="0000ED"/>
          <w:sz w:val="18"/>
        </w:rPr>
        <w:t>DataTransferRequest </w:t>
      </w:r>
      <w:r>
        <w:rPr>
          <w:sz w:val="18"/>
        </w:rPr>
        <w:t>message allows for the exchange of data or messages not standardized in OCPP. As such, it</w:t>
      </w:r>
      <w:r>
        <w:rPr>
          <w:spacing w:val="1"/>
          <w:sz w:val="18"/>
        </w:rPr>
        <w:t> </w:t>
      </w:r>
      <w:r>
        <w:rPr>
          <w:w w:val="95"/>
          <w:sz w:val="18"/>
        </w:rPr>
        <w:t>offers a framework within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OCPP for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experimental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functionality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that may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find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its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way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into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future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OCPP versions.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Experimenting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can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done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without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creating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new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(possibly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incompatible)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OCPP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dialects.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Secondly,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it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offers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possibility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"/>
          <w:w w:val="95"/>
          <w:sz w:val="18"/>
        </w:rPr>
        <w:t> </w:t>
      </w:r>
      <w:r>
        <w:rPr>
          <w:sz w:val="18"/>
        </w:rPr>
        <w:t>implement</w:t>
      </w:r>
      <w:r>
        <w:rPr>
          <w:spacing w:val="-13"/>
          <w:sz w:val="18"/>
        </w:rPr>
        <w:t> </w:t>
      </w:r>
      <w:r>
        <w:rPr>
          <w:sz w:val="18"/>
        </w:rPr>
        <w:t>additional</w:t>
      </w:r>
      <w:r>
        <w:rPr>
          <w:spacing w:val="-12"/>
          <w:sz w:val="18"/>
        </w:rPr>
        <w:t> </w:t>
      </w:r>
      <w:r>
        <w:rPr>
          <w:sz w:val="18"/>
        </w:rPr>
        <w:t>functionality</w:t>
      </w:r>
      <w:r>
        <w:rPr>
          <w:spacing w:val="-11"/>
          <w:sz w:val="18"/>
        </w:rPr>
        <w:t> </w:t>
      </w:r>
      <w:r>
        <w:rPr>
          <w:sz w:val="18"/>
        </w:rPr>
        <w:t>agreed</w:t>
      </w:r>
      <w:r>
        <w:rPr>
          <w:spacing w:val="-12"/>
          <w:sz w:val="18"/>
        </w:rPr>
        <w:t> </w:t>
      </w:r>
      <w:r>
        <w:rPr>
          <w:sz w:val="18"/>
        </w:rPr>
        <w:t>upon</w:t>
      </w:r>
      <w:r>
        <w:rPr>
          <w:spacing w:val="-11"/>
          <w:sz w:val="18"/>
        </w:rPr>
        <w:t> </w:t>
      </w:r>
      <w:r>
        <w:rPr>
          <w:sz w:val="18"/>
        </w:rPr>
        <w:t>between</w:t>
      </w:r>
      <w:r>
        <w:rPr>
          <w:spacing w:val="-11"/>
          <w:sz w:val="18"/>
        </w:rPr>
        <w:t> </w:t>
      </w:r>
      <w:r>
        <w:rPr>
          <w:sz w:val="18"/>
        </w:rPr>
        <w:t>specific</w:t>
      </w:r>
      <w:r>
        <w:rPr>
          <w:spacing w:val="-12"/>
          <w:sz w:val="18"/>
        </w:rPr>
        <w:t> </w:t>
      </w:r>
      <w:r>
        <w:rPr>
          <w:sz w:val="18"/>
        </w:rPr>
        <w:t>CSMS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Charging</w:t>
      </w:r>
      <w:r>
        <w:rPr>
          <w:spacing w:val="-12"/>
          <w:sz w:val="18"/>
        </w:rPr>
        <w:t> </w:t>
      </w:r>
      <w:r>
        <w:rPr>
          <w:sz w:val="18"/>
        </w:rPr>
        <w:t>Station</w:t>
      </w:r>
      <w:r>
        <w:rPr>
          <w:spacing w:val="-11"/>
          <w:sz w:val="18"/>
        </w:rPr>
        <w:t> </w:t>
      </w:r>
      <w:r>
        <w:rPr>
          <w:sz w:val="18"/>
        </w:rPr>
        <w:t>vendors.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7" w:lineRule="auto" w:before="122" w:after="0"/>
        <w:ind w:left="720" w:right="148" w:hanging="218"/>
        <w:jc w:val="left"/>
        <w:rPr>
          <w:sz w:val="18"/>
        </w:rPr>
      </w:pP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CustomData</w:t>
      </w:r>
      <w:r>
        <w:rPr>
          <w:spacing w:val="-9"/>
          <w:sz w:val="18"/>
        </w:rPr>
        <w:t> </w:t>
      </w:r>
      <w:r>
        <w:rPr>
          <w:sz w:val="18"/>
        </w:rPr>
        <w:t>element</w:t>
      </w:r>
      <w:r>
        <w:rPr>
          <w:spacing w:val="-9"/>
          <w:sz w:val="18"/>
        </w:rPr>
        <w:t> </w:t>
      </w:r>
      <w:r>
        <w:rPr>
          <w:sz w:val="18"/>
        </w:rPr>
        <w:t>exists</w:t>
      </w:r>
      <w:r>
        <w:rPr>
          <w:spacing w:val="-9"/>
          <w:sz w:val="18"/>
        </w:rPr>
        <w:t> </w:t>
      </w:r>
      <w:r>
        <w:rPr>
          <w:sz w:val="18"/>
        </w:rPr>
        <w:t>as</w:t>
      </w:r>
      <w:r>
        <w:rPr>
          <w:spacing w:val="-9"/>
          <w:sz w:val="18"/>
        </w:rPr>
        <w:t> </w:t>
      </w:r>
      <w:r>
        <w:rPr>
          <w:sz w:val="18"/>
        </w:rPr>
        <w:t>an</w:t>
      </w:r>
      <w:r>
        <w:rPr>
          <w:spacing w:val="-9"/>
          <w:sz w:val="18"/>
        </w:rPr>
        <w:t> </w:t>
      </w:r>
      <w:r>
        <w:rPr>
          <w:sz w:val="18"/>
        </w:rPr>
        <w:t>optional</w:t>
      </w:r>
      <w:r>
        <w:rPr>
          <w:spacing w:val="-7"/>
          <w:sz w:val="18"/>
        </w:rPr>
        <w:t> </w:t>
      </w:r>
      <w:r>
        <w:rPr>
          <w:sz w:val="18"/>
        </w:rPr>
        <w:t>element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JSON</w:t>
      </w:r>
      <w:r>
        <w:rPr>
          <w:spacing w:val="-9"/>
          <w:sz w:val="18"/>
        </w:rPr>
        <w:t> </w:t>
      </w:r>
      <w:r>
        <w:rPr>
          <w:sz w:val="18"/>
        </w:rPr>
        <w:t>schemas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all</w:t>
      </w:r>
      <w:r>
        <w:rPr>
          <w:spacing w:val="-9"/>
          <w:sz w:val="18"/>
        </w:rPr>
        <w:t> </w:t>
      </w:r>
      <w:r>
        <w:rPr>
          <w:sz w:val="18"/>
        </w:rPr>
        <w:t>types.</w:t>
      </w:r>
      <w:r>
        <w:rPr>
          <w:spacing w:val="-8"/>
          <w:sz w:val="18"/>
        </w:rPr>
        <w:t> </w:t>
      </w:r>
      <w:r>
        <w:rPr>
          <w:sz w:val="18"/>
        </w:rPr>
        <w:t>CustomData</w:t>
      </w:r>
      <w:r>
        <w:rPr>
          <w:spacing w:val="-9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only</w:t>
      </w:r>
      <w:r>
        <w:rPr>
          <w:spacing w:val="-8"/>
          <w:sz w:val="18"/>
        </w:rPr>
        <w:t> </w:t>
      </w:r>
      <w:r>
        <w:rPr>
          <w:sz w:val="18"/>
        </w:rPr>
        <w:t>class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JSON schema files that allows additional properties. It can thus be used to add additional </w:t>
      </w:r>
      <w:r>
        <w:rPr>
          <w:sz w:val="18"/>
        </w:rPr>
        <w:t>custom attributes to any type.</w:t>
      </w:r>
      <w:r>
        <w:rPr>
          <w:spacing w:val="1"/>
          <w:sz w:val="18"/>
        </w:rPr>
        <w:t> </w:t>
      </w:r>
      <w:r>
        <w:rPr>
          <w:w w:val="95"/>
          <w:sz w:val="18"/>
        </w:rPr>
        <w:t>The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CustomData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has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been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deliberately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left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out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specification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document,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because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would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introduce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lot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clutter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"/>
          <w:w w:val="95"/>
          <w:sz w:val="18"/>
        </w:rPr>
        <w:t> </w:t>
      </w:r>
      <w:r>
        <w:rPr>
          <w:sz w:val="18"/>
        </w:rPr>
        <w:t>it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2"/>
          <w:sz w:val="18"/>
        </w:rPr>
        <w:t> </w:t>
      </w:r>
      <w:r>
        <w:rPr>
          <w:sz w:val="18"/>
        </w:rPr>
        <w:t>not</w:t>
      </w:r>
      <w:r>
        <w:rPr>
          <w:spacing w:val="-11"/>
          <w:sz w:val="18"/>
        </w:rPr>
        <w:t> </w:t>
      </w:r>
      <w:r>
        <w:rPr>
          <w:sz w:val="18"/>
        </w:rPr>
        <w:t>meant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be</w:t>
      </w:r>
      <w:r>
        <w:rPr>
          <w:spacing w:val="-11"/>
          <w:sz w:val="18"/>
        </w:rPr>
        <w:t> </w:t>
      </w:r>
      <w:r>
        <w:rPr>
          <w:sz w:val="18"/>
        </w:rPr>
        <w:t>used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standard</w:t>
      </w:r>
      <w:r>
        <w:rPr>
          <w:spacing w:val="-11"/>
          <w:sz w:val="18"/>
        </w:rPr>
        <w:t> </w:t>
      </w:r>
      <w:r>
        <w:rPr>
          <w:sz w:val="18"/>
        </w:rPr>
        <w:t>implementations.</w:t>
      </w:r>
      <w:r>
        <w:rPr>
          <w:spacing w:val="-11"/>
          <w:sz w:val="18"/>
        </w:rPr>
        <w:t> </w:t>
      </w:r>
      <w:r>
        <w:rPr>
          <w:sz w:val="18"/>
        </w:rPr>
        <w:t>See</w:t>
      </w:r>
      <w:r>
        <w:rPr>
          <w:spacing w:val="-11"/>
          <w:sz w:val="18"/>
        </w:rPr>
        <w:t> </w:t>
      </w:r>
      <w:r>
        <w:rPr>
          <w:sz w:val="18"/>
        </w:rPr>
        <w:t>also</w:t>
      </w:r>
      <w:r>
        <w:rPr>
          <w:spacing w:val="-6"/>
          <w:sz w:val="18"/>
        </w:rPr>
        <w:t> </w:t>
      </w:r>
      <w:r>
        <w:rPr>
          <w:color w:val="0000ED"/>
          <w:sz w:val="18"/>
        </w:rPr>
        <w:t>[OCPP2.0-PART4]</w:t>
      </w:r>
      <w:r>
        <w:rPr>
          <w:sz w:val="18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0"/>
        <w:ind w:left="3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29664" from="111.777pt,-19.601814pt" to="111.777pt,31.562186pt" stroked="true" strokeweight=".5pt" strokecolor="#ededed">
            <v:stroke dashstyle="solid"/>
            <w10:wrap type="none"/>
          </v:line>
        </w:pict>
      </w:r>
      <w:r>
        <w:rPr>
          <w:b/>
          <w:w w:val="105"/>
          <w:sz w:val="18"/>
        </w:rPr>
        <w:t>IMPORTANT</w:t>
      </w:r>
    </w:p>
    <w:p>
      <w:pPr>
        <w:pStyle w:val="BodyText"/>
        <w:spacing w:line="247" w:lineRule="auto" w:before="98"/>
        <w:ind w:left="360" w:right="420"/>
      </w:pPr>
      <w:r>
        <w:rPr/>
        <w:br w:type="column"/>
      </w:r>
      <w:r>
        <w:rPr>
          <w:w w:val="95"/>
        </w:rPr>
        <w:t>Please</w:t>
      </w:r>
      <w:r>
        <w:rPr>
          <w:spacing w:val="-1"/>
          <w:w w:val="95"/>
        </w:rPr>
        <w:t> </w:t>
      </w:r>
      <w:r>
        <w:rPr>
          <w:w w:val="95"/>
        </w:rPr>
        <w:t>use with</w:t>
      </w:r>
      <w:r>
        <w:rPr>
          <w:spacing w:val="1"/>
          <w:w w:val="95"/>
        </w:rPr>
        <w:t> </w:t>
      </w:r>
      <w:r>
        <w:rPr>
          <w:w w:val="95"/>
        </w:rPr>
        <w:t>extreme</w:t>
      </w:r>
      <w:r>
        <w:rPr>
          <w:spacing w:val="-1"/>
          <w:w w:val="95"/>
        </w:rPr>
        <w:t> </w:t>
      </w:r>
      <w:r>
        <w:rPr>
          <w:w w:val="95"/>
        </w:rPr>
        <w:t>caution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only for</w:t>
      </w:r>
      <w:r>
        <w:rPr>
          <w:spacing w:val="1"/>
          <w:w w:val="95"/>
        </w:rPr>
        <w:t> </w:t>
      </w:r>
      <w:r>
        <w:rPr>
          <w:w w:val="95"/>
        </w:rPr>
        <w:t>optional functionality,</w:t>
      </w:r>
      <w:r>
        <w:rPr>
          <w:spacing w:val="1"/>
          <w:w w:val="95"/>
        </w:rPr>
        <w:t> </w:t>
      </w:r>
      <w:r>
        <w:rPr>
          <w:w w:val="95"/>
        </w:rPr>
        <w:t>since it will impact your compatibility</w:t>
      </w:r>
      <w:r>
        <w:rPr>
          <w:spacing w:val="1"/>
          <w:w w:val="95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>
          <w:spacing w:val="-1"/>
        </w:rPr>
        <w:t>systems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do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make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option.</w:t>
      </w:r>
      <w:r>
        <w:rPr>
          <w:spacing w:val="-12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recommend</w:t>
      </w:r>
      <w:r>
        <w:rPr>
          <w:spacing w:val="-11"/>
        </w:rPr>
        <w:t> </w:t>
      </w:r>
      <w:r>
        <w:rPr>
          <w:spacing w:val="-1"/>
        </w:rPr>
        <w:t>mentioning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usage</w:t>
      </w:r>
      <w:r>
        <w:rPr>
          <w:spacing w:val="-11"/>
        </w:rPr>
        <w:t> </w:t>
      </w:r>
      <w:r>
        <w:rPr/>
        <w:t>explicitly</w:t>
      </w:r>
      <w:r>
        <w:rPr>
          <w:spacing w:val="-13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your documentation and/or communication. Please consider </w:t>
      </w:r>
      <w:r>
        <w:rPr/>
        <w:t>consulting the Open Charge Alliance before</w:t>
      </w:r>
      <w:r>
        <w:rPr>
          <w:spacing w:val="-52"/>
        </w:rPr>
        <w:t> </w:t>
      </w:r>
      <w:r>
        <w:rPr/>
        <w:t>turning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option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add</w:t>
      </w:r>
      <w:r>
        <w:rPr>
          <w:spacing w:val="-12"/>
        </w:rPr>
        <w:t> </w:t>
      </w:r>
      <w:r>
        <w:rPr/>
        <w:t>functionality.</w:t>
      </w:r>
    </w:p>
    <w:p>
      <w:pPr>
        <w:spacing w:after="0" w:line="247" w:lineRule="auto"/>
        <w:sectPr>
          <w:type w:val="continuous"/>
          <w:pgSz w:w="11910" w:h="16840"/>
          <w:pgMar w:header="186" w:footer="431" w:top="600" w:bottom="620" w:left="600" w:right="600"/>
          <w:cols w:num="2" w:equalWidth="0">
            <w:col w:w="1436" w:space="80"/>
            <w:col w:w="9194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spacing w:before="304"/>
      </w:pPr>
      <w:r>
        <w:rPr>
          <w:w w:val="95"/>
        </w:rPr>
        <w:t>P01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Transfer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Station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246.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P01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Data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Transfer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Transfer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Transfer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26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functionality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DataTransfer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78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DataTransferRequest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DataTransferResponse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925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DataTransferRequest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cases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usage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Accepted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Rejected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element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vendor-specific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agreement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parties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involved.</w:t>
            </w:r>
          </w:p>
        </w:tc>
      </w:tr>
    </w:tbl>
    <w:p>
      <w:pPr>
        <w:pStyle w:val="BodyText"/>
        <w:spacing w:before="2"/>
        <w:rPr>
          <w:i/>
          <w:sz w:val="21"/>
        </w:rPr>
      </w:pPr>
      <w:r>
        <w:rPr/>
        <w:pict>
          <v:shape style="position:absolute;margin-left:146.035187pt;margin-top:14.042796pt;width:36.35pt;height:20.45pt;mso-position-horizontal-relative:page;mso-position-vertical-relative:paragraph;z-index:-15726592;mso-wrap-distance-left:0;mso-wrap-distance-right:0" type="#_x0000_t202" id="docshape9" filled="true" fillcolor="#fefecd" stroked="true" strokeweight="1.009844pt" strokecolor="#a70036">
            <v:textbox inset="0,0,0,0">
              <w:txbxContent>
                <w:p>
                  <w:pPr>
                    <w:spacing w:before="81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2.570129pt;margin-top:14.042796pt;width:86.1pt;height:20.45pt;mso-position-horizontal-relative:page;mso-position-vertical-relative:paragraph;z-index:-15726080;mso-wrap-distance-left:0;mso-wrap-distance-right:0" type="#_x0000_t202" id="docshape10" filled="true" fillcolor="#fefecd" stroked="true" strokeweight="1.010124pt" strokecolor="#a70036">
            <v:textbox inset="0,0,0,0">
              <w:txbxContent>
                <w:p>
                  <w:pPr>
                    <w:spacing w:before="81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2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5"/>
        </w:rPr>
      </w:pPr>
    </w:p>
    <w:p>
      <w:pPr>
        <w:pStyle w:val="BodyText"/>
        <w:ind w:left="2636"/>
        <w:rPr>
          <w:sz w:val="20"/>
        </w:rPr>
      </w:pPr>
      <w:r>
        <w:rPr>
          <w:sz w:val="20"/>
        </w:rPr>
        <w:pict>
          <v:group style="width:248.85pt;height:52.75pt;mso-position-horizontal-relative:char;mso-position-vertical-relative:line" id="docshapegroup11" coordorigin="0,0" coordsize="4977,1055">
            <v:rect style="position:absolute;left:6;top:417;width:135;height:393" id="docshape12" filled="false" stroked="true" strokeweight=".672574pt" strokecolor="#a70036">
              <v:stroke dashstyle="solid"/>
            </v:rect>
            <v:shape style="position:absolute;left:73;top:0;width:2;height:1055" id="docshape13" coordorigin="74,0" coordsize="0,1055" path="m74,810l74,1054m74,0l74,418e" filled="false" stroked="true" strokeweight=".672469pt" strokecolor="#a70036">
              <v:path arrowok="t"/>
              <v:stroke dashstyle="longdash"/>
            </v:shape>
            <v:shape style="position:absolute;left:6;top:417;width:4963;height:393" id="docshape14" coordorigin="7,418" coordsize="4963,393" path="m7,810l141,810,141,418,7,418,7,810xm4835,810l4970,810,4970,418,4835,418,4835,810xe" filled="false" stroked="true" strokeweight=".672969pt" strokecolor="#a70036">
              <v:path arrowok="t"/>
              <v:stroke dashstyle="solid"/>
            </v:shape>
            <v:shape style="position:absolute;left:4902;top:0;width:2;height:1055" id="docshape15" coordorigin="4902,0" coordsize="0,1055" path="m4902,810l4902,1054m4902,0l4902,418e" filled="false" stroked="true" strokeweight=".672469pt" strokecolor="#a70036">
              <v:path arrowok="t"/>
              <v:stroke dashstyle="longdash"/>
            </v:shape>
            <v:rect style="position:absolute;left:4835;top:417;width:135;height:393" id="docshape16" filled="false" stroked="true" strokeweight=".672574pt" strokecolor="#a70036">
              <v:stroke dashstyle="solid"/>
            </v:rect>
            <v:shape style="position:absolute;left:4666;top:356;width:148;height:122" type="#_x0000_t75" id="docshape17" stroked="false">
              <v:imagedata r:id="rId7" o:title=""/>
            </v:shape>
            <v:line style="position:absolute" from="141,418" to="4754,418" stroked="true" strokeweight=".673469pt" strokecolor="#a70036">
              <v:stroke dashstyle="solid"/>
            </v:line>
            <v:shape style="position:absolute;left:80;top:749;width:148;height:122" type="#_x0000_t75" id="docshape18" stroked="false">
              <v:imagedata r:id="rId8" o:title=""/>
            </v:shape>
            <v:line style="position:absolute" from="141,810" to="4889,810" stroked="true" strokeweight=".673469pt" strokecolor="#a70036">
              <v:stroke dashstyle="longdash"/>
            </v:line>
            <v:shape style="position:absolute;left:0;top:0;width:4977;height:1055" type="#_x0000_t202" id="docshape19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482" w:lineRule="auto" w:before="1"/>
                      <w:ind w:left="302" w:right="191" w:hanging="68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DataTransferRequest(vendorId, [messageId], [data])</w:t>
                    </w:r>
                    <w:r>
                      <w:rPr>
                        <w:rFonts w:ascii="Arial"/>
                        <w:spacing w:val="-5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DataTransferResponse(status,</w:t>
                    </w: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[data])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146.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Data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Transfer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1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  <w:p>
            <w:pPr>
              <w:pStyle w:val="TableParagraph"/>
              <w:spacing w:before="9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70" w:lineRule="atLeast" w:before="0"/>
              <w:ind w:right="1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undefined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agreed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parties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involved.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P01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Transfer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247.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P01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P01.FR.01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39"/>
              <w:rPr>
                <w:sz w:val="18"/>
              </w:rPr>
            </w:pPr>
            <w:r>
              <w:rPr>
                <w:sz w:val="18"/>
              </w:rPr>
              <w:t>The Charging Station SHALL only use </w:t>
            </w:r>
            <w:r>
              <w:rPr>
                <w:color w:val="0000ED"/>
                <w:sz w:val="18"/>
              </w:rPr>
              <w:t>DataTransferRequest </w:t>
            </w:r>
            <w:r>
              <w:rPr>
                <w:sz w:val="18"/>
              </w:rPr>
              <w:t>for 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P01.FR.02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sz w:val="18"/>
              </w:rPr>
              <w:t>The vendorId SHOULD be a value from the reversed DNS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namespace, where the top tiers of the name, when reversed,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correspond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publicly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registered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Vendor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organization.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P01.FR.03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sz w:val="18"/>
              </w:rPr>
              <w:t>The messageId in the request message MAY be used to indicate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implementation.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P01.FR.04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undefined and it is RECOMMENDED that this is agreed upon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involved.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P01.FR.05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If the recipient of the request has 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vendorId.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recipient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UnknownVendor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P01.FR.06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70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DataTransferRequest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mismatch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used).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recipient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UnknownMessageId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P01.FR.07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usage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Accepted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Rejected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vendor-specific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agreement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parties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involved.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/>
        <w:t>P02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Transfer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CSMS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248.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P02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Data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Transfer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CSMS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Transfer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functionality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DataTransfer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78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OCPP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DataTransferRequest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DataTransferResponse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197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DataTransferRequest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9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70" w:lineRule="atLeast" w:before="0"/>
              <w:ind w:right="365"/>
              <w:rPr>
                <w:sz w:val="18"/>
              </w:rPr>
            </w:pP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cases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usage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Accepted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Rejected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element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vendor-specific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agreement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parties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involved.</w:t>
            </w:r>
          </w:p>
        </w:tc>
      </w:tr>
    </w:tbl>
    <w:p>
      <w:pPr>
        <w:pStyle w:val="BodyText"/>
        <w:spacing w:before="2"/>
        <w:rPr>
          <w:i/>
          <w:sz w:val="21"/>
        </w:rPr>
      </w:pPr>
      <w:r>
        <w:rPr/>
        <w:pict>
          <v:shape style="position:absolute;margin-left:146.035187pt;margin-top:14.051121pt;width:86.1pt;height:20.45pt;mso-position-horizontal-relative:page;mso-position-vertical-relative:paragraph;z-index:-15724544;mso-wrap-distance-left:0;mso-wrap-distance-right:0" type="#_x0000_t202" id="docshape21" filled="true" fillcolor="#fefecd" stroked="true" strokeweight="1.010124pt" strokecolor="#a70036">
            <v:textbox inset="0,0,0,0">
              <w:txbxContent>
                <w:p>
                  <w:pPr>
                    <w:spacing w:before="81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2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12.332825pt;margin-top:14.051121pt;width:36.35pt;height:20.45pt;mso-position-horizontal-relative:page;mso-position-vertical-relative:paragraph;z-index:-15724032;mso-wrap-distance-left:0;mso-wrap-distance-right:0" type="#_x0000_t202" id="docshape22" filled="true" fillcolor="#fefecd" stroked="true" strokeweight="1.009844pt" strokecolor="#a70036">
            <v:textbox inset="0,0,0,0">
              <w:txbxContent>
                <w:p>
                  <w:pPr>
                    <w:spacing w:before="81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5"/>
        </w:rPr>
      </w:pPr>
    </w:p>
    <w:p>
      <w:pPr>
        <w:pStyle w:val="BodyText"/>
        <w:ind w:left="3134"/>
        <w:rPr>
          <w:sz w:val="20"/>
        </w:rPr>
      </w:pPr>
      <w:r>
        <w:rPr>
          <w:sz w:val="20"/>
        </w:rPr>
        <w:pict>
          <v:group style="width:248.85pt;height:52.75pt;mso-position-horizontal-relative:char;mso-position-vertical-relative:line" id="docshapegroup23" coordorigin="0,0" coordsize="4977,1055">
            <v:rect style="position:absolute;left:6;top:417;width:135;height:393" id="docshape24" filled="false" stroked="true" strokeweight=".672574pt" strokecolor="#a70036">
              <v:stroke dashstyle="solid"/>
            </v:rect>
            <v:shape style="position:absolute;left:73;top:0;width:2;height:1055" id="docshape25" coordorigin="74,0" coordsize="0,1055" path="m74,810l74,1054m74,0l74,418e" filled="false" stroked="true" strokeweight=".672469pt" strokecolor="#a70036">
              <v:path arrowok="t"/>
              <v:stroke dashstyle="longdash"/>
            </v:shape>
            <v:shape style="position:absolute;left:6;top:417;width:4963;height:393" id="docshape26" coordorigin="7,418" coordsize="4963,393" path="m7,810l141,810,141,418,7,418,7,810xm4835,810l4970,810,4970,418,4835,418,4835,810xe" filled="false" stroked="true" strokeweight=".672969pt" strokecolor="#a70036">
              <v:path arrowok="t"/>
              <v:stroke dashstyle="solid"/>
            </v:shape>
            <v:shape style="position:absolute;left:4902;top:0;width:2;height:1055" id="docshape27" coordorigin="4902,0" coordsize="0,1055" path="m4902,810l4902,1054m4902,0l4902,418e" filled="false" stroked="true" strokeweight=".672469pt" strokecolor="#a70036">
              <v:path arrowok="t"/>
              <v:stroke dashstyle="longdash"/>
            </v:shape>
            <v:rect style="position:absolute;left:4835;top:417;width:135;height:393" id="docshape28" filled="false" stroked="true" strokeweight=".672574pt" strokecolor="#a70036">
              <v:stroke dashstyle="solid"/>
            </v:rect>
            <v:shape style="position:absolute;left:4666;top:356;width:148;height:122" type="#_x0000_t75" id="docshape29" stroked="false">
              <v:imagedata r:id="rId7" o:title=""/>
            </v:shape>
            <v:line style="position:absolute" from="141,418" to="4754,418" stroked="true" strokeweight=".673469pt" strokecolor="#a70036">
              <v:stroke dashstyle="solid"/>
            </v:line>
            <v:shape style="position:absolute;left:80;top:749;width:148;height:122" type="#_x0000_t75" id="docshape30" stroked="false">
              <v:imagedata r:id="rId9" o:title=""/>
            </v:shape>
            <v:line style="position:absolute" from="141,810" to="4889,810" stroked="true" strokeweight=".673469pt" strokecolor="#a70036">
              <v:stroke dashstyle="longdash"/>
            </v:line>
            <v:shape style="position:absolute;left:0;top:0;width:4977;height:1055" type="#_x0000_t202" id="docshape31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482" w:lineRule="auto" w:before="1"/>
                      <w:ind w:left="302" w:right="191" w:hanging="68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DataTransferRequest(vendorId, [messageId], [data])</w:t>
                    </w:r>
                    <w:r>
                      <w:rPr>
                        <w:rFonts w:ascii="Arial"/>
                        <w:spacing w:val="-5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DataTransferResponse(status,</w:t>
                    </w: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[data])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147.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Data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Transfer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CSMS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1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  <w:p>
            <w:pPr>
              <w:pStyle w:val="TableParagraph"/>
              <w:spacing w:before="9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70" w:lineRule="atLeast"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undefined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agreed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parties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involved.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spacing w:val="-1"/>
        </w:rPr>
        <w:t>P02</w:t>
      </w:r>
      <w:r>
        <w:rPr>
          <w:spacing w:val="-20"/>
        </w:rPr>
        <w:t> </w:t>
      </w:r>
      <w:r>
        <w:rPr>
          <w:spacing w:val="-1"/>
        </w:rPr>
        <w:t>-</w:t>
      </w:r>
      <w:r>
        <w:rPr>
          <w:spacing w:val="-20"/>
        </w:rPr>
        <w:t> </w:t>
      </w:r>
      <w:r>
        <w:rPr>
          <w:spacing w:val="-1"/>
        </w:rPr>
        <w:t>Data</w:t>
      </w:r>
      <w:r>
        <w:rPr>
          <w:spacing w:val="-19"/>
        </w:rPr>
        <w:t> </w:t>
      </w:r>
      <w:r>
        <w:rPr>
          <w:spacing w:val="-1"/>
        </w:rPr>
        <w:t>Transfer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/>
        <w:t>CSMS</w:t>
      </w:r>
      <w:r>
        <w:rPr>
          <w:spacing w:val="-20"/>
        </w:rPr>
        <w:t> </w:t>
      </w:r>
      <w:r>
        <w:rPr/>
        <w:t>-</w:t>
      </w:r>
      <w:r>
        <w:rPr>
          <w:spacing w:val="-19"/>
        </w:rPr>
        <w:t> </w:t>
      </w:r>
      <w:r>
        <w:rPr/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249.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P02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vendorId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Charging Station and uniquely identify the vendor-specific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implementation.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P02.FR.02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sz w:val="18"/>
              </w:rPr>
              <w:t>The Charging Station SHALL only use </w:t>
            </w:r>
            <w:r>
              <w:rPr>
                <w:color w:val="0000ED"/>
                <w:sz w:val="18"/>
              </w:rPr>
              <w:t>DataTransferRequest </w:t>
            </w:r>
            <w:r>
              <w:rPr>
                <w:sz w:val="18"/>
              </w:rPr>
              <w:t>for 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P02.FR.03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sz w:val="18"/>
              </w:rPr>
              <w:t>The VendorId SHOULD be a value from the reversed DNS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namespace, where the top tiers of the name, when reversed,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correspond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publicly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registered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Vendor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organization.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P02.FR.04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sz w:val="18"/>
              </w:rPr>
              <w:t>The messageId in the request message MAY be used to indicate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implementation.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P02.FR.05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undefined and it is RECOMMENDED that this is agreed upon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involved.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P02.FR.06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 the recipient of the request has 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vendorId.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recipient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UnknownVendor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P02.FR.07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70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DataTransferRequest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mismatch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used).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recipient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UnknownMessageId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8" w:right="209"/>
              <w:jc w:val="center"/>
              <w:rPr>
                <w:sz w:val="18"/>
              </w:rPr>
            </w:pPr>
            <w:r>
              <w:rPr>
                <w:sz w:val="18"/>
              </w:rPr>
              <w:t>P02.FR.08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usage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Accepted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Rejected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vendor-specific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agreement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parties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involved.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32256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6031744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6031232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331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6030720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6033280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127991pt;margin-top:8.300702pt;width:87.1pt;height:16.1pt;mso-position-horizontal-relative:page;mso-position-vertical-relative:page;z-index:-16032768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P.</w:t>
                </w:r>
                <w:r>
                  <w:rPr>
                    <w:b/>
                    <w:spacing w:val="11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DataTransfer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2."/>
      <w:lvlJc w:val="left"/>
      <w:pPr>
        <w:ind w:left="720" w:hanging="21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1"/>
        <w:w w:val="92"/>
        <w:sz w:val="18"/>
        <w:szCs w:val="18"/>
      </w:rPr>
    </w:lvl>
    <w:lvl w:ilvl="2">
      <w:start w:val="0"/>
      <w:numFmt w:val="bullet"/>
      <w:lvlText w:val="•"/>
      <w:lvlJc w:val="left"/>
      <w:pPr>
        <w:ind w:left="1829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9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8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21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519" w:hanging="40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2022-05-28T06:28:42Z</dcterms:created>
  <dcterms:modified xsi:type="dcterms:W3CDTF">2022-05-28T06:28:42Z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