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F961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项目一 —— 光栅化渲染器</w:t>
      </w:r>
    </w:p>
    <w:p w14:paraId="61ECE11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模块一 —— TGA图像类</w:t>
      </w:r>
      <w:r>
        <w:rPr>
          <w:rFonts w:hint="eastAsia"/>
          <w:vertAlign w:val="subscript"/>
          <w:lang w:val="en-US" w:eastAsia="zh-CN"/>
        </w:rPr>
        <w:t>(2026.10.28更新)</w:t>
      </w:r>
    </w:p>
    <w:p w14:paraId="3A8072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链路：渲染管线——&gt;帧缓冲framebuffer—————&gt;TGA图像写入—————&gt;查看图片</w:t>
      </w:r>
    </w:p>
    <w:p w14:paraId="04BFB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(保存每个像素的颜色)   (把像素数据编码并保存到文件)</w:t>
      </w:r>
    </w:p>
    <w:p w14:paraId="76CC3725">
      <w:pPr>
        <w:rPr>
          <w:rFonts w:hint="eastAsia"/>
          <w:lang w:val="en-US" w:eastAsia="zh-CN"/>
        </w:rPr>
      </w:pPr>
    </w:p>
    <w:p w14:paraId="12F4A4B4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应用场景：渲染或加载图像，在该项目中只起到保存和读取图像，不负责光栅化</w:t>
      </w:r>
    </w:p>
    <w:p w14:paraId="4DC962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设计选择(为什么)</w:t>
      </w:r>
    </w:p>
    <w:p w14:paraId="4A266156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tga图像结构简单</w:t>
      </w:r>
      <w:r>
        <w:rPr>
          <w:rFonts w:hint="eastAsia"/>
          <w:sz w:val="22"/>
          <w:szCs w:val="28"/>
          <w:lang w:val="en-US" w:eastAsia="zh-CN"/>
        </w:rPr>
        <w:t>，方便编写代码，不必理会复杂的图片解码算法</w:t>
      </w:r>
    </w:p>
    <w:p w14:paraId="19567BBE">
      <w:pPr>
        <w:pStyle w:val="4"/>
        <w:bidi w:val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 w14:paraId="1D04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100" w:hanging="1100" w:hangingChars="50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数据布局：颜色BGR、像素原点为屏幕左上方、TGAColor单点像素颜色、TGAHeader图片信息</w:t>
      </w:r>
    </w:p>
    <w:p w14:paraId="2332DA70">
      <w:pPr>
        <w:rPr>
          <w:rFonts w:hint="eastAsia"/>
          <w:sz w:val="22"/>
          <w:szCs w:val="28"/>
          <w:lang w:val="en-US" w:eastAsia="zh-CN"/>
        </w:rPr>
      </w:pPr>
    </w:p>
    <w:p w14:paraId="2721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320" w:hanging="1320" w:hangingChars="600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固有方法为：读/写图片、水平/垂直翻转图片、获取指定位置的颜色、修改指定位置的颜色、获取图片尺寸(高/宽)、读取/写出RLE压缩像素数据</w:t>
      </w:r>
    </w:p>
    <w:p w14:paraId="54FF1DE5">
      <w:pPr>
        <w:rPr>
          <w:rFonts w:hint="eastAsia"/>
          <w:sz w:val="22"/>
          <w:szCs w:val="28"/>
          <w:lang w:val="en-US" w:eastAsia="zh-CN"/>
        </w:rPr>
      </w:pPr>
    </w:p>
    <w:p w14:paraId="20570697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以上内容详见tgaimage.h和tgaimage.cpp</w:t>
      </w:r>
    </w:p>
    <w:p w14:paraId="621590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遇到过的问题</w:t>
      </w:r>
    </w:p>
    <w:p w14:paraId="56EA62CB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由于现(2026.10.28)模块暂时没有涉及到纹理映射等问题，所以我这里仅仅理解代码后就快速跳过了</w:t>
      </w:r>
    </w:p>
    <w:p w14:paraId="2358463F">
      <w:pPr>
        <w:pStyle w:val="3"/>
        <w:bidi w:val="0"/>
        <w:rPr>
          <w:rFonts w:hint="default"/>
          <w:b/>
          <w:sz w:val="32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模块二 —— 模型加载处理类</w:t>
      </w:r>
      <w:r>
        <w:rPr>
          <w:rFonts w:hint="eastAsia"/>
          <w:b/>
          <w:sz w:val="32"/>
          <w:vertAlign w:val="subscript"/>
          <w:lang w:val="en-US" w:eastAsia="zh-CN"/>
        </w:rPr>
        <w:t>(2026.10.28更新)</w:t>
      </w:r>
    </w:p>
    <w:p w14:paraId="73977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链路：文件加载——&gt;顶点、面加载—————&gt;写入信息—————————&gt;使用模型</w:t>
      </w:r>
    </w:p>
    <w:p w14:paraId="441E1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(把顶点和面的相关信息保存到对象)</w:t>
      </w:r>
    </w:p>
    <w:p w14:paraId="0E77712C">
      <w:pPr>
        <w:rPr>
          <w:rFonts w:hint="eastAsia"/>
          <w:lang w:val="en-US" w:eastAsia="zh-CN"/>
        </w:rPr>
      </w:pPr>
    </w:p>
    <w:p w14:paraId="2417807D"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应用场景：加载和读取obj模型</w:t>
      </w:r>
    </w:p>
    <w:p w14:paraId="6DE3BC1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设计选择(为什么)</w:t>
      </w:r>
    </w:p>
    <w:p w14:paraId="513F3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obj模型结构直观</w:t>
      </w:r>
      <w:r>
        <w:rPr>
          <w:rFonts w:hint="eastAsia"/>
          <w:sz w:val="22"/>
          <w:szCs w:val="28"/>
          <w:lang w:val="en-US" w:eastAsia="zh-CN"/>
        </w:rPr>
        <w:t>，v代表顶点、f代表面，并且提供了光栅化需要的几何信息(顶点位置、面索引、纹理坐标uv、顶点法线)，不需要处理二进制内容</w:t>
      </w:r>
    </w:p>
    <w:p w14:paraId="4DA1FE4E">
      <w:pPr>
        <w:pStyle w:val="4"/>
        <w:bidi w:val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 w14:paraId="49E64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100" w:hanging="1100" w:hangingChars="50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数据布局：顶点坐标Vec3、屏幕坐标ScreenVert(顶点映射到屏幕的位置)、顶点组、面组</w:t>
      </w:r>
    </w:p>
    <w:p w14:paraId="07F9B2B1">
      <w:pPr>
        <w:rPr>
          <w:rFonts w:hint="eastAsia"/>
          <w:sz w:val="22"/>
          <w:szCs w:val="28"/>
          <w:lang w:val="en-US" w:eastAsia="zh-CN"/>
        </w:rPr>
      </w:pPr>
    </w:p>
    <w:p w14:paraId="1FB93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320" w:hanging="1320" w:hangingChars="60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固有方法为：加载模型、获取顶点/三角形面的数量、按下标取顶点(下标是顶点索引)、按下标取面(三个顶点的位置索引)</w:t>
      </w:r>
    </w:p>
    <w:p w14:paraId="33EA1B28">
      <w:pPr>
        <w:rPr>
          <w:rFonts w:hint="eastAsia"/>
          <w:sz w:val="22"/>
          <w:szCs w:val="28"/>
          <w:lang w:val="en-US" w:eastAsia="zh-CN"/>
        </w:rPr>
      </w:pPr>
    </w:p>
    <w:p w14:paraId="21ACA060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以上内容详见model.h和model.cpp</w:t>
      </w:r>
    </w:p>
    <w:p w14:paraId="697263E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遇到过的问题</w:t>
      </w:r>
    </w:p>
    <w:p w14:paraId="3F549953">
      <w:pPr>
        <w:numPr>
          <w:ilvl w:val="0"/>
          <w:numId w:val="1"/>
        </w:num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在加载4边形obj模型出错，load无法识别——等做完整个tinyrender后进行扩展</w:t>
      </w:r>
    </w:p>
    <w:p w14:paraId="2F7BB315">
      <w:pPr>
        <w:pStyle w:val="3"/>
        <w:bidi w:val="0"/>
        <w:rPr>
          <w:rFonts w:hint="default"/>
          <w:b/>
          <w:sz w:val="32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模块三 —— 画线算法</w:t>
      </w:r>
      <w:r>
        <w:rPr>
          <w:rFonts w:hint="eastAsia"/>
          <w:b/>
          <w:sz w:val="32"/>
          <w:vertAlign w:val="subscript"/>
          <w:lang w:val="en-US" w:eastAsia="zh-CN"/>
        </w:rPr>
        <w:t>(2026.10.28更新)</w:t>
      </w:r>
    </w:p>
    <w:p w14:paraId="39D63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链路：两点和TGA相关信息进入——&gt;连线</w:t>
      </w:r>
    </w:p>
    <w:p w14:paraId="49211ED5">
      <w:pPr>
        <w:rPr>
          <w:rFonts w:hint="eastAsia"/>
          <w:lang w:val="en-US" w:eastAsia="zh-CN"/>
        </w:rPr>
      </w:pPr>
    </w:p>
    <w:p w14:paraId="7C4712E4"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应用场景：对给出两点绘制线段</w:t>
      </w:r>
    </w:p>
    <w:p w14:paraId="04F152B0">
      <w:pPr>
        <w:pStyle w:val="4"/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设计选择(为什么)</w:t>
      </w:r>
    </w:p>
    <w:p w14:paraId="78D7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利用线性插值去计算x和y</w:t>
      </w:r>
    </w:p>
    <w:p w14:paraId="49DD9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m:rPr/>
        <w:rPr>
          <w:rFonts w:hint="eastAsia" w:hAnsi="Cambria Math" w:cstheme="minorBidi"/>
          <w:i w:val="0"/>
          <w:kern w:val="2"/>
          <w:sz w:val="22"/>
          <w:szCs w:val="28"/>
          <w:lang w:val="en-US" w:eastAsia="zh-CN" w:bidi="ar-SA"/>
        </w:rPr>
      </w:pPr>
      <w:r>
        <w:rPr>
          <w:rFonts w:hint="eastAsia"/>
          <w:sz w:val="22"/>
          <w:szCs w:val="28"/>
          <w:lang w:val="en-US" w:eastAsia="zh-CN"/>
        </w:rPr>
        <w:t>假设参数</w:t>
      </w:r>
      <m:oMath>
        <m:r>
          <m:rPr/>
          <w:rPr>
            <w:rFonts w:hint="default" w:ascii="Cambria Math" w:hAnsi="Cambria Math" w:cstheme="minorBidi"/>
            <w:kern w:val="2"/>
            <w:sz w:val="22"/>
            <w:szCs w:val="28"/>
            <w:lang w:val="en-US" w:eastAsia="zh-CN" w:bidi="ar-SA"/>
          </w:rPr>
          <m:t>t</m:t>
        </m:r>
        <m:r>
          <m:rPr/>
          <w:rPr>
            <w:rFonts w:hint="default" w:ascii="Cambria Math" w:hAnsi="Cambria Math" w:cs="Cambria Math"/>
            <w:kern w:val="2"/>
            <w:sz w:val="22"/>
            <w:szCs w:val="28"/>
            <w:lang w:val="en-US" w:eastAsia="zh-CN" w:bidi="ar-SA"/>
          </w:rPr>
          <m:t>∈</m:t>
        </m:r>
        <m:r>
          <m:rPr/>
          <w:rPr>
            <w:rFonts w:hint="default" w:ascii="Cambria Math" w:hAnsi="Cambria Math" w:cstheme="minorBidi"/>
            <w:kern w:val="2"/>
            <w:sz w:val="22"/>
            <w:szCs w:val="28"/>
            <w:lang w:val="en-US" w:eastAsia="zh-CN" w:bidi="ar-SA"/>
          </w:rPr>
          <m:t>[0,1]</m:t>
        </m:r>
      </m:oMath>
      <w:r>
        <m:rPr/>
        <w:rPr>
          <w:rFonts w:hint="eastAsia" w:hAnsi="Cambria Math" w:cstheme="minorBidi"/>
          <w:i w:val="0"/>
          <w:kern w:val="2"/>
          <w:sz w:val="22"/>
          <w:szCs w:val="28"/>
          <w:lang w:val="en-US" w:eastAsia="zh-CN" w:bidi="ar-SA"/>
        </w:rPr>
        <w:t>。定义二维点</w:t>
      </w:r>
      <m:oMath>
        <m:r>
          <m:rPr/>
          <w:rPr>
            <w:rFonts w:hint="default" w:ascii="Cambria Math" w:hAnsi="Cambria Math" w:cstheme="minorBidi"/>
            <w:kern w:val="2"/>
            <w:sz w:val="22"/>
            <w:szCs w:val="28"/>
            <w:lang w:val="en-US" w:eastAsia="zh-CN" w:bidi="ar-SA"/>
          </w:rPr>
          <m:t>(x(t),y(t))</m:t>
        </m:r>
      </m:oMath>
      <w:r>
        <m:rPr/>
        <w:rPr>
          <w:rFonts w:hint="eastAsia" w:hAnsi="Cambria Math" w:cstheme="minorBidi"/>
          <w:i w:val="0"/>
          <w:kern w:val="2"/>
          <w:sz w:val="22"/>
          <w:szCs w:val="28"/>
          <w:lang w:val="en-US" w:eastAsia="zh-CN" w:bidi="ar-SA"/>
        </w:rPr>
        <w:t>。这样：</w:t>
      </w:r>
    </w:p>
    <w:p w14:paraId="2C05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m:rPr/>
        <w:rPr>
          <w:rFonts w:hint="eastAsia" w:hAnsi="Cambria Math" w:cstheme="minorBidi"/>
          <w:i w:val="0"/>
          <w:kern w:val="2"/>
          <w:sz w:val="22"/>
          <w:szCs w:val="28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inorBidi"/>
                  <w:i/>
                  <w:kern w:val="2"/>
                  <w:sz w:val="22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szCs w:val="28"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x(t)=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+t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2"/>
                      <w:szCs w:val="28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(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)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szCs w:val="28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y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(t)=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+t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2"/>
                      <w:szCs w:val="28"/>
                      <w:lang w:val="en-US" w:bidi="ar-SA"/>
                    </w:rPr>
                    <m:t>⋅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2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2"/>
                      <w:szCs w:val="28"/>
                      <w:lang w:val="en-US" w:eastAsia="zh-CN" w:bidi="ar-SA"/>
                    </w:rPr>
                    <m:t>)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theme="minorBidi"/>
                  <w:i/>
                  <w:kern w:val="2"/>
                  <w:sz w:val="22"/>
                  <w:szCs w:val="28"/>
                  <w:lang w:val="en-US" w:bidi="ar-SA"/>
                </w:rPr>
              </m:ctrlPr>
            </m:e>
          </m:d>
        </m:oMath>
      </m:oMathPara>
    </w:p>
    <w:p w14:paraId="33B0E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m:rPr/>
        <w:rPr>
          <w:rFonts w:hint="default" w:hAnsi="Cambria Math" w:cstheme="minorBidi"/>
          <w:i w:val="0"/>
          <w:kern w:val="2"/>
          <w:sz w:val="22"/>
          <w:szCs w:val="28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2"/>
          <w:szCs w:val="28"/>
          <w:lang w:val="en-US" w:eastAsia="zh-CN" w:bidi="ar-SA"/>
        </w:rPr>
        <w:t>当t值变化时,二维点会在这条直线上进行运动(其实这里勉强用到的重心坐标,可以变换)</w:t>
      </w:r>
    </w:p>
    <w:p w14:paraId="70D87E97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0.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.01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1630BCB2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);</w:t>
      </w:r>
    </w:p>
    <w:p w14:paraId="722E1F2B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);</w:t>
      </w:r>
    </w:p>
    <w:p w14:paraId="4162C74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framebuffer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40B5033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4C150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但是只要某一方(x或y)变化频率过高，就会导致锯齿过高，除非调整t的步长，所以淘汰</w:t>
      </w:r>
    </w:p>
    <w:p w14:paraId="7F77E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6985</wp:posOffset>
            </wp:positionV>
            <wp:extent cx="1097915" cy="1818640"/>
            <wp:effectExtent l="0" t="0" r="14605" b="1016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12E51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所以我们新增两个个判断，用来把太陡的线段让它</w:t>
      </w:r>
      <w:r>
        <w:rPr>
          <w:rFonts w:hint="default"/>
          <w:sz w:val="22"/>
          <w:szCs w:val="28"/>
          <w:lang w:val="en-US" w:eastAsia="zh-CN"/>
        </w:rPr>
        <w:t>”</w:t>
      </w:r>
      <w:r>
        <w:rPr>
          <w:rFonts w:hint="eastAsia"/>
          <w:sz w:val="22"/>
          <w:szCs w:val="28"/>
          <w:lang w:val="en-US" w:eastAsia="zh-CN"/>
        </w:rPr>
        <w:t>躺下来</w:t>
      </w:r>
      <w:r>
        <w:rPr>
          <w:rFonts w:hint="default"/>
          <w:sz w:val="22"/>
          <w:szCs w:val="28"/>
          <w:lang w:val="en-US" w:eastAsia="zh-CN"/>
        </w:rPr>
        <w:t>”</w:t>
      </w:r>
    </w:p>
    <w:p w14:paraId="443BF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优化一：</w:t>
      </w:r>
    </w:p>
    <w:p w14:paraId="26DA31D6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steep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6099177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steep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// 如果线段较陡，就转置图像</w:t>
      </w:r>
    </w:p>
    <w:p w14:paraId="133D5051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67B3AE83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49956A66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67ED36C1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5EAB805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// 交换 x 坐标</w:t>
      </w:r>
    </w:p>
    <w:p w14:paraId="42881858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// 同时交换对应的 y 坐标，保持线段不变</w:t>
      </w:r>
    </w:p>
    <w:p w14:paraId="174942CC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3D4187FA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</w:p>
    <w:p w14:paraId="41697645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66724073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//计算当前点占整条线段的比例</w:t>
      </w:r>
    </w:p>
    <w:p w14:paraId="5AF9BDA1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);</w:t>
      </w:r>
    </w:p>
    <w:p w14:paraId="3CFE739E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steep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// 如果之前转置过，就转置回来</w:t>
      </w:r>
    </w:p>
    <w:p w14:paraId="1857D374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framebuffer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4CDF00B6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else</w:t>
      </w:r>
    </w:p>
    <w:p w14:paraId="4EA9950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framebuffer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53B55F3E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04B673C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似乎好那么一点了，但是</w:t>
      </w:r>
      <w:r>
        <w:rPr>
          <w:rFonts w:hint="default"/>
          <w:sz w:val="22"/>
          <w:szCs w:val="28"/>
          <w:lang w:val="en-US" w:eastAsia="zh-CN"/>
        </w:rPr>
        <w:t>浮点数乘法和强制类型转换在底层非常消耗 CPU 性能，所以需要进一步优化</w:t>
      </w:r>
      <w:r>
        <w:rPr>
          <w:rFonts w:hint="eastAsia"/>
          <w:sz w:val="22"/>
          <w:szCs w:val="28"/>
          <w:lang w:val="en-US" w:eastAsia="zh-CN"/>
        </w:rPr>
        <w:t>(现代gpu没事，但是在以前的平台受限所以是这样的)</w:t>
      </w:r>
    </w:p>
    <w:p w14:paraId="6B2DB79F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/>
          <w:sz w:val="22"/>
          <w:szCs w:val="28"/>
          <w:lang w:val="en-US" w:eastAsia="zh-CN"/>
        </w:rPr>
      </w:pPr>
      <w:r>
        <w:drawing>
          <wp:inline distT="0" distB="0" distL="114300" distR="114300">
            <wp:extent cx="2027555" cy="2211070"/>
            <wp:effectExtent l="0" t="0" r="1460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A44E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br w:type="page"/>
      </w:r>
    </w:p>
    <w:p w14:paraId="3E0C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所以我们采用直线方程来进行计算</w:t>
      </w:r>
    </w:p>
    <w:p w14:paraId="39E90BB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D1F927A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//用来计算斜率</w:t>
      </w:r>
    </w:p>
    <w:p w14:paraId="21ED1CF5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6274FF9D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steep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// 如果之前转置过，就转置回来</w:t>
      </w:r>
    </w:p>
    <w:p w14:paraId="0DC89048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framebuffer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3B420EE6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else</w:t>
      </w:r>
    </w:p>
    <w:p w14:paraId="4C034928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framebuffer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7DE32DB3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6AF98222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BE57C70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ay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//决定走向，向下还是向上</w:t>
      </w:r>
    </w:p>
    <w:p w14:paraId="4CB46387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//把已经兑现的误差抵消掉，保留多扣除的部分。如果不减去1，error 会一直累加，越来越大，y 就会疯狂地 +1</w:t>
      </w:r>
    </w:p>
    <w:p w14:paraId="69554D2E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674BA52A">
      <w:pPr>
        <w:keepNext w:val="0"/>
        <w:keepLines w:val="0"/>
        <w:widowControl/>
        <w:suppressLineNumbers w:val="0"/>
        <w:shd w:val="clear" w:fill="F1F1F1" w:themeFill="background1" w:themeFillShade="F2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2CF674F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eastAsia"/>
          <w:sz w:val="22"/>
          <w:szCs w:val="28"/>
          <w:lang w:val="en-US" w:eastAsia="zh-CN"/>
        </w:rPr>
        <w:t>尽管如此还是有浮点运算，所以我们采用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u w:val="single"/>
          <w:shd w:val="clear" w:fill="FFFFFF"/>
          <w:lang w:val="en-US" w:eastAsia="zh-CN" w:bidi="ar"/>
        </w:rPr>
        <w:t>Bresenham 画线算法（或者叫全整数误差法）</w:t>
      </w:r>
    </w:p>
    <w:p w14:paraId="67E52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所以不难看出我们选择bresenham算法的目的就两个：1.降低锯齿感；2.提升性能</w:t>
      </w:r>
    </w:p>
    <w:p w14:paraId="02AB4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</w:p>
    <w:p w14:paraId="67F66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sz w:val="22"/>
          <w:szCs w:val="28"/>
          <w:lang w:val="en-US" w:eastAsia="zh-CN"/>
        </w:rPr>
      </w:pPr>
    </w:p>
    <w:p w14:paraId="6F125B22">
      <w:pPr>
        <w:pStyle w:val="4"/>
        <w:bidi w:val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 w14:paraId="7C657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100" w:hanging="1100" w:hangingChars="50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数据布局：顶点坐标Vec3、屏幕坐标ScreenVert(顶点映射到屏幕的位置)、顶点组、面组</w:t>
      </w:r>
    </w:p>
    <w:p w14:paraId="35160DD5">
      <w:pPr>
        <w:rPr>
          <w:rFonts w:hint="eastAsia"/>
          <w:sz w:val="22"/>
          <w:szCs w:val="28"/>
          <w:lang w:val="en-US" w:eastAsia="zh-CN"/>
        </w:rPr>
      </w:pPr>
    </w:p>
    <w:p w14:paraId="2356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320" w:hanging="1320" w:hangingChars="600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固有方法为：加载模型、获取顶点/三角形面的数量、按下标取顶点(下标是顶点索引)、按下标取面(三个顶点的位置索引)</w:t>
      </w:r>
    </w:p>
    <w:p w14:paraId="2F69FF7C">
      <w:pPr>
        <w:rPr>
          <w:rFonts w:hint="eastAsia"/>
          <w:sz w:val="22"/>
          <w:szCs w:val="28"/>
          <w:lang w:val="en-US" w:eastAsia="zh-CN"/>
        </w:rPr>
      </w:pPr>
    </w:p>
    <w:p w14:paraId="1FECB4C5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以上内容详见model.h和model.cpp</w:t>
      </w:r>
    </w:p>
    <w:p w14:paraId="09EF577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遇到过的问题</w:t>
      </w:r>
    </w:p>
    <w:p w14:paraId="416461D5">
      <w:pPr>
        <w:numPr>
          <w:ilvl w:val="0"/>
          <w:numId w:val="1"/>
        </w:num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在加载4边形obj模型出错，load无法识别——等做完整个tinyrender后进行扩展</w:t>
      </w:r>
    </w:p>
    <w:p w14:paraId="46AD2352"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076492"/>
    <w:multiLevelType w:val="singleLevel"/>
    <w:tmpl w:val="7F0764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078EF"/>
    <w:rsid w:val="071D7FA9"/>
    <w:rsid w:val="0A400C8E"/>
    <w:rsid w:val="41497B88"/>
    <w:rsid w:val="7B4C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901</Words>
  <Characters>1090</Characters>
  <Lines>0</Lines>
  <Paragraphs>0</Paragraphs>
  <TotalTime>161</TotalTime>
  <ScaleCrop>false</ScaleCrop>
  <LinksUpToDate>false</LinksUpToDate>
  <CharactersWithSpaces>1149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2026-10-28T01:44:00Z</dcterms:created>
  <dc:creator>qty</dc:creator>
  <cp:lastModifiedBy>乡下の狗</cp:lastModifiedBy>
  <dcterms:modified xsi:type="dcterms:W3CDTF">2026-10-29T03:43:59Z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eyJoZGlkIjoiNzJjNjUxMzgwMGVhZjA1ZjMwYzVhNDMwNDM5ZTM2OTYiLCJ1c2VySWQiOiIxMDYwOTMyMjYzIn0=</vt:lpwstr>
  </property>
  <property fmtid="{D5CDD505-2E9C-101B-9397-08002B2CF9AE}" pid="4" name="ICV">
    <vt:lpwstr>7BA174251C9C4110B228790F3456D67C_12</vt:lpwstr>
  </property>
</Properties>
</file>