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FinDocIQ — Table Extraction &amp; Query Database</w:t>
      </w:r>
    </w:p>
    <w:p>
      <w:pPr>
        <w:spacing w:after="40"/>
      </w:pPr>
      <w:r>
        <w:rPr>
          <w:color w:val="595959"/>
          <w:sz w:val="26"/>
          <w:szCs w:val="26"/>
        </w:rPr>
        <w:t xml:space="preserve">Architecture, Orchestration &amp; Implementation Plan</w:t>
      </w:r>
    </w:p>
    <w:p>
      <w:pPr>
        <w:spacing w:after="240"/>
      </w:pPr>
      <w:r>
        <w:rPr>
          <w:color w:val="595959"/>
          <w:sz w:val="20"/>
          <w:szCs w:val="20"/>
        </w:rPr>
        <w:t xml:space="preserve">Pillar 3 + financial statements · DBS / OCBC / UOB · all periods</w:t>
      </w:r>
    </w:p>
    <w:p>
      <w:pPr>
        <w:pBdr>
          <w:bottom w:val="single" w:color="1F3864" w:sz="6" w:space="1"/>
        </w:pBdr>
      </w:pPr>
    </w:p>
    <w:p>
      <w:pPr>
        <w:spacing w:after="80"/>
      </w:pPr>
    </w:p>
    <w:p>
      <w:pPr>
        <w:pStyle w:val="Heading1"/>
      </w:pPr>
      <w:r>
        <w:t xml:space="preserve">1. Goal</w:t>
      </w:r>
    </w:p>
    <w:p>
      <w:pPr>
        <w:spacing w:after="120"/>
      </w:pPr>
      <w:r>
        <w:rPr>
          <w:b/>
          <w:bCs/>
        </w:rPr>
        <w:t xml:space="preserve">Input: </w:t>
      </w:r>
      <w:r>
        <w:t xml:space="preserve">a regulatory PDF (one bank, one period). </w:t>
      </w:r>
      <w:r>
        <w:rPr>
          <w:b/>
          <w:bCs/>
        </w:rPr>
        <w:t xml:space="preserve">Output: </w:t>
      </w:r>
      <w:r>
        <w:t xml:space="preserve">every number stored in one queryable database, filterable by document type, table type, concept, geography, and period.</w:t>
      </w:r>
    </w:p>
    <w:p>
      <w:pPr>
        <w:spacing w:after="120"/>
      </w:pPr>
      <w:r>
        <w:rPr>
          <w:b/>
          <w:bCs/>
        </w:rPr>
        <w:t xml:space="preserve">Why: </w:t>
      </w:r>
      <w:r>
        <w:t xml:space="preserve">turn static disclosure tables into time-series data — compare any metric across banks and quarters in milliseconds, with an audit trail back to the source cell.</w:t>
      </w:r>
    </w:p>
    <w:p>
      <w:pPr>
        <w:pStyle w:val="Heading1"/>
      </w:pPr>
      <w:r>
        <w:t xml:space="preserve">2. Pipeline (5 stages)</w:t>
      </w:r>
    </w:p>
    <w:p>
      <w:pPr>
        <w:spacing w:after="120"/>
      </w:pPr>
      <w:r>
        <w:t xml:space="preserve">Each stage is independently testable. Only Stage 2 calls the AI model.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400"/>
        <w:gridCol w:w="8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Slice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 PDF to one page / one table. Enforces page-by-page input.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Extract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returns an HTML table: headers + grid + colspan (merge) + shading + dashes + row level.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Enrich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Deterministic: derive col_id/row_id; derive row_parent (nearest level−1 above; secondary cues for flush-left parents); look up concept_key &amp; geo_key.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Reconcile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 table type and rows to stored templates. Auto-match known; queue the rest.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Load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into the star schema, parents before children.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Key principle: </w:t>
      </w:r>
      <w:r>
        <w:t xml:space="preserve">the prompt only contains instructions for things that need eyes — headers, merges, shading, dashes, indentation level. Everything derivable (col/row ids, parents, concept names, geography) is computed afterward. Short prompt, reliable structure.</w:t>
      </w:r>
    </w:p>
    <w:p>
      <w:r>
        <w:br w:type="page"/>
      </w:r>
    </w:p>
    <w:p>
      <w:pPr>
        <w:pStyle w:val="Heading1"/>
      </w:pPr>
      <w:r>
        <w:t xml:space="preserve">3. Database schema</w:t>
      </w:r>
    </w:p>
    <w:p>
      <w:pPr>
        <w:spacing w:after="120"/>
      </w:pPr>
      <w:r>
        <w:t xml:space="preserve">Star schema: one fact table holds every cell; dimension tables describe rows, columns, tables, documents. Reference tables hold canonical mappings.</w:t>
      </w:r>
    </w:p>
    <w:p>
      <w:pPr>
        <w:pStyle w:val="Heading2"/>
      </w:pPr>
      <w:r>
        <w:t xml:space="preserve">3.1 Core tables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49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source PDF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doc_id, institution, doc_family, source_file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document section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section_id, section_no ('12.3.1'), section_level, parent_section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table_t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disclosure 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table_id, table_type, section_id, period, geo_key, page_range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col_dim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column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col_id, col_hierarchy, col_parent, leaf_label, geo_key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row_dim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row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row_id, row_hierarchy, row_parent, label, concept_key, geo_key, line_no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cell_fact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cell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row_id, col_id, colspan, value_raw, value_num, cell_state, is_shade, concept_key, geo_key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Reference tables (curated once)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geo_dim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geography codes + region rollup hierarchy (SG → ASEAN → Asia)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concept_map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verbatim label → concept_key, per table_type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geo_map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verbatim label → geo_key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row_template / col_template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structure per table_type (NSFR's 34 rows), stored once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Design rules</w:t>
      </w:r>
    </w:p>
    <w:p>
      <w:pPr>
        <w:pStyle w:val="ListParagraph"/>
        <w:numPr>
          <w:ilvl w:val="0"/>
          <w:numId w:val="2"/>
        </w:numPr>
        <w:spacing w:after="60"/>
      </w:pPr>
      <w:r>
        <w:t>cell_state = empty | reported | zero | null | suppressed. empty = blank; reported = any printed number; zero = a printed 0; null = a printed dash '-'; suppressed = the '#' sentinel (|amount| &lt; S$0.5m, magnitude WITHHELD, value_num always NULL). '#' is a DOCUMENT-WIDE token rule, applied in the same normalisation pass as '-' and '0' — not section-scoped, and NOT folded into reported (reported must always carry a parseable number).</w:t>
      </w:r>
    </w:p>
    <w:p>
      <w:pPr>
        <w:pStyle w:val="ListParagraph"/>
        <w:numPr>
          <w:ilvl w:val="0"/>
          <w:numId w:val="2"/>
        </w:numPr>
        <w:spacing w:after="60"/>
      </w:pPr>
      <w:r>
        <w:t>is_shade is a SEPARATE boolean (orthogonal to cell_state): a cell can be shaded AND hold any of the five states — e.g. shaded + dash = null with is_shade=1.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Merges </w:t>
      </w:r>
      <w:r>
        <w:t xml:space="preserve">= anchor col_id + colspan. Reverse-resolve with the half-open range [col, col+colspan). Normal cell colspan = 1.</w:t>
      </w:r>
    </w:p>
    <w:p>
      <w:pPr>
        <w:pStyle w:val="ListParagraph"/>
        <w:numPr>
          <w:ilvl w:val="0"/>
          <w:numId w:val="2"/>
        </w:numPr>
        <w:spacing w:after="60"/>
      </w:pPr>
      <w:r>
        <w:t>period precedence (most-specific axis wins): col_dim.col_period &gt; table_t.period &gt; document.doc_period. Resolved per cell at load and denormalised onto cell_fact.period — NEVER NULL. Period sits in the column axis whenever a table shows side-by-side dates (Dec25 | Dec24, the 5-period Key Metrics strip); there each cell's period comes from its column. table_t.period may be NULL only if every leaf column carries a period; otherwise it is the table-level label taken from the table title (else the document date). Every table must resolve to &gt;=1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concept_key / geo_key </w:t>
      </w:r>
      <w:r>
        <w:t xml:space="preserve">are assigned (canonical), not transcribed. Denormalised onto cell_fact for fast filtering.</w:t>
      </w:r>
    </w:p>
    <w:p>
      <w:pPr>
        <w:pStyle w:val="ListParagraph"/>
        <w:numPr>
          <w:ilvl w:val="0"/>
          <w:numId w:val="2"/>
        </w:numPr>
        <w:spacing w:after="60"/>
      </w:pPr>
      <w:r>
        <w:t>Hierarchy (row_parent, col_parent, geo parent) uses an adjacency list — same pattern on every axis. Hierarchy is STRUCTURAL, not summational: a section header and its items are parent/child without the parent being the sum of children. A total row is just a leaf row whose concept_key/unit marks it as a total — there is no is_total column, and 'parent = sum(children)' is never enforced. Columns are never additive: col_parent is geometry only (visual grouping under a span header), carrying no arithmetic.</w:t>
      </w:r>
    </w:p>
    <w:p>
      <w:r>
        <w:br w:type="page"/>
      </w:r>
    </w:p>
    <w:p>
      <w:pPr>
        <w:pStyle w:val="Heading1"/>
      </w:pPr>
      <w:r>
        <w:t>3.4 v5 schema changes (from the UOB 4Q25 corpus)</w:t>
      </w:r>
    </w:p>
    <w:p>
      <w:pPr>
        <w:pStyle w:val="ListParagraph"/>
      </w:pPr>
      <w:r>
        <w:t>cell_state gains a fifth value, suppressed, for the '#' sentinel — see 3.3. value_raw stays permissive (already holds text, e.g. instrument-feature sheets); cell_state stays precise so SUMs know what they are summing.</w:t>
      </w:r>
    </w:p>
    <w:p>
      <w:pPr>
        <w:pStyle w:val="ListParagraph"/>
      </w:pPr>
      <w:r>
        <w:t>col_dim gains an optional col_period; document gains doc_period (last-resort fallback); table_t.period becomes nullable. cell_fact gains a resolved, denormalised period (never NULL). The old 'period lives ONLY on table_t' contract is replaced by the precedence rule in 3.3.</w:t>
      </w:r>
    </w:p>
    <w:p>
      <w:pPr>
        <w:pStyle w:val="ListParagraph"/>
      </w:pPr>
      <w:r>
        <w:t>New view v_cell_sumsafe: only reported cells with a parseable number (drops empty/null/suppressed). Sum over this. If its row count is below v_cell_leaf for the same slice, the total is a LOWER BOUND (suppressed cells present) and analytics must say so.</w:t>
      </w:r>
    </w:p>
    <w:p>
      <w:pPr>
        <w:pStyle w:val="ListParagraph"/>
      </w:pPr>
      <w:r>
        <w:t>No is_total column — total-ness is carried by the assigned concept_key/unit, gated at query time. v_cell_leaf still excludes section headers as a double-count convenience, not as an enforced parent=sum check.</w:t>
      </w:r>
    </w:p>
    <w:p>
      <w:pPr>
        <w:pStyle w:val="ListParagraph"/>
      </w:pPr>
      <w:r>
        <w:t>Analytics rules to honour downstream (full list in schema NOTES): resolve period via cell_fact.period not table_t.period; composite row identity (portfolio, PD-range) for IRBA tables — a bare PD band is not a concept; FIRB vs AIRB are different table_types; risk-weight matrix columns (12.9) are label strings not a typed dimension; category columns in linkage tables (11.1) are non-additive; rating-agency and headcount/ratio/% cells carry non-monetary units and must be filtered out of S$m sums; text-only feature tables (5.2) are excluded from concept reconciliation by default.</w:t>
      </w:r>
    </w:p>
    <w:p>
      <w:pPr>
        <w:pStyle w:val="Heading1"/>
      </w:pPr>
      <w:r>
        <w:t xml:space="preserve">4. Two design concepts that make it scale</w:t>
      </w:r>
    </w:p>
    <w:p>
      <w:pPr>
        <w:pStyle w:val="Heading2"/>
      </w:pPr>
      <w:r>
        <w:t xml:space="preserve">4.1 Template vs instance</w:t>
      </w:r>
    </w:p>
    <w:p>
      <w:pPr>
        <w:spacing w:after="120"/>
      </w:pPr>
      <w:r>
        <w:t xml:space="preserve">Fixed templates (NSFR, LCR) store row/column structure ONCE per table_type. Each period loads only cell values referencing the shared template — no re-creating rows every quarter.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Seen template </w:t>
      </w:r>
      <w:r>
        <w:t xml:space="preserve">→ reuse stored rows; extraction aligns values to them. Time series is trivial because periods share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table type </w:t>
      </w:r>
      <w:r>
        <w:t xml:space="preserve">→ create the template once, then every future period reuses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 is a superset </w:t>
      </w:r>
      <w:r>
        <w:t xml:space="preserve">with valid_from / valid_to + applicability — it grows by accretion when a new row genuinely appears (MAS adds a line; a bank reports extra granularity).</w:t>
      </w:r>
    </w:p>
    <w:p>
      <w:pPr>
        <w:pStyle w:val="Heading2"/>
      </w:pPr>
      <w:r>
        <w:t xml:space="preserve">4.2 Concept identity &amp; the review loop</w:t>
      </w:r>
    </w:p>
    <w:p>
      <w:pPr>
        <w:spacing w:after="120"/>
      </w:pPr>
      <w:r>
        <w:t xml:space="preserve">concept_key is the only field not read from the PDF. Labels drift across periods (punctuation, abbreviations, renumbering), so matching is by normalised label / similarity, not exact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Exact / high match </w:t>
      </w:r>
      <w:r>
        <w:t xml:space="preserve">→ auto-assign, loads silently.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70–90% match </w:t>
      </w:r>
      <w:r>
        <w:t xml:space="preserve">→ review queue; a human confirms.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decision feeds back </w:t>
      </w:r>
      <w:r>
        <w:t xml:space="preserve">into concept_map — the same label never needs review twice. The queue shrinks toward zero for stable templates.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Reviewer's three actions: </w:t>
      </w:r>
      <w:r>
        <w:t xml:space="preserve">Same (map to existing row) · New (add a template row) · Split (replace one row with child rows).</w:t>
      </w:r>
    </w:p>
    <w:p>
      <w:r>
        <w:br w:type="page"/>
      </w:r>
    </w:p>
    <w:p>
      <w:pPr>
        <w:pStyle w:val="Heading1"/>
      </w:pPr>
      <w:r>
        <w:t xml:space="preserve">5. Document orchestration</w:t>
      </w:r>
    </w:p>
    <w:p>
      <w:pPr>
        <w:spacing w:after="120"/>
      </w:pPr>
      <w:r>
        <w:t xml:space="preserve">How the pieces sequence when the extractor is pointed at a full document. The only branch is how the table list is built; everything after is identical.</w:t>
      </w:r>
    </w:p>
    <w:p>
      <w:pPr>
        <w:pStyle w:val="Heading2"/>
      </w:pPr>
      <w:r>
        <w:t xml:space="preserve">5.1 Step 1 — Discover the tables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the table list is 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TOC (Pillar 3)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 the TOC deterministically → list of (title, page, section). Zero AI. Builds the section tree (parent = section_no trimmed: 12.3.1 to 12.3 to 12).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TOC (loose tables)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Cheap per-page vision pass: 'is there a table? what's its title?' (detect only, not full extract) → same (title, page) list. Skip pages with no table.</w:t>
            </w:r>
          </w:p>
        </w:tc>
      </w:tr>
    </w:tbl>
    <w:p>
      <w:pPr>
        <w:spacing w:after="120" w:before="60"/>
      </w:pPr>
      <w:r>
        <w:t xml:space="preserve">After this step both paths converge — downstream extraction does not care how a table was found. The no-TOC pass also flags likely continuations (same/again title, continuing row numbers) so Stage 5 can stitch.</w:t>
      </w:r>
    </w:p>
    <w:p>
      <w:pPr>
        <w:pStyle w:val="Heading2"/>
      </w:pPr>
      <w:r>
        <w:t xml:space="preserve">5.2 Step 2 — Populate document + table_t FIRST</w:t>
      </w:r>
    </w:p>
    <w:p>
      <w:pPr>
        <w:spacing w:after="120"/>
      </w:pPr>
      <w:r>
        <w:t xml:space="preserve">Write the document row, then one table_t row per discovered table (title, provisional table_type, page_range) BEFORE any extraction. This registers the full table manifest up front.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the whole document before spending API calls (e.g. 40 tables, 38 known, 2 new).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Resumable: if extraction fails on table 17, tables 1–16 are already loaded.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INSERT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INSERT table_t  (x N tables)   -- manifest, values come later</w:t>
            </w:r>
          </w:p>
        </w:tc>
      </w:tr>
    </w:tbl>
    <w:p>
      <w:pPr>
        <w:pStyle w:val="Heading2"/>
      </w:pPr>
      <w:r>
        <w:t xml:space="preserve">5.3 Step 3 — Per table: known vs new</w:t>
      </w:r>
    </w:p>
    <w:p>
      <w:pPr>
        <w:spacing w:after="120"/>
      </w:pPr>
      <w:r>
        <w:t xml:space="preserve">Match each table's title (then structural fingerprint as fallback) against known table_types.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Known (has a template)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2 (aligned extract) → reconcile rows to template → auto-load matches, queue drift. Mostly no human.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(no template)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1 (blind extract) → build col_dim + row_dim → review once → becomes a known template.</w:t>
            </w:r>
          </w:p>
        </w:tc>
      </w:tr>
    </w:tbl>
    <w:p>
      <w:pPr>
        <w:pStyle w:val="Heading2"/>
      </w:pPr>
      <w:r>
        <w:t xml:space="preserve">5.4 Step 4 — Per table: extract → load (parents before children)</w:t>
      </w:r>
    </w:p>
    <w:p>
      <w:pPr>
        <w:spacing w:after="120"/>
      </w:pPr>
      <w:r>
        <w:t xml:space="preserve">Run the chosen prompt page-by-page, stitch continuations, then load in FK-safe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each table: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extract page(s)  -&gt; HTML  (stitch continuations: rows climb, no new header)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NEW type:  INSERT col_dim ; INSERT row_dim    -- build structure once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KNOWN:     reuse template rows/cols           -- no structure insert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INSERT cell_fact   (values; col_id from position, colspan from attribute)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validate: each data row's tds + colspans = column count</w:t>
            </w:r>
          </w:p>
        </w:tc>
      </w:tr>
    </w:tbl>
    <w:p>
      <w:pPr>
        <w:spacing w:before="60"/>
      </w:pPr>
      <w:r>
        <w:rPr>
          <w:b/>
          <w:bCs/>
        </w:rPr>
        <w:t xml:space="preserve">Populate order overall: </w:t>
      </w:r>
      <w:r>
        <w:t xml:space="preserve">document → table_t (all) → per table { col_dim, row_dim } → cell_fact. Parents always exist before children.</w:t>
      </w:r>
    </w:p>
    <w:p>
      <w:pPr>
        <w:pStyle w:val="Heading2"/>
      </w:pPr>
      <w:r>
        <w:t xml:space="preserve">5.4a Extraction strategy — one-prompt two-step, chunked by output size</w:t>
      </w:r>
    </w:p>
    <w:p>
      <w:pPr>
        <w:spacing w:after="120"/>
      </w:pPr>
      <w:r>
        <w:t xml:space="preserve">How many tables one Gemini call handles. The risk is a page with MANY tables (e.g. section 12.9: 14 asset-class blocks × 2 periods on 4 pages): a bare 'extract the table' prompt makes Gemini pick the most salient one and silently drop the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 — one prompt, two internal steps: </w:t>
      </w:r>
      <w:r>
        <w:t xml:space="preserve">the prompt tells Gemini to FIRST enumerate every table/block on the region, THEN emit each as its own &lt;table&gt;. Enumeration and extraction see the same image, so scope can't drift. Best for pages with a few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Bound by output tokens: </w:t>
      </w:r>
      <w:r>
        <w:t xml:space="preserve">all tables in one response can exceed max_output_tokens and truncate mid-table — a silent omission. So the one-prompt call is run PER CHUNK, sized so its output fits (e.g. ~5 blocks at a time for 12.9), then stitched.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Cheap count/size probe routes it: </w:t>
      </w:r>
      <w:r>
        <w:t xml:space="preserve">a lightweight detect-only pass ('how many distinct tables on this region, roughly how big?') sets the chunk boundaries — whole page if small, split if large. This replaces the heavy full OBSERVE pass for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Period pinned at slice time: </w:t>
      </w:r>
      <w:r>
        <w:t xml:space="preserve">'As at 31 Dec 2025' / 'As at 30 Jun 2025' are section sub-headers — the slicer stamps each block's period; Gemini never decides or omits it.</w:t>
      </w:r>
    </w:p>
    <w:p>
      <w:pPr>
        <w:spacing w:before="50"/>
      </w:pPr>
      <w:r>
        <w:rPr>
          <w:b/>
          <w:bCs/>
        </w:rPr>
        <w:t xml:space="preserve">Note: </w:t>
      </w:r>
      <w:r>
        <w:t xml:space="preserve">earlier guidance to drop the two-pass observe was right for SIMPLE single-table pages, wrong for multi-table sections. Observe survives as the cheap count/size probe; for large sections it also produces the checkpoint the completeness gate (5.6) reconciles against.</w:t>
      </w:r>
    </w:p>
    <w:p>
      <w:pPr>
        <w:pStyle w:val="Heading2"/>
      </w:pPr>
      <w:r>
        <w:t xml:space="preserve">5.6 Completeness gate (against silent omission)</w:t>
      </w:r>
    </w:p>
    <w:p>
      <w:pPr>
        <w:spacing w:after="120"/>
      </w:pPr>
      <w:r>
        <w:t xml:space="preserve">The failure no colspan/row-count validator can catch: a perfectly-transcribed extraction of the WRONG SCOPE (section 12.9 returned 1 of 14 blocks, from the wrong period, with no error). The extracted table is internally valid; only a count check against the source catches the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Block-count reconciliation: </w:t>
      </w:r>
      <w:r>
        <w:t xml:space="preserve">expected block/table count for the region (from the probe, the TOC, or the known template) must equal the extracted count. 1 found vs 14 expected → halt, route to review. Never load a short section silently.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Period coverage: </w:t>
      </w:r>
      <w:r>
        <w:t xml:space="preserve">each period the section advertises (Dec, Jun) must be represented. A missing period is a halt, not a pass.</w:t>
      </w:r>
    </w:p>
    <w:p>
      <w:pPr>
        <w:pStyle w:val="Heading2"/>
      </w:pPr>
      <w:r>
        <w:t xml:space="preserve">5.5 Enricher rules (deterministic clean-up after parsing)</w:t>
      </w:r>
    </w:p>
    <w:p>
      <w:pPr>
        <w:spacing w:after="120"/>
      </w:pPr>
      <w:r>
        <w:t xml:space="preserve">These fix things the PDF leaves implicit, in code rather than the prompt — so Gemini never has to invent text or classify meaning.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Parent from levels: </w:t>
      </w:r>
      <w:r>
        <w:t xml:space="preserve">row_parent = nearest row above at level−1. A no-value parent (e.g. 'Other operating expenses', data-level=1) adopts the indented rows beneath it. Normalise any legacy data-kind="section" to a level-1 no-value parent so the chain resolves either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Unlabelled total: </w:t>
      </w:r>
      <w:r>
        <w:t xml:space="preserve">a data-kind="total" row with a blank label inherits a synthesised label from the block it closes — 'Total of &lt;nearest parent above&gt;' (e.g. the 2,744 subtotal → 'Total Other operating expenses'). Never ask Gemini to invent the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flag is style-driven, so gate aggregation on unit: </w:t>
      </w:r>
      <w:r>
        <w:t xml:space="preserve">Gemini may mark a row data-kind="total" from its rule-line styling, not its meaning (e.g. 'Employees (number)'). Aggregation is gated by the row's unit/concept_key, not by data-kind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Non-monetary unit: </w:t>
      </w:r>
      <w:r>
        <w:t xml:space="preserve">tag headcount / ratio / percentage rows (label matches number|employees|ratio|%) with a non-SGD unit so they never sum into a S$m column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Per-section unit override: </w:t>
      </w:r>
      <w:r>
        <w:t xml:space="preserve">one table can span several units under a single header (OCBC FINANCIAL HIGHLIGHTS is S$m for Income Statement / Balance Sheet, but % for 'Key Financial Ratios (%)' and S$ for 'Earnings per share (S$)'). The enricher reads each data-level=1 section band's label and assigns its children's unit accordingly — overriding the table's default unit. Driven by the section label, not a per-row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Line-number suffix = variant of its base: </w:t>
      </w:r>
      <w:r>
        <w:t xml:space="preserve">a printed line number with a letter suffix (4a, 5a, 14a) is a variant/child of its base number (4, 5, 14). The parser uses the suffix as a hierarchy cue to set row_parent, since the indentation alone does not show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Drop reference-letter rows (safety net): </w:t>
      </w:r>
      <w:r>
        <w:t xml:space="preserve">even though the prompt says to skip them, the parser drops any header row whose non-empty cells are ALL single letters or bracketed single letters (a, (b)) before building col_dim — so Pillar-3 index letters never become columns. Guarded to spare real short headers: $m, %, year numbers are not single letters.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Only grey sets is_shade (safety net): </w:t>
      </w:r>
      <w:r>
        <w:t xml:space="preserve">the parser sets is_shade=1 ONLY for grey backgrounds (#D3D3D3 or near-grey); any other background-color (e.g. a fabricated red title bar) is treated as decorative and dropped. So Gemini inventing a colour never becomes a phantom shade flag — the prompt asks it not to, the parser guarantees it regardless.</w:t>
      </w:r>
    </w:p>
    <w:p>
      <w:r>
        <w:br w:type="page"/>
      </w:r>
    </w:p>
    <w:p>
      <w:pPr>
        <w:pStyle w:val="Heading1"/>
      </w:pPr>
      <w:r>
        <w:t xml:space="preserve">6. Review system (template maintenance)</w:t>
      </w:r>
    </w:p>
    <w:p>
      <w:pPr>
        <w:spacing w:after="120"/>
      </w:pPr>
      <w:r>
        <w:t xml:space="preserve">A human-in-the-loop reconciliation queue. SQL stores the queue and decisions; the application computes similarity.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(SQLite → Postgres)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review_queue, review_candidate, review_decision + audit trail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(FastAPI / Python)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fuzzy match scoring; 3 endpoints: list pending, get candidates, post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(simple web page)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 extracted label + ranked candidates; same / new / split buttons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Maintainability: </w:t>
      </w:r>
      <w:r>
        <w:t xml:space="preserve">keep it small. The queue is tiny once templates stabilise. Invest in the matcher, not the UI — a good matcher means 90%+ auto-match.</w:t>
      </w:r>
    </w:p>
    <w:p>
      <w:pPr>
        <w:pStyle w:val="Heading1"/>
      </w:pPr>
      <w:r>
        <w:t xml:space="preserve">7. Query capability (proven)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17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metric across all periods/banks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1.5M rows (full corpus)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ms (indexed)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Singapore (geo filter)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composed concept + geo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 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by doc type + table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whole database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 ms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Aggregation guard: </w:t>
      </w:r>
      <w:r>
        <w:t xml:space="preserve">sum one hierarchy level only (geo_level = country, or row_hierarchy ≥ 1) — never a parent plus its children. Views enforce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Engine: </w:t>
      </w:r>
      <w:r>
        <w:t xml:space="preserve">SQLite for the mock; Postgres / BigQuery past ~10M rows or for concurrent users.</w:t>
      </w:r>
    </w:p>
    <w:p>
      <w:r>
        <w:br w:type="page"/>
      </w:r>
    </w:p>
    <w:p>
      <w:pPr>
        <w:pStyle w:val="Heading1"/>
      </w:pPr>
      <w:r>
        <w:t xml:space="preserve">8. Status &amp; next steps</w:t>
      </w:r>
    </w:p>
    <w:p>
      <w:pPr>
        <w:pStyle w:val="Heading2"/>
      </w:pPr>
      <w:r>
        <w:t xml:space="preserve">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designed, loads clean, validated on real DBS NSFR (2 periods, merges, shading, deep nesting, two-level header).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Geography dimension + rollup + double-count guards proven.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speed benchmarked at corpus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Orchestration flow defined for TOC and no-TOC documents.</w:t>
      </w:r>
    </w:p>
    <w:p>
      <w:pPr>
        <w:pStyle w:val="Heading2"/>
      </w:pPr>
      <w:r>
        <w:t xml:space="preserve">To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Gemini on the HTML contract (manual eyeball via Excel-renderable HTML) — merges, shading, empties, header, levels.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Stage-2 prompt (core + modifiers) — see Appendix 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HTML → cell_fact loader: parse headers + grid, derive ids/parents, assign keys, 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Table-type + row reconciliation; route mismatches to review.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system: 3 tables + FastAPI + single-item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Template tables for NSFR, then LCR, then extend across Pillar 3.</w:t>
      </w:r>
    </w:p>
    <w:p>
      <w:pPr>
        <w:pStyle w:val="Heading2"/>
      </w:pPr>
      <w:r>
        <w:t xml:space="preserve">Open items to confirm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widths on edge rows (NSFR row 11/12) — eyeball vs source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Sparse vs dense storage of empty cells (currently dense).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cell_id type (integer for mock; UUID if parallel extraction runs).</w:t>
      </w:r>
    </w:p>
    <w:p>
      <w:r>
        <w:br w:type="page"/>
      </w:r>
    </w:p>
    <w:p>
      <w:pPr>
        <w:pStyle w:val="Heading1"/>
      </w:pPr>
      <w:r>
        <w:t xml:space="preserve">Appendix A — Stage-2 extraction prompts</w:t>
      </w:r>
    </w:p>
    <w:p>
      <w:pPr>
        <w:spacing w:after="120"/>
      </w:pPr>
      <w:r>
        <w:t xml:space="preserve">One stable CORE (the cell-level rules) shared by every table, plus THREE short framings (single / spanning / multiple) and a known-table modifier. The six document cases map onto these — see A.6. Kept deliberately short: an over-long prompt degrades extraction. Header is FLAT (group row with colspans + empty cells, leaf row with all leaf columns) — no rowspan.</w:t>
      </w:r>
    </w:p>
    <w:p>
      <w:pPr>
        <w:pStyle w:val="Heading2"/>
      </w:pPr>
      <w:r>
        <w:t xml:space="preserve">A.1 Core prompt (used for every table)</w:t>
      </w:r>
    </w:p>
    <w:p>
      <w:pPr>
        <w:spacing w:after="120"/>
      </w:pPr>
      <w:r>
        <w:t xml:space="preserve">This is the whole instruction set. The merge/shade rules below are the distilled, reliable form — Gemini identifies merges and shading far better when told to anchor on a logical grid and measure spans against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ONLY a valid HTML &lt;table border="1"&gt; with inline styles. No prose.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GRID ANCHOR: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First map the table to a logical grid, using fully-populated rows as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column anchors (they define where each column sits).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CONTEXT ROWS (top of &lt;thead&gt;, each a full-width &lt;th colspan="N"&gt;):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Emit any Page Title, Date, Currency, and Reporting Scope shown on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page (e.g. 'Group - All Currencies (S$m)') as leading header rows, 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context is preserved with the table.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COLUMN HEADERS (&lt;thead&gt;):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Group headers spanning several columns go in a row using colspan, with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empty &lt;th&gt;&lt;/th&gt; where there is no group. All leaf column names go in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single row below. No rowspan anywhere.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 row of bare single letters (a, b, c) or bracketed letters ((a), (b)) 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 reference-index row, NOT a header — skip it. Use the descriptive /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row as the column headers.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Apply background-color ONLY to cells genuinely shaded in the source.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Never add colour for emphasis (e.g. a coloured title bar that is plain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black text in the PDF).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ROWS (&lt;tbody&gt;) — mark each &lt;tr&gt;: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EVERY row gets data-level="L" = its indentation depth (1 = flush-left,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2 = indented sub-item, 3 = deeper). A parent row with NO values of 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own (its children sum to it) still gets its level — e.g. a flush-left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group label is data-level="1" with empty value cells.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Total / subtotal rows: add data-kind="total" (keep their data-level too).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Do not classify rows as 'section' vs 'parent' — only judge indentation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depth. The parent of each row is derived later from these levels.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MERGES (the common error):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One &lt;td&gt; per column. If a row has fewer values than columns, place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outer values in their anchor columns first; any value sitting in a wide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open gap between them is one &lt;td colspan="K"&gt; spanning that gap.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 blank gap with no dash and no border is part of the adjacent merged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cell, NOT a separate empty column. Never copy a neighbour's value into it.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SHADING: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Shaded cell -&gt; style="background-color:#D3D3D3;" (renders grey in Excel).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Keep its content (value, dash, or blank) unchanged.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Measure a shaded block's width against one anchor-column width: a one-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column shaded block must NOT absorb an adjacent unshaded empty column.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CELL STATE (content of each &lt;td&gt;, independent of shading):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Printed value -&gt; the value verbatim (commas, brackets, %, signs).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Printed 0     -&gt; 0.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Printed dash  -&gt; -.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Truly blank   -&gt; empty &lt;td&gt;&lt;/td&gt;.</w:t>
            </w:r>
          </w:p>
        </w:tc>
      </w:tr>
    </w:tbl>
    <w:p>
      <w:pPr>
        <w:spacing w:before="60"/>
      </w:pPr>
      <w:r>
        <w:rPr>
          <w:b/>
          <w:bCs/>
        </w:rPr>
        <w:t xml:space="preserve">Four content states + shade flag (how the loader reads each &lt;td&gt;): </w:t>
      </w:r>
      <w:r>
        <w:t xml:space="preserve">a value = reported · '0' = zero · '-' = null · blank = empty. The grey style sets is_shade=1 SEPARATELY, so a shaded dash is null + is_shade=1.</w:t>
      </w:r>
    </w:p>
    <w:p>
      <w:pPr>
        <w:spacing w:before="40"/>
      </w:pPr>
      <w:r>
        <w:rPr>
          <w:b/>
          <w:bCs/>
        </w:rPr>
        <w:t xml:space="preserve">Hierarchy is derived, not judged: </w:t>
      </w:r>
      <w:r>
        <w:t xml:space="preserve">Gemini outputs only data-level (indentation depth) — it never decides 'section vs parent'. The loader sets row_parent = nearest row above at level−1, so a no-value parent (e.g. 'Other operating expenses') correctly adopts the indented rows beneath it as children. For the rare flush-left parent (no indent gap), the loader falls back on secondary cues — a value-less row directly above a run of valued rows, or a bold / colon-terminated label — and routes anything still ambiguous to review.</w:t>
      </w:r>
    </w:p>
    <w:p>
      <w:pPr>
        <w:spacing w:before="40"/>
      </w:pPr>
      <w:r>
        <w:rPr>
          <w:b/>
          <w:bCs/>
        </w:rPr>
        <w:t xml:space="preserve">The core is shared by every framing below. </w:t>
      </w:r>
      <w:r>
        <w:t xml:space="preserve">The six document cases (Section 5) collapse to THREE framings — a short lead-in prepended to the core — because what really differs between cases is the deterministic routing/stitching code, not the prompt.</w:t>
      </w:r>
    </w:p>
    <w:p>
      <w:pPr>
        <w:pStyle w:val="Heading2"/>
      </w:pPr>
      <w:r>
        <w:t xml:space="preserve">A.2 Framing — SINGLE (cases 1 &amp; 2: one page)</w:t>
      </w:r>
    </w:p>
    <w:p>
      <w:pPr>
        <w:spacing w:after="120"/>
      </w:pPr>
      <w:r>
        <w:t xml:space="preserve">Prepended to the core for a single-page unit. Case 2 (several tables on the page) uses the same framing — Gemini just returns several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given PDF page P, section &lt;num&gt; '&lt;title&gt;'.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Extract EVERY table on this page. Each distinct table is a separate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&lt;table&gt;. A bold category label that shares the columns of the rows around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 is a section ROW, not a new table — do not split on it.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a table has no printed title, use the section heading as its title.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Ignore anything belonging to a different section number.</w:t>
            </w:r>
          </w:p>
        </w:tc>
      </w:tr>
    </w:tbl>
    <w:p>
      <w:pPr>
        <w:pStyle w:val="Heading2"/>
      </w:pPr>
      <w:r>
        <w:t xml:space="preserve">A.3 Framing — SPANNING (cases 3 &amp; 4: multi-page)</w:t>
      </w:r>
    </w:p>
    <w:p>
      <w:pPr>
        <w:spacing w:after="120"/>
      </w:pPr>
      <w:r>
        <w:t xml:space="preserve">Prepended for a unit covering a page range. Case 4 (several tables across the pages) uses the same framing plus chunking in code; the prev-chunk tables are carried forward by the loader, not the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given PDF pages P-Q, section &lt;num&gt; '&lt;title&gt;'.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table whose columns resume with NO new title/date/section heading is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SAME table continued — merge it, set continued_from_previous=true on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continuation. A new title or new columns = a separate table.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Different reporting dates = different tables (never merge two date blocks).</w:t>
            </w:r>
          </w:p>
        </w:tc>
      </w:tr>
    </w:tbl>
    <w:p>
      <w:pPr>
        <w:spacing w:before="50"/>
      </w:pPr>
      <w:r>
        <w:rPr>
          <w:b/>
          <w:bCs/>
        </w:rPr>
        <w:t xml:space="preserve">Continuation modifier (page 2+ within a spanning unit): </w:t>
      </w:r>
      <w:r>
        <w:t xml:space="preserve">on later chunks, also append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This chunk CONTINUES tables from the previous pages. If columns match with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 new heading, set continued_from_previous=true and emit ONLY the new rows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(no repeated header). A genuinely new table starts fresh.</w:t>
            </w:r>
          </w:p>
        </w:tc>
      </w:tr>
    </w:tbl>
    <w:p>
      <w:pPr>
        <w:pStyle w:val="Heading2"/>
      </w:pPr>
      <w:r>
        <w:t xml:space="preserve">A.4 Framing — MULTIPLE (cases 5 &amp; 6: several sections on one page)</w:t>
      </w:r>
    </w:p>
    <w:p>
      <w:pPr>
        <w:spacing w:after="120"/>
      </w:pPr>
      <w:r>
        <w:t xml:space="preserve">Prepended when one page carries tables from more than one section. Case 6 (several tables too) uses the same framing. After extraction, deterministic code routes each table to its section and drops boundary spill.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This page contains tables from MULTIPLE sections, in reading order: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&lt;num1&gt; '&lt;title1&gt;'; &lt;num2&gt; '&lt;title2&gt;';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 top-to-bottom. Tables after a section heading belong to THAT section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until the next heading. Set section_id on each table to its section number.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 NOT merge tables from different sections.</w:t>
            </w:r>
          </w:p>
        </w:tc>
      </w:tr>
    </w:tbl>
    <w:p>
      <w:pPr>
        <w:pStyle w:val="Heading2"/>
      </w:pPr>
      <w:r>
        <w:t xml:space="preserve">A.5 Modifier — Known table (orthogonal to framing)</w:t>
      </w:r>
    </w:p>
    <w:p>
      <w:pPr>
        <w:spacing w:after="120"/>
      </w:pPr>
      <w:r>
        <w:t xml:space="preserve">Appended to ANY framing when the table type is already known, so rows return in template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EXPECTED ROWS (known NSFR table), in order: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1. Capital:   2. Regulatory capital   3. Other capital instruments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... [full 34-label list] ...   34. Net Stable Funding Ratio (%)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Emit rows in this order where they appear. BUT: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 printed row NOT in the list -&gt; still emit it (do not force a match).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An expected row ABSENT -&gt; omit it (do not invent).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The list is guidance, not a form to fill.</w:t>
            </w:r>
          </w:p>
        </w:tc>
      </w:tr>
    </w:tbl>
    <w:p>
      <w:pPr>
        <w:spacing w:before="60"/>
      </w:pPr>
      <w:r>
        <w:rPr>
          <w:b/>
          <w:bCs/>
        </w:rPr>
        <w:t xml:space="preserve">Why the deviation rule matters: </w:t>
      </w:r>
      <w:r>
        <w:t xml:space="preserve">it keeps extraction honest and routes template drift (added / removed / relabelled rows) into the reconciliation review.</w:t>
      </w:r>
    </w:p>
    <w:p>
      <w:pPr>
        <w:pStyle w:val="Heading2"/>
      </w:pPr>
      <w:r>
        <w:t xml:space="preserve">A.6 The six cases — framing + code path</w:t>
      </w:r>
    </w:p>
    <w:p>
      <w:pPr>
        <w:spacing w:after="120"/>
      </w:pPr>
      <w:r>
        <w:t xml:space="preserve">Each case = the shared core + one framing + (sometimes) a modifier + a deterministic code path. The prompt differs only by framing; the rest is Python.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700"/>
        <w:gridCol w:w="3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 (sec / tbl / pg)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Deterministic code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· 1 / 1 /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1 / N /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(naming untitled tables)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· 1 / 1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SPANNING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stitch on continued flag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· 1 / N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SPANNING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chunk + carry prev tables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· N / 1 /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table→section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· N / N /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+ drop boundary spill</w:t>
            </w:r>
          </w:p>
        </w:tc>
      </w:tr>
    </w:tbl>
    <w:p>
      <w:pPr>
        <w:spacing w:before="60"/>
      </w:pPr>
      <w:r>
        <w:rPr>
          <w:b/>
          <w:bCs/>
        </w:rPr>
        <w:t xml:space="preserve">Known-table modifier (A.5) </w:t>
      </w:r>
      <w:r>
        <w:t xml:space="preserve">is independent — it can be added to any of the three framings whenever that table's type is already known.</w:t>
      </w:r>
    </w:p>
    <w:p>
      <w:pPr>
        <w:spacing w:before="40"/>
      </w:pPr>
      <w:r>
        <w:rPr>
          <w:b/>
          <w:bCs/>
        </w:rPr>
        <w:t xml:space="preserve">Build order: </w:t>
      </w:r>
      <w:r>
        <w:t xml:space="preserve">get the core + SINGLE framing reliable first (the 80% case); add SPANNING/MULTIPLE framings and their code paths once the base holds.</w:t>
      </w:r>
    </w:p>
    <w:p>
      <w:pPr>
        <w:spacing w:after="80"/>
      </w:pPr>
    </w:p>
    <w:p>
      <w:pPr>
        <w:pBdr>
          <w:top w:val="single" w:color="CCCCCC" w:sz="4" w:space="1"/>
        </w:pBdr>
        <w:spacing w:before="120"/>
      </w:pPr>
      <w:r>
        <w:rPr>
          <w:i/>
          <w:iCs/>
          <w:color w:val="595959"/>
          <w:sz w:val="18"/>
          <w:szCs w:val="18"/>
        </w:rPr>
        <w:t xml:space="preserve">Draft plan — FinDocIQ table extraction database. For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4A7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2026-06-26T03:39:27.589Z</dcterms:created>
  <dcterms:modified xsi:type="dcterms:W3CDTF">2026-06-26T03:39:27.601Z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