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line="506" w:lineRule="atLeast"/>
        <w:jc w:val="center"/>
      </w:pPr>
      <w:r>
        <w:rPr>
          <w:rFonts w:ascii="Times New Roman" w:eastAsia="SimHei"/>
          <w:b/>
          <w:bCs/>
          <w:color w:val="000000"/>
          <w:sz w:val="40"/>
          <w:szCs w:val="40"/>
        </w:rPr>
        <w:t xml:space="preserve">基于分层双路径秩融合与最优传输的蛋白质功能预测方法</w:t>
      </w:r>
    </w:p>
    <w:p>
      <w:pPr>
        <w:spacing w:after="180" w:line="345" w:lineRule="atLeast"/>
        <w:jc w:val="center"/>
      </w:pPr>
      <w:r>
        <w:rPr>
          <w:rFonts w:ascii="Times New Roman"/>
          <w:i/>
          <w:iCs/>
          <w:color w:val="222222"/>
          <w:sz w:val="24"/>
          <w:szCs w:val="24"/>
        </w:rPr>
        <w:t xml:space="preserve">HDMR-Sinkhorn: A Hierarchical Dual-Path Framework with Rank Fusion and Optimal Transport Regularization for Sequence-Based Protein Function Prediction</w:t>
      </w:r>
    </w:p>
    <w:p>
      <w:pPr>
        <w:spacing w:after="50" w:before="100" w:line="360"/>
        <w:jc w:val="center"/>
      </w:pPr>
      <w:r>
        <w:rPr>
          <w:rFonts w:ascii="Times New Roman" w:eastAsia="SimSun"/>
          <w:color w:val="000000"/>
          <w:sz w:val="26"/>
          <w:szCs w:val="26"/>
        </w:rPr>
        <w:t xml:space="preserve">【作者姓名】</w:t>
      </w:r>
    </w:p>
    <w:p>
      <w:pPr>
        <w:spacing w:after="240" w:line="360"/>
        <w:jc w:val="center"/>
      </w:pPr>
      <w:r>
        <w:rPr>
          <w:rFonts w:ascii="Times New Roman" w:eastAsia="SimSun"/>
          <w:color w:val="333333"/>
          <w:sz w:val="22"/>
          <w:szCs w:val="22"/>
        </w:rPr>
        <w:t xml:space="preserve">（【单位全称，实验室或学院名称】，【城市】 【邮编】）</w:t>
      </w:r>
    </w:p>
    <w:p>
      <w:pPr>
        <w:spacing w:after="90" w:before="160" w:line="360"/>
        <w:jc w:val="left"/>
      </w:pPr>
      <w:r>
        <w:rPr>
          <w:rFonts w:ascii="Times New Roman" w:eastAsia="SimHei"/>
          <w:b/>
          <w:bCs/>
          <w:color w:val="000000"/>
          <w:sz w:val="28"/>
          <w:szCs w:val="28"/>
        </w:rPr>
        <w:t xml:space="preserve">摘　要</w:t>
      </w:r>
    </w:p>
    <w:p>
      <w:pPr>
        <w:spacing w:after="0" w:before="0" w:line="360"/>
        <w:ind w:firstLine="560"/>
        <w:jc w:val="both"/>
      </w:pPr>
      <w:r>
        <w:rPr>
          <w:rFonts w:ascii="Times New Roman" w:eastAsia="SimSun"/>
          <w:color w:val="000000"/>
          <w:sz w:val="28"/>
          <w:szCs w:val="28"/>
        </w:rPr>
        <w:t xml:space="preserve">从一级氨基酸序列高精度推断蛋白质生物学功能是计算生物学与结构生物信息学的核心基石。在基因本体层级结构未知、功能标签高度匿名化且呈现极端长尾偏斜的严苛设定下，传统单纯依赖局部对齐的同源转移方法在无近缘命中（Homology-Miss）的孤儿序列子集上极易发生表征断裂；而端到端深度学习模型在近缘样本上的判别锐度又显著落后于高精度比对工具。针对异构表征尺度的量纲失配与极端长尾标签分布失衡难题，本文提出了分层双路径多尺度秩融合与双边际最优传输网络（HDMR-Sinkhorn）。该架构解耦特征抽取为双路径结构：在序列侧，由多尺度膨胀残差卷积（Dilated Residual CNN）、类别特异性残基注意力（CSRA）与旋转位置编码 Transformer（RoFormer）构成深度序列感知分支；在同源侧，结合自适应敏感度 DIAMOND 比对与多尺度 k-mer 频数流形构成进化邻域转移分支。在表征融合阶段，提出无参数互惠秩融合（Reciprocal Rank Fusion, RRF）机制消除不同模型输出在数值绝对幅度上的刻度失配；在决策推断阶段，引入样本预期激活基数与全局标签先验频率的双边际约束，利用熵正则化 Sinkhorn 最优传输算法实现全局频数对齐，并辅以逐标签自适应决策阈值推断。在包含 113,796 条序列及 500 个匿名功能标签的大规模评测基准上的严格交叉验证表明，HDMR-Sinkhorn 取得了 0.4453 的宏平均 F1 分数与 0.8609 的宏平均 ROC-AUC，并在实际双盲评测集上锁定 45.7665 的优异表现。消融实验证实，该框架在保持近缘同源命中子集优异精度的同时，将无命中孤儿蛋白子集的 F1 相对提升了 31.9%，为仅依赖单序列的高通量蛋白质自动化功能注释提供了兼具鲁棒性与理论保障的全新范式。</w:t>
      </w:r>
    </w:p>
    <w:p>
      <w:pPr>
        <w:spacing w:after="200" w:before="120" w:line="360"/>
      </w:pPr>
      <w:r>
        <w:rPr>
          <w:rFonts w:ascii="Times New Roman" w:eastAsia="SimHei"/>
          <w:b/>
          <w:bCs/>
          <w:color w:val="000000"/>
          <w:sz w:val="28"/>
          <w:szCs w:val="28"/>
        </w:rPr>
        <w:t xml:space="preserve">关键词：</w:t>
      </w:r>
      <w:r>
        <w:rPr>
          <w:rFonts w:ascii="Times New Roman" w:eastAsia="SimSun"/>
          <w:color w:val="000000"/>
          <w:sz w:val="28"/>
          <w:szCs w:val="28"/>
        </w:rPr>
        <w:t xml:space="preserve">蛋白质功能预测；多标签分类；多尺度膨胀卷积；互惠秩融合；最优传输；Sinkhorn-Knopp 算法</w:t>
      </w:r>
    </w:p>
    <w:p>
      <w:pPr>
        <w:spacing w:after="90" w:before="180" w:line="360"/>
        <w:jc w:val="left"/>
      </w:pPr>
      <w:r>
        <w:rPr>
          <w:rFonts w:ascii="Times New Roman"/>
          <w:b/>
          <w:bCs/>
          <w:sz w:val="28"/>
          <w:szCs w:val="28"/>
        </w:rPr>
        <w:t xml:space="preserve">Abstract</w:t>
      </w:r>
    </w:p>
    <w:p>
      <w:pPr>
        <w:spacing w:line="360"/>
        <w:ind w:firstLine="560"/>
        <w:jc w:val="both"/>
      </w:pPr>
      <w:r>
        <w:rPr>
          <w:rFonts w:ascii="Times New Roman" w:eastAsia="SimSun"/>
          <w:color w:val="000000"/>
          <w:sz w:val="28"/>
          <w:szCs w:val="28"/>
        </w:rPr>
        <w:t xml:space="preserve">High-accuracy inference of protein biological functions directly from primary amino acid sequences represents a cornerstone of computational biology and structural bioinformatics. Under constrained regimes where Gene Ontology (GO) hierarchical Directed Acyclic Graphs (DAG) and text descriptions are unavailable, classical homology-based transfer suffers from acute representation degradation on homology-miss orphan sequences, whereas pure sequence-based deep networks struggle to match the sharp discriminant sensitivity of sequence alignment on close homologs. To resolve the dimensional calibration discrepancies and extreme long-tail label imbalance between heterogeneous evidence sources, we present HDMR-Sinkhorn, a Hierarchical Dual-path Multi-scale Rank-fusion network regularized by dual-marginal optimal transport. The architecture decouples feature representation into two complementary paths: a deep sequence learning path synthesizing multi-scale dilated residual 1D CNNs, Class-Specific Residual Attention (CSRA), and RoFormer with rotary position embeddings; and an evolutionary manifold path integrating adaptive DIAMOND local alignment with multi-scale k-mer profiles. In the feature aggregation stage, we propose a non-parametric Reciprocal Rank Fusion (RRF) mechanism to eliminate calibration scale discrepancies and achieve optimal ordinal alignment. In the post-processing stage, we formalize label assignment as an entropy-regularized optimal transport problem subject to instance-level predicted cardinalities and global label prior frequencies, solved efficiently via Sinkhorn-Knopp iterations. Rigorous cross-validation on a benchmark of 113,796 sequences across 500 anonymous functional labels demonstrates that HDMR-Sinkhorn achieves a Macro F1 of 0.4453 and a Macro ROC-AUC of 0.8609, establishing a leading score of 45.7665 on the blinded evaluation platform. Ablation studies confirm that while maintaining state-of-the-art precision on homology-hit sequences, HDMR-Sinkhorn achieves a 31.9% relative F1 gain on isolated homology-miss proteins, providing a principled paradigm for sequence-only protein functional annotation.</w:t>
      </w:r>
    </w:p>
    <w:p>
      <w:pPr>
        <w:spacing w:after="280" w:before="120" w:line="360"/>
      </w:pPr>
      <w:r>
        <w:rPr>
          <w:rFonts w:ascii="Times New Roman"/>
          <w:b/>
          <w:bCs/>
          <w:sz w:val="28"/>
          <w:szCs w:val="28"/>
        </w:rPr>
        <w:t xml:space="preserve">Keywords: </w:t>
      </w:r>
      <w:r>
        <w:rPr>
          <w:rFonts w:ascii="Times New Roman" w:eastAsia="SimSun"/>
          <w:color w:val="000000"/>
          <w:sz w:val="28"/>
          <w:szCs w:val="28"/>
        </w:rPr>
        <w:t xml:space="preserve">Protein function prediction; Multi-label learning; Dilated residual CNN; Reciprocal rank fusion; Optimal transport; Sinkhorn-Knopp algorithm</w:t>
      </w:r>
    </w:p>
    <w:p>
      <w:pPr>
        <w:sectPr>
          <w:headerReference w:type="default" r:id="rId7"/>
          <w:footerReference w:type="default" r:id="rId8"/>
          <w:pgSz w:w="11906" w:h="16838" w:orient="portrait"/>
          <w:pgMar w:top="1440" w:right="1417" w:bottom="1440" w:left="1701" w:header="850" w:footer="992" w:gutter="0"/>
          <w:pgNumType w:start="1" w:fmt="upperRoman"/>
          <w:docGrid w:linePitch="360"/>
        </w:sectPr>
      </w:pPr>
    </w:p>
    <w:p>
      <w:pPr>
        <w:spacing w:after="200" w:before="160"/>
        <w:jc w:val="center"/>
      </w:pPr>
      <w:r>
        <w:rPr>
          <w:rFonts w:ascii="Times New Roman" w:eastAsia="SimHei"/>
          <w:b/>
          <w:bCs/>
          <w:color w:val="000000"/>
          <w:sz w:val="30"/>
          <w:szCs w:val="30"/>
        </w:rPr>
        <w:t xml:space="preserve">目　录</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引言</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2　数据集探索性分析与特性分布</w:t>
            </w:r>
            <w:r>
              <w:tab/>
            </w:r>
            <w:r>
              <w:fldChar w:fldCharType="begin"/>
            </w:r>
            <w:r>
              <w:instrText xml:space="preserve"> PAGEREF _Toc100001 \h </w:instrText>
            </w:r>
            <w:r>
              <w:fldChar w:fldCharType="separate"/>
            </w:r>
            <w:r>
              <w:t>4</w:t>
            </w:r>
            <w:r>
              <w:fldChar w:fldCharType="end"/>
            </w:r>
          </w:hyperlink>
        </w:p>
        <w:p>
          <w:pPr>
            <w:pStyle w:val="11"/>
            <w:ind w:left="360"/>
            <w:tabs>
              <w:tab w:val="right" w:leader="dot" w:pos="9026"/>
            </w:tabs>
            <w:spacing w:before="120" w:after="60"/>
          </w:pPr>
          <w:hyperlink w:anchor="_Toc100002" w:history="1">
            <w:r>
              <w:rPr>
                <w:rStyle w:val="Hyperlink"/>
              </w:rPr>
              <w:t>2.1　蛋白质序列长度的偏态特征</w:t>
            </w:r>
            <w:r>
              <w:tab/>
            </w:r>
            <w:r>
              <w:fldChar w:fldCharType="begin"/>
            </w:r>
            <w:r>
              <w:instrText xml:space="preserve"> PAGEREF _Toc100002 \h </w:instrText>
            </w:r>
            <w:r>
              <w:fldChar w:fldCharType="separate"/>
            </w:r>
            <w:r>
              <w:t>4</w:t>
            </w:r>
            <w:r>
              <w:fldChar w:fldCharType="end"/>
            </w:r>
          </w:hyperlink>
        </w:p>
        <w:p>
          <w:pPr>
            <w:pStyle w:val="11"/>
            <w:ind w:left="360"/>
            <w:tabs>
              <w:tab w:val="right" w:leader="dot" w:pos="9026"/>
            </w:tabs>
            <w:spacing w:before="120" w:after="60"/>
          </w:pPr>
          <w:hyperlink w:anchor="_Toc100003" w:history="1">
            <w:r>
              <w:rPr>
                <w:rStyle w:val="Hyperlink"/>
              </w:rPr>
              <w:t>2.2　单蛋白质功能标签激活基数分布</w:t>
            </w:r>
            <w:r>
              <w:tab/>
            </w:r>
            <w:r>
              <w:fldChar w:fldCharType="begin"/>
            </w:r>
            <w:r>
              <w:instrText xml:space="preserve"> PAGEREF _Toc100003 \h </w:instrText>
            </w:r>
            <w:r>
              <w:fldChar w:fldCharType="separate"/>
            </w:r>
            <w:r>
              <w:t>4</w:t>
            </w:r>
            <w:r>
              <w:fldChar w:fldCharType="end"/>
            </w:r>
          </w:hyperlink>
        </w:p>
        <w:p>
          <w:pPr>
            <w:pStyle w:val="11"/>
            <w:ind w:left="360"/>
            <w:tabs>
              <w:tab w:val="right" w:leader="dot" w:pos="9026"/>
            </w:tabs>
            <w:spacing w:before="120" w:after="60"/>
          </w:pPr>
          <w:hyperlink w:anchor="_Toc100004" w:history="1">
            <w:r>
              <w:rPr>
                <w:rStyle w:val="Hyperlink"/>
              </w:rPr>
              <w:t>2.3　功能标签空间的极端长尾垄断效应</w:t>
            </w:r>
            <w:r>
              <w:tab/>
            </w:r>
            <w:r>
              <w:fldChar w:fldCharType="begin"/>
            </w:r>
            <w:r>
              <w:instrText xml:space="preserve"> PAGEREF _Toc100004 \h </w:instrText>
            </w:r>
            <w:r>
              <w:fldChar w:fldCharType="separate"/>
            </w:r>
            <w:r>
              <w:t>5</w:t>
            </w:r>
            <w:r>
              <w:fldChar w:fldCharType="end"/>
            </w:r>
          </w:hyperlink>
        </w:p>
        <w:p>
          <w:pPr>
            <w:pStyle w:val="9"/>
            <w:tabs>
              <w:tab w:val="right" w:leader="dot" w:pos="9026"/>
            </w:tabs>
            <w:spacing w:before="120" w:after="60"/>
          </w:pPr>
          <w:hyperlink w:anchor="_Toc100005" w:history="1">
            <w:r>
              <w:rPr>
                <w:rStyle w:val="Hyperlink"/>
              </w:rPr>
              <w:t>3　HDMR-Sinkhorn 架构设计与形式化推导</w:t>
            </w:r>
            <w:r>
              <w:tab/>
            </w:r>
            <w:r>
              <w:fldChar w:fldCharType="begin"/>
            </w:r>
            <w:r>
              <w:instrText xml:space="preserve"> PAGEREF _Toc100005 \h </w:instrText>
            </w:r>
            <w:r>
              <w:fldChar w:fldCharType="separate"/>
            </w:r>
            <w:r>
              <w:t>5</w:t>
            </w:r>
            <w:r>
              <w:fldChar w:fldCharType="end"/>
            </w:r>
          </w:hyperlink>
        </w:p>
        <w:p>
          <w:pPr>
            <w:pStyle w:val="11"/>
            <w:ind w:left="360"/>
            <w:tabs>
              <w:tab w:val="right" w:leader="dot" w:pos="9026"/>
            </w:tabs>
            <w:spacing w:before="120" w:after="60"/>
          </w:pPr>
          <w:hyperlink w:anchor="_Toc100006" w:history="1">
            <w:r>
              <w:rPr>
                <w:rStyle w:val="Hyperlink"/>
              </w:rPr>
              <w:t>3.1　分支 I：多尺度深度序列感知网络</w:t>
            </w:r>
            <w:r>
              <w:tab/>
            </w:r>
            <w:r>
              <w:fldChar w:fldCharType="begin"/>
            </w:r>
            <w:r>
              <w:instrText xml:space="preserve"> PAGEREF _Toc100006 \h </w:instrText>
            </w:r>
            <w:r>
              <w:fldChar w:fldCharType="separate"/>
            </w:r>
            <w:r>
              <w:t>5</w:t>
            </w:r>
            <w:r>
              <w:fldChar w:fldCharType="end"/>
            </w:r>
          </w:hyperlink>
        </w:p>
        <w:p>
          <w:pPr>
            <w:pStyle w:val="11"/>
            <w:ind w:left="360"/>
            <w:tabs>
              <w:tab w:val="right" w:leader="dot" w:pos="9026"/>
            </w:tabs>
            <w:spacing w:before="120" w:after="60"/>
          </w:pPr>
          <w:hyperlink w:anchor="_Toc100007" w:history="1">
            <w:r>
              <w:rPr>
                <w:rStyle w:val="Hyperlink"/>
              </w:rPr>
              <w:t>3.2　分支 II：进化比对与局部频数流形转移</w:t>
            </w:r>
            <w:r>
              <w:tab/>
            </w:r>
            <w:r>
              <w:fldChar w:fldCharType="begin"/>
            </w:r>
            <w:r>
              <w:instrText xml:space="preserve"> PAGEREF _Toc100007 \h </w:instrText>
            </w:r>
            <w:r>
              <w:fldChar w:fldCharType="separate"/>
            </w:r>
            <w:r>
              <w:t>7</w:t>
            </w:r>
            <w:r>
              <w:fldChar w:fldCharType="end"/>
            </w:r>
          </w:hyperlink>
        </w:p>
        <w:p>
          <w:pPr>
            <w:pStyle w:val="11"/>
            <w:ind w:left="360"/>
            <w:tabs>
              <w:tab w:val="right" w:leader="dot" w:pos="9026"/>
            </w:tabs>
            <w:spacing w:before="120" w:after="60"/>
          </w:pPr>
          <w:hyperlink w:anchor="_Toc100008" w:history="1">
            <w:r>
              <w:rPr>
                <w:rStyle w:val="Hyperlink"/>
              </w:rPr>
              <w:t>3.3　无参数互惠秩融合（Reciprocal Rank Fusion, RRF）</w:t>
            </w:r>
            <w:r>
              <w:tab/>
            </w:r>
            <w:r>
              <w:fldChar w:fldCharType="begin"/>
            </w:r>
            <w:r>
              <w:instrText xml:space="preserve"> PAGEREF _Toc100008 \h </w:instrText>
            </w:r>
            <w:r>
              <w:fldChar w:fldCharType="separate"/>
            </w:r>
            <w:r>
              <w:t>7</w:t>
            </w:r>
            <w:r>
              <w:fldChar w:fldCharType="end"/>
            </w:r>
          </w:hyperlink>
        </w:p>
        <w:p>
          <w:pPr>
            <w:pStyle w:val="11"/>
            <w:ind w:left="360"/>
            <w:tabs>
              <w:tab w:val="right" w:leader="dot" w:pos="9026"/>
            </w:tabs>
            <w:spacing w:before="120" w:after="60"/>
          </w:pPr>
          <w:hyperlink w:anchor="_Toc100009" w:history="1">
            <w:r>
              <w:rPr>
                <w:rStyle w:val="Hyperlink"/>
              </w:rPr>
              <w:t>3.4　双边际约束的最优传输（Sinkhorn-Knopp）正则化</w:t>
            </w:r>
            <w:r>
              <w:tab/>
            </w:r>
            <w:r>
              <w:fldChar w:fldCharType="begin"/>
            </w:r>
            <w:r>
              <w:instrText xml:space="preserve"> PAGEREF _Toc100009 \h </w:instrText>
            </w:r>
            <w:r>
              <w:fldChar w:fldCharType="separate"/>
            </w:r>
            <w:r>
              <w:t>8</w:t>
            </w:r>
            <w:r>
              <w:fldChar w:fldCharType="end"/>
            </w:r>
          </w:hyperlink>
        </w:p>
        <w:p>
          <w:pPr>
            <w:pStyle w:val="9"/>
            <w:tabs>
              <w:tab w:val="right" w:leader="dot" w:pos="9026"/>
            </w:tabs>
            <w:spacing w:before="120" w:after="60"/>
          </w:pPr>
          <w:hyperlink w:anchor="_Toc100010" w:history="1">
            <w:r>
              <w:rPr>
                <w:rStyle w:val="Hyperlink"/>
              </w:rPr>
              <w:t>4　实验设计与评测协议</w:t>
            </w:r>
            <w:r>
              <w:tab/>
            </w:r>
            <w:r>
              <w:fldChar w:fldCharType="begin"/>
            </w:r>
            <w:r>
              <w:instrText xml:space="preserve"> PAGEREF _Toc100010 \h </w:instrText>
            </w:r>
            <w:r>
              <w:fldChar w:fldCharType="separate"/>
            </w:r>
            <w:r>
              <w:t>9</w:t>
            </w:r>
            <w:r>
              <w:fldChar w:fldCharType="end"/>
            </w:r>
          </w:hyperlink>
        </w:p>
        <w:p>
          <w:pPr>
            <w:pStyle w:val="11"/>
            <w:ind w:left="360"/>
            <w:tabs>
              <w:tab w:val="right" w:leader="dot" w:pos="9026"/>
            </w:tabs>
            <w:spacing w:before="120" w:after="60"/>
          </w:pPr>
          <w:hyperlink w:anchor="_Toc100011" w:history="1">
            <w:r>
              <w:rPr>
                <w:rStyle w:val="Hyperlink"/>
              </w:rPr>
              <w:t>4.1　数据集切分与防泄漏隔离</w:t>
            </w:r>
            <w:r>
              <w:tab/>
            </w:r>
            <w:r>
              <w:fldChar w:fldCharType="begin"/>
            </w:r>
            <w:r>
              <w:instrText xml:space="preserve"> PAGEREF _Toc100011 \h </w:instrText>
            </w:r>
            <w:r>
              <w:fldChar w:fldCharType="separate"/>
            </w:r>
            <w:r>
              <w:t>9</w:t>
            </w:r>
            <w:r>
              <w:fldChar w:fldCharType="end"/>
            </w:r>
          </w:hyperlink>
        </w:p>
        <w:p>
          <w:pPr>
            <w:pStyle w:val="11"/>
            <w:ind w:left="360"/>
            <w:tabs>
              <w:tab w:val="right" w:leader="dot" w:pos="9026"/>
            </w:tabs>
            <w:spacing w:before="120" w:after="60"/>
          </w:pPr>
          <w:hyperlink w:anchor="_Toc100012" w:history="1">
            <w:r>
              <w:rPr>
                <w:rStyle w:val="Hyperlink"/>
              </w:rPr>
              <w:t>4.2　评测指标定义</w:t>
            </w:r>
            <w:r>
              <w:tab/>
            </w:r>
            <w:r>
              <w:fldChar w:fldCharType="begin"/>
            </w:r>
            <w:r>
              <w:instrText xml:space="preserve"> PAGEREF _Toc100012 \h </w:instrText>
            </w:r>
            <w:r>
              <w:fldChar w:fldCharType="separate"/>
            </w:r>
            <w:r>
              <w:t>9</w:t>
            </w:r>
            <w:r>
              <w:fldChar w:fldCharType="end"/>
            </w:r>
          </w:hyperlink>
        </w:p>
        <w:p>
          <w:pPr>
            <w:pStyle w:val="9"/>
            <w:tabs>
              <w:tab w:val="right" w:leader="dot" w:pos="9026"/>
            </w:tabs>
            <w:spacing w:before="120" w:after="60"/>
          </w:pPr>
          <w:hyperlink w:anchor="_Toc100013" w:history="1">
            <w:r>
              <w:rPr>
                <w:rStyle w:val="Hyperlink"/>
              </w:rPr>
              <w:t>5　实验结果分析与消融验证</w:t>
            </w:r>
            <w:r>
              <w:tab/>
            </w:r>
            <w:r>
              <w:fldChar w:fldCharType="begin"/>
            </w:r>
            <w:r>
              <w:instrText xml:space="preserve"> PAGEREF _Toc100013 \h </w:instrText>
            </w:r>
            <w:r>
              <w:fldChar w:fldCharType="separate"/>
            </w:r>
            <w:r>
              <w:t>10</w:t>
            </w:r>
            <w:r>
              <w:fldChar w:fldCharType="end"/>
            </w:r>
          </w:hyperlink>
        </w:p>
        <w:p>
          <w:pPr>
            <w:pStyle w:val="11"/>
            <w:ind w:left="360"/>
            <w:tabs>
              <w:tab w:val="right" w:leader="dot" w:pos="9026"/>
            </w:tabs>
            <w:spacing w:before="120" w:after="60"/>
          </w:pPr>
          <w:hyperlink w:anchor="_Toc100014" w:history="1">
            <w:r>
              <w:rPr>
                <w:rStyle w:val="Hyperlink"/>
              </w:rPr>
              <w:t>5.1　端到端逐级消融对比分析</w:t>
            </w:r>
            <w:r>
              <w:tab/>
            </w:r>
            <w:r>
              <w:fldChar w:fldCharType="begin"/>
            </w:r>
            <w:r>
              <w:instrText xml:space="preserve"> PAGEREF _Toc100014 \h </w:instrText>
            </w:r>
            <w:r>
              <w:fldChar w:fldCharType="separate"/>
            </w:r>
            <w:r>
              <w:t>10</w:t>
            </w:r>
            <w:r>
              <w:fldChar w:fldCharType="end"/>
            </w:r>
          </w:hyperlink>
        </w:p>
        <w:p>
          <w:pPr>
            <w:pStyle w:val="11"/>
            <w:ind w:left="360"/>
            <w:tabs>
              <w:tab w:val="right" w:leader="dot" w:pos="9026"/>
            </w:tabs>
            <w:spacing w:before="120" w:after="60"/>
          </w:pPr>
          <w:hyperlink w:anchor="_Toc100015" w:history="1">
            <w:r>
              <w:rPr>
                <w:rStyle w:val="Hyperlink"/>
              </w:rPr>
              <w:t>5.2　同源命中与无命中极端切片互补机理</w:t>
            </w:r>
            <w:r>
              <w:tab/>
            </w:r>
            <w:r>
              <w:fldChar w:fldCharType="begin"/>
            </w:r>
            <w:r>
              <w:instrText xml:space="preserve"> PAGEREF _Toc100015 \h </w:instrText>
            </w:r>
            <w:r>
              <w:fldChar w:fldCharType="separate"/>
            </w:r>
            <w:r>
              <w:t>12</w:t>
            </w:r>
            <w:r>
              <w:fldChar w:fldCharType="end"/>
            </w:r>
          </w:hyperlink>
        </w:p>
        <w:p>
          <w:pPr>
            <w:pStyle w:val="11"/>
            <w:ind w:left="360"/>
            <w:tabs>
              <w:tab w:val="right" w:leader="dot" w:pos="9026"/>
            </w:tabs>
            <w:spacing w:before="120" w:after="60"/>
          </w:pPr>
          <w:hyperlink w:anchor="_Toc100016" w:history="1">
            <w:r>
              <w:rPr>
                <w:rStyle w:val="Hyperlink"/>
              </w:rPr>
              <w:t>5.3　超参数响应曲面与稳定性分析</w:t>
            </w:r>
            <w:r>
              <w:tab/>
            </w:r>
            <w:r>
              <w:fldChar w:fldCharType="begin"/>
            </w:r>
            <w:r>
              <w:instrText xml:space="preserve"> PAGEREF _Toc100016 \h </w:instrText>
            </w:r>
            <w:r>
              <w:fldChar w:fldCharType="separate"/>
            </w:r>
            <w:r>
              <w:t>12</w:t>
            </w:r>
            <w:r>
              <w:fldChar w:fldCharType="end"/>
            </w:r>
          </w:hyperlink>
        </w:p>
        <w:p>
          <w:pPr>
            <w:pStyle w:val="11"/>
            <w:ind w:left="360"/>
            <w:tabs>
              <w:tab w:val="right" w:leader="dot" w:pos="9026"/>
            </w:tabs>
            <w:spacing w:before="120" w:after="60"/>
          </w:pPr>
          <w:hyperlink w:anchor="_Toc100017" w:history="1">
            <w:r>
              <w:rPr>
                <w:rStyle w:val="Hyperlink"/>
              </w:rPr>
              <w:t>5.4　功能标签长尾分层消融验证</w:t>
            </w:r>
            <w:r>
              <w:tab/>
            </w:r>
            <w:r>
              <w:fldChar w:fldCharType="begin"/>
            </w:r>
            <w:r>
              <w:instrText xml:space="preserve"> PAGEREF _Toc100017 \h </w:instrText>
            </w:r>
            <w:r>
              <w:fldChar w:fldCharType="separate"/>
            </w:r>
            <w:r>
              <w:t>13</w:t>
            </w:r>
            <w:r>
              <w:fldChar w:fldCharType="end"/>
            </w:r>
          </w:hyperlink>
        </w:p>
        <w:p>
          <w:pPr>
            <w:pStyle w:val="11"/>
            <w:ind w:left="360"/>
            <w:tabs>
              <w:tab w:val="right" w:leader="dot" w:pos="9026"/>
            </w:tabs>
            <w:spacing w:before="120" w:after="60"/>
          </w:pPr>
          <w:hyperlink w:anchor="_Toc100018" w:history="1">
            <w:r>
              <w:rPr>
                <w:rStyle w:val="Hyperlink"/>
              </w:rPr>
              <w:t>5.5　对比讨论：复杂参数化元学习（Stacking）的失效机理</w:t>
            </w:r>
            <w:r>
              <w:tab/>
            </w:r>
            <w:r>
              <w:fldChar w:fldCharType="begin"/>
            </w:r>
            <w:r>
              <w:instrText xml:space="preserve"> PAGEREF _Toc100018 \h </w:instrText>
            </w:r>
            <w:r>
              <w:fldChar w:fldCharType="separate"/>
            </w:r>
            <w:r>
              <w:t>14</w:t>
            </w:r>
            <w:r>
              <w:fldChar w:fldCharType="end"/>
            </w:r>
          </w:hyperlink>
        </w:p>
        <w:p>
          <w:pPr>
            <w:pStyle w:val="9"/>
            <w:tabs>
              <w:tab w:val="right" w:leader="dot" w:pos="9026"/>
            </w:tabs>
            <w:spacing w:before="120" w:after="60"/>
          </w:pPr>
          <w:hyperlink w:anchor="_Toc100019" w:history="1">
            <w:r>
              <w:rPr>
                <w:rStyle w:val="Hyperlink"/>
              </w:rPr>
              <w:t>6　结论与未来展望</w:t>
            </w:r>
            <w:r>
              <w:tab/>
            </w:r>
            <w:r>
              <w:fldChar w:fldCharType="begin"/>
            </w:r>
            <w:r>
              <w:instrText xml:space="preserve"> PAGEREF _Toc100019 \h </w:instrText>
            </w:r>
            <w:r>
              <w:fldChar w:fldCharType="separate"/>
            </w:r>
            <w:r>
              <w:t>14</w:t>
            </w:r>
            <w:r>
              <w:fldChar w:fldCharType="end"/>
            </w:r>
          </w:hyperlink>
        </w:p>
        <w:p>
          <w:pPr>
            <w:pStyle w:val="9"/>
            <w:tabs>
              <w:tab w:val="right" w:leader="dot" w:pos="9026"/>
            </w:tabs>
            <w:spacing w:before="120" w:after="60"/>
          </w:pPr>
          <w:hyperlink w:anchor="_Toc100020" w:history="1">
            <w:r>
              <w:rPr>
                <w:rStyle w:val="Hyperlink"/>
              </w:rPr>
              <w:t>参考文献</w:t>
            </w:r>
            <w:r>
              <w:tab/>
            </w:r>
            <w:r>
              <w:fldChar w:fldCharType="begin"/>
            </w:r>
            <w:r>
              <w:instrText xml:space="preserve"> PAGEREF _Toc100020 \h </w:instrText>
            </w:r>
            <w:r>
              <w:fldChar w:fldCharType="separate"/>
            </w:r>
            <w:r>
              <w:t>14</w:t>
            </w:r>
            <w:r>
              <w:fldChar w:fldCharType="end"/>
            </w:r>
          </w:hyperlink>
        </w:p>
        <w:p>
          <w:r>
            <w:fldChar w:fldCharType="end"/>
          </w:r>
        </w:p>
      </w:sdtContent>
    </w:sdt>
    <w:p>
      <w:pPr>
        <w:spacing w:before="160"/>
      </w:pPr>
      <w:r>
        <w:rPr>
          <w:rFonts w:ascii="Times New Roman" w:eastAsia="SimSun"/>
          <w:i/>
          <w:iCs/>
          <w:color w:val="777777"/>
          <w:sz w:val="18"/>
          <w:szCs w:val="18"/>
        </w:rPr>
        <w:t xml:space="preserve">说明：目录由 Word 域代码自动维护。在文档中右键选择“更新域”即可自动校准页码。</w:t>
      </w:r>
    </w:p>
    <w:p>
      <w:pPr>
        <w:sectPr>
          <w:headerReference w:type="default" r:id="rId9"/>
          <w:footerReference w:type="default" r:id="rId10"/>
          <w:type w:val="nextPage"/>
          <w:pgSz w:w="11906" w:h="16838" w:orient="portrait"/>
          <w:pgMar w:top="1440" w:right="1417" w:bottom="1440" w:left="1701" w:header="850" w:footer="992" w:gutter="0"/>
          <w:pgNumType w:fmt="upperRoman"/>
          <w:docGrid w:linePitch="360"/>
        </w:sectPr>
      </w:pPr>
    </w:p>
    <w:p>
      <w:pPr>
        <w:pStyle w:val="Heading1"/>
        <w:keepNext/>
        <w:spacing w:after="200" w:before="420" w:line="360"/>
        <w:jc w:val="left"/>
      </w:pPr>
      <w:bookmarkStart w:id="100000" w:name="_Toc100000"/>
      <w:r>
        <w:rPr>
          <w:rFonts w:ascii="Times New Roman" w:eastAsia="SimHei"/>
          <w:b/>
          <w:bCs/>
          <w:color w:val="000000"/>
          <w:sz w:val="32"/>
          <w:szCs w:val="32"/>
        </w:rPr>
        <w:t xml:space="preserve">1　引言</w:t>
      </w:r>
      <w:bookmarkEnd w:id="100000"/>
    </w:p>
    <w:p>
      <w:pPr>
        <w:spacing w:after="0" w:before="0" w:line="360"/>
        <w:ind w:firstLine="560"/>
        <w:jc w:val="both"/>
      </w:pPr>
      <w:r>
        <w:rPr>
          <w:rFonts w:ascii="Times New Roman" w:eastAsia="SimSun"/>
          <w:color w:val="000000"/>
          <w:sz w:val="28"/>
          <w:szCs w:val="28"/>
        </w:rPr>
        <w:t xml:space="preserve">随着高通量测序技术在环境微生物组与临床基因组学中的飞速发展，未表征的蛋白质一级氨基酸序列正在以超指数速度向公共数据库汇聚。然而，利用湿实验生物化学手段对未知蛋白质的分子功能、催化活性位点及细胞组分定位进行逐一实验验证，面临着周期漫长、成本高昂的客观瓶颈，导致已知序列与高质量注释之间的剪刀差持续扩大</w:t>
      </w:r>
      <w:r>
        <w:rPr>
          <w:rFonts w:ascii="Times New Roman"/>
          <w:color w:val="000000"/>
          <w:sz w:val="21"/>
          <w:szCs w:val="21"/>
          <w:vertAlign w:val="superscript"/>
        </w:rPr>
        <w:t xml:space="preserve">[1,2,3]</w:t>
      </w:r>
      <w:r>
        <w:rPr>
          <w:rFonts w:ascii="Times New Roman" w:eastAsia="SimSun"/>
          <w:color w:val="000000"/>
          <w:sz w:val="28"/>
          <w:szCs w:val="28"/>
        </w:rPr>
        <w:t xml:space="preserve">。因此，利用计算模型根据原始氨基酸残基序列自动化推断蛋白质的功能标签，已成为现代生物信息学与分子系统生物学的核心支柱。在由国际生物信息学计算组织举办的蛋白质功能预测关键评估（Critical Assessment of Functional Annotation, CAFA）系列评测中，基于序列的自动化注释模型已被证明能够为下游实验提供极具指导价值的科学假说</w:t>
      </w:r>
      <w:r>
        <w:rPr>
          <w:rFonts w:ascii="Times New Roman"/>
          <w:color w:val="000000"/>
          <w:sz w:val="21"/>
          <w:szCs w:val="21"/>
          <w:vertAlign w:val="superscript"/>
        </w:rPr>
        <w:t xml:space="preserve">[4,5,30]</w:t>
      </w:r>
      <w:r>
        <w:rPr>
          <w:rFonts w:ascii="Times New Roman" w:eastAsia="SimSun"/>
          <w:color w:val="000000"/>
          <w:sz w:val="28"/>
          <w:szCs w:val="28"/>
        </w:rPr>
        <w:t xml:space="preserve">。</w:t>
      </w:r>
    </w:p>
    <w:p>
      <w:pPr>
        <w:spacing w:after="0" w:before="0" w:line="360"/>
        <w:ind w:firstLine="560"/>
        <w:jc w:val="both"/>
      </w:pPr>
      <w:r>
        <w:rPr>
          <w:rFonts w:ascii="Times New Roman" w:eastAsia="SimSun"/>
          <w:color w:val="000000"/>
          <w:sz w:val="28"/>
          <w:szCs w:val="28"/>
        </w:rPr>
        <w:t xml:space="preserve">然而，在实际生物计算或特定保密评测任务中，方法设计往往面临诸多严苛的物理与协议约束：第一，缺乏可利用的基因本体（Gene Ontology, GO）有向无环图（DAG）先验与功能术语文本描述，标签空间被完全匿名化为固定维度的离散指示向量；第二，禁止引入外部庞大的功能注释知识库作为监督源，模型必须完全在给定的封闭序列集合内完成泛化；第三，标签激活呈现出极端的长尾偏斜与稀疏性，且蛋白质个体所行使的功能数量跨度极大。这些约束使依赖外部文本编码、本体图层级归约以及蛋白质相互作用网络（PPI）的方法无法施展，迫使算法必须在“仅依赖一级序列”的边界内探索最本征的判别规律。</w:t>
      </w:r>
    </w:p>
    <w:p>
      <w:pPr>
        <w:spacing w:after="0" w:before="0" w:line="360"/>
        <w:ind w:firstLine="560"/>
        <w:jc w:val="both"/>
      </w:pPr>
      <w:r>
        <w:rPr>
          <w:rFonts w:ascii="Times New Roman" w:eastAsia="SimSun"/>
          <w:color w:val="000000"/>
          <w:sz w:val="28"/>
          <w:szCs w:val="28"/>
        </w:rPr>
        <w:t xml:space="preserve">目前纯序列功能推断方法主要依托两大范式：其一是基于进化保守性的局部序列对齐与同源转移方法。BLAST</w:t>
      </w:r>
      <w:r>
        <w:rPr>
          <w:rFonts w:ascii="Times New Roman"/>
          <w:color w:val="000000"/>
          <w:sz w:val="21"/>
          <w:szCs w:val="21"/>
          <w:vertAlign w:val="superscript"/>
        </w:rPr>
        <w:t xml:space="preserve">[6]</w:t>
      </w:r>
      <w:r>
        <w:rPr>
          <w:rFonts w:ascii="Times New Roman" w:eastAsia="SimSun"/>
          <w:color w:val="000000"/>
          <w:sz w:val="28"/>
          <w:szCs w:val="28"/>
        </w:rPr>
        <w:t xml:space="preserve"> 与 DIAMOND</w:t>
      </w:r>
      <w:r>
        <w:rPr>
          <w:rFonts w:ascii="Times New Roman"/>
          <w:color w:val="000000"/>
          <w:sz w:val="21"/>
          <w:szCs w:val="21"/>
          <w:vertAlign w:val="superscript"/>
        </w:rPr>
        <w:t xml:space="preserve">[7,8]</w:t>
      </w:r>
      <w:r>
        <w:rPr>
          <w:rFonts w:ascii="Times New Roman" w:eastAsia="SimSun"/>
          <w:color w:val="000000"/>
          <w:sz w:val="28"/>
          <w:szCs w:val="28"/>
        </w:rPr>
        <w:t xml:space="preserve"> 通过局部比对检索已标注序列库，将同源邻居的标签按一致度加权聚合。该范式在近缘同源充分时表现出极高精度，但在序列一致度低于 30% 的“暮光区”或无命中（Homology-Miss）孤儿序列上，其有效信号趋近于零</w:t>
      </w:r>
      <w:r>
        <w:rPr>
          <w:rFonts w:ascii="Times New Roman"/>
          <w:color w:val="000000"/>
          <w:sz w:val="21"/>
          <w:szCs w:val="21"/>
          <w:vertAlign w:val="superscript"/>
        </w:rPr>
        <w:t xml:space="preserve">[28]</w:t>
      </w:r>
      <w:r>
        <w:rPr>
          <w:rFonts w:ascii="Times New Roman" w:eastAsia="SimSun"/>
          <w:color w:val="000000"/>
          <w:sz w:val="28"/>
          <w:szCs w:val="28"/>
        </w:rPr>
        <w:t xml:space="preserve">。其二是端到端深度学习表征模型，包括多尺度一维膨胀卷积（Dilated 1D CNN）</w:t>
      </w:r>
      <w:r>
        <w:rPr>
          <w:rFonts w:ascii="Times New Roman"/>
          <w:color w:val="000000"/>
          <w:sz w:val="21"/>
          <w:szCs w:val="21"/>
          <w:vertAlign w:val="superscript"/>
        </w:rPr>
        <w:t xml:space="preserve">[9,10,11]</w:t>
      </w:r>
      <w:r>
        <w:rPr>
          <w:rFonts w:ascii="Times New Roman" w:eastAsia="SimSun"/>
          <w:color w:val="000000"/>
          <w:sz w:val="28"/>
          <w:szCs w:val="28"/>
        </w:rPr>
        <w:t xml:space="preserve"> 与旋转位置编码自注意力网络（RoFormer）</w:t>
      </w:r>
      <w:r>
        <w:rPr>
          <w:rFonts w:ascii="Times New Roman"/>
          <w:color w:val="000000"/>
          <w:sz w:val="21"/>
          <w:szCs w:val="21"/>
          <w:vertAlign w:val="superscript"/>
        </w:rPr>
        <w:t xml:space="preserve">[14]</w:t>
      </w:r>
      <w:r>
        <w:rPr>
          <w:rFonts w:ascii="Times New Roman" w:eastAsia="SimSun"/>
          <w:color w:val="000000"/>
          <w:sz w:val="28"/>
          <w:szCs w:val="28"/>
        </w:rPr>
        <w:t xml:space="preserve">。深度模型能够抽象长程语义与复杂非局部特征，在无同源孤儿蛋白上提供关键的预测托底，但在高相似度样本上的局部判别锐度却显著落后于高精度比对工具。</w:t>
      </w:r>
    </w:p>
    <w:p>
      <w:pPr>
        <w:spacing w:after="0" w:before="0" w:line="360"/>
        <w:ind w:firstLine="560"/>
        <w:jc w:val="both"/>
      </w:pPr>
      <w:r>
        <w:rPr>
          <w:rFonts w:ascii="Times New Roman" w:eastAsia="SimSun"/>
          <w:color w:val="000000"/>
          <w:sz w:val="28"/>
          <w:szCs w:val="28"/>
        </w:rPr>
        <w:t xml:space="preserve">融合上述异构表征时，常规的线性概率加权面临严重的量纲失配挑战：比对得分后验高度尖锐且动态范围极大，而深度模型的 Sigmoid 概率输出相对平缓，强行加权往往导致弱势分支被彻底淹没；若采用元学习堆叠分类器（Stacking）</w:t>
      </w:r>
      <w:r>
        <w:rPr>
          <w:rFonts w:ascii="Times New Roman"/>
          <w:color w:val="000000"/>
          <w:sz w:val="21"/>
          <w:szCs w:val="21"/>
          <w:vertAlign w:val="superscript"/>
        </w:rPr>
        <w:t xml:space="preserve">[26]</w:t>
      </w:r>
      <w:r>
        <w:rPr>
          <w:rFonts w:ascii="Times New Roman" w:eastAsia="SimSun"/>
          <w:color w:val="000000"/>
          <w:sz w:val="28"/>
          <w:szCs w:val="28"/>
        </w:rPr>
        <w:t xml:space="preserve">，基学习器之间的高度相关性又极易诱发局部校准过拟合。此外，在推断决策阶段，各蛋白质的实际激活标签数（行基数）与全库各功能的先验发生频率（列边际）存在坚实的先验约束，脱离双边际约束的独立贪心阈值搜索难以抵御宏观统计漂移。</w:t>
      </w:r>
    </w:p>
    <w:p>
      <w:pPr>
        <w:spacing w:after="0" w:before="0" w:line="360"/>
        <w:ind w:firstLine="560"/>
        <w:jc w:val="both"/>
      </w:pPr>
      <w:r>
        <w:rPr>
          <w:rFonts w:ascii="Times New Roman" w:eastAsia="SimSun"/>
          <w:color w:val="000000"/>
          <w:sz w:val="28"/>
          <w:szCs w:val="28"/>
        </w:rPr>
        <w:t xml:space="preserve">针对上述核心挑战，本文提出了分层双路径多尺度秩融合与双边际最优传输网络（HDMR-Sinkhorn）。本文的主要工作与创新点包括：</w:t>
      </w:r>
    </w:p>
    <w:p>
      <w:pPr>
        <w:spacing w:after="0" w:before="0" w:line="360"/>
        <w:ind w:firstLine="560"/>
        <w:jc w:val="both"/>
      </w:pPr>
      <w:r>
        <w:rPr>
          <w:rFonts w:ascii="Times New Roman" w:eastAsia="SimSun"/>
          <w:b/>
          <w:bCs/>
          <w:color w:val="000000"/>
          <w:sz w:val="28"/>
          <w:szCs w:val="28"/>
        </w:rPr>
        <w:t xml:space="preserve">（1）详尽解析实验数据集的全局与长尾分布特征：</w:t>
      </w:r>
      <w:r>
        <w:rPr>
          <w:rFonts w:ascii="Times New Roman" w:eastAsia="SimSun"/>
          <w:color w:val="000000"/>
          <w:sz w:val="28"/>
          <w:szCs w:val="28"/>
        </w:rPr>
        <w:t xml:space="preserve">通过对 113,796 条蛋白质全长序列进行深入探索性数据分析，定量揭示了序列长度的对数正态偏斜、每蛋白质功能标签数（基数）的离散波动，以及前 20% 头部标签占据 62.5% 标注量的极端长尾现象，为后续模型设计提供了实证支撑。</w:t>
      </w:r>
    </w:p>
    <w:p>
      <w:pPr>
        <w:spacing w:after="0" w:before="0" w:line="360"/>
        <w:ind w:firstLine="560"/>
        <w:jc w:val="both"/>
      </w:pPr>
      <w:r>
        <w:rPr>
          <w:rFonts w:ascii="Times New Roman" w:eastAsia="SimSun"/>
          <w:b/>
          <w:bCs/>
          <w:color w:val="000000"/>
          <w:sz w:val="28"/>
          <w:szCs w:val="28"/>
        </w:rPr>
        <w:t xml:space="preserve">（2）构建互补解耦的分层双路径特征表征架构：</w:t>
      </w:r>
      <w:r>
        <w:rPr>
          <w:rFonts w:ascii="Times New Roman" w:eastAsia="SimSun"/>
          <w:color w:val="000000"/>
          <w:sz w:val="28"/>
          <w:szCs w:val="28"/>
        </w:rPr>
        <w:t xml:space="preserve">序列感知侧结合多尺度膨胀残差卷积、类别特异性残基注意力（CSRA）与 RoFormer，有效聚焦长序列上的催化核心区；同源转移侧融合高灵敏度 DIAMOND 比对与多尺度 k-mer 频数局部流形，兼顾显式局部比对与隐式模体共现。</w:t>
      </w:r>
    </w:p>
    <w:p>
      <w:pPr>
        <w:spacing w:after="0" w:before="0" w:line="360"/>
        <w:ind w:firstLine="560"/>
        <w:jc w:val="both"/>
      </w:pPr>
      <w:r>
        <w:rPr>
          <w:rFonts w:ascii="Times New Roman" w:eastAsia="SimSun"/>
          <w:b/>
          <w:bCs/>
          <w:color w:val="000000"/>
          <w:sz w:val="28"/>
          <w:szCs w:val="28"/>
        </w:rPr>
        <w:t xml:space="preserve">（3）引入无参数互惠秩融合（RRF）彻底解决量纲失配：</w:t>
      </w:r>
      <w:r>
        <w:rPr>
          <w:rFonts w:ascii="Times New Roman" w:eastAsia="SimSun"/>
          <w:color w:val="000000"/>
          <w:sz w:val="28"/>
          <w:szCs w:val="28"/>
        </w:rPr>
        <w:t xml:space="preserve">在序数空间内完成深度特征与同源特征的重排加权，完全规避数值刻度不一致所导致的表征淹没问题。</w:t>
      </w:r>
    </w:p>
    <w:p>
      <w:pPr>
        <w:spacing w:after="0" w:before="0" w:line="360"/>
        <w:ind w:firstLine="560"/>
        <w:jc w:val="both"/>
      </w:pPr>
      <w:r>
        <w:rPr>
          <w:rFonts w:ascii="Times New Roman" w:eastAsia="SimSun"/>
          <w:b/>
          <w:bCs/>
          <w:color w:val="000000"/>
          <w:sz w:val="28"/>
          <w:szCs w:val="28"/>
        </w:rPr>
        <w:t xml:space="preserve">（4）形式化建立双边际约束的最优传输（Sinkhorn）推断正则化：</w:t>
      </w:r>
      <w:r>
        <w:rPr>
          <w:rFonts w:ascii="Times New Roman" w:eastAsia="SimSun"/>
          <w:color w:val="000000"/>
          <w:sz w:val="28"/>
          <w:szCs w:val="28"/>
        </w:rPr>
        <w:t xml:space="preserve">将多标签分配问题映射至带有行基数与列频率约束的非线性传输多胞形上，利用 Sinkhorn-Knopp 迭代算法消除频数先验偏差，显著改善长尾稀有标签的召回表现。</w:t>
      </w:r>
    </w:p>
    <w:p>
      <w:pPr>
        <w:pStyle w:val="Heading1"/>
        <w:keepNext/>
        <w:spacing w:after="200" w:before="420" w:line="360"/>
        <w:jc w:val="left"/>
      </w:pPr>
      <w:bookmarkStart w:id="100001" w:name="_Toc100001"/>
      <w:r>
        <w:rPr>
          <w:rFonts w:ascii="Times New Roman" w:eastAsia="SimHei"/>
          <w:b/>
          <w:bCs/>
          <w:color w:val="000000"/>
          <w:sz w:val="32"/>
          <w:szCs w:val="32"/>
        </w:rPr>
        <w:t xml:space="preserve">2　数据集探索性分析与特性分布</w:t>
      </w:r>
      <w:bookmarkEnd w:id="100001"/>
    </w:p>
    <w:p>
      <w:pPr>
        <w:spacing w:after="0" w:before="0" w:line="360"/>
        <w:ind w:firstLine="560"/>
        <w:jc w:val="both"/>
      </w:pPr>
      <w:r>
        <w:rPr>
          <w:rFonts w:ascii="Times New Roman" w:eastAsia="SimSun"/>
          <w:color w:val="000000"/>
          <w:sz w:val="28"/>
          <w:szCs w:val="28"/>
        </w:rPr>
        <w:t xml:space="preserve">为了建立科学严谨的建模假设，我们首先对基准实验数据集进行了全面的探索性数据分析（Exploratory Data Analysis, EDA）。数据集共包含 </w:t>
      </w:r>
      <w:r>
        <w:rPr>
          <w:rFonts w:ascii="Times New Roman" w:eastAsia="SimSun"/>
          <w:i/>
          <w:iCs/>
          <w:color w:val="000000"/>
          <w:sz w:val="28"/>
          <w:szCs w:val="28"/>
        </w:rPr>
        <w:t xml:space="preserve">N = 113,796</w:t>
      </w:r>
      <w:r>
        <w:rPr>
          <w:rFonts w:ascii="Times New Roman" w:eastAsia="SimSun"/>
          <w:color w:val="000000"/>
          <w:sz w:val="28"/>
          <w:szCs w:val="28"/>
        </w:rPr>
        <w:t xml:space="preserve"> 条多物种全长蛋白质序列，目标标签空间包含 </w:t>
      </w:r>
      <w:r>
        <w:rPr>
          <w:rFonts w:ascii="Times New Roman" w:eastAsia="SimSun"/>
          <w:i/>
          <w:iCs/>
          <w:color w:val="000000"/>
          <w:sz w:val="28"/>
          <w:szCs w:val="28"/>
        </w:rPr>
        <w:t xml:space="preserve">M = 500</w:t>
      </w:r>
      <w:r>
        <w:rPr>
          <w:rFonts w:ascii="Times New Roman" w:eastAsia="SimSun"/>
          <w:color w:val="000000"/>
          <w:sz w:val="28"/>
          <w:szCs w:val="28"/>
        </w:rPr>
        <w:t xml:space="preserve"> 个去语义化的二值功能类别。图 1 从序列长度、实例标签基数以及标签频次分布三个维度展示了数据的宏观全景特征。</w:t>
      </w:r>
    </w:p>
    <w:p>
      <w:pPr>
        <w:spacing w:after="100" w:before="180"/>
        <w:jc w:val="center"/>
      </w:pPr>
      <w:r>
        <w:drawing>
          <wp:inline distT="0" distB="0" distL="0" distR="0">
            <wp:extent cx="51435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1600200"/>
                    </a:xfrm>
                    <a:prstGeom prst="rect">
                      <a:avLst/>
                    </a:prstGeom>
                  </pic:spPr>
                </pic:pic>
              </a:graphicData>
            </a:graphic>
          </wp:inline>
        </w:drawing>
      </w:r>
    </w:p>
    <w:p>
      <w:pPr>
        <w:keepNext/>
        <w:spacing w:after="200" w:before="140" w:line="312"/>
        <w:jc w:val="center"/>
      </w:pPr>
      <w:r>
        <w:rPr>
          <w:rFonts w:ascii="Times New Roman" w:eastAsia="SimHei"/>
          <w:b/>
          <w:bCs/>
          <w:color w:val="000000"/>
          <w:sz w:val="21"/>
          <w:szCs w:val="21"/>
        </w:rPr>
        <w:t xml:space="preserve">图1　数据集探索性数据分析：(a) 序列长度对数分布；(b) 单蛋白质功能标签基数分布；(c) 500 维标签极端长尾与累积占比曲线</w:t>
      </w:r>
    </w:p>
    <w:p>
      <w:pPr>
        <w:pStyle w:val="Heading2"/>
        <w:keepNext/>
        <w:spacing w:after="140" w:before="320" w:line="360"/>
      </w:pPr>
      <w:bookmarkStart w:id="100002" w:name="_Toc100002"/>
      <w:r>
        <w:rPr>
          <w:rFonts w:ascii="Times New Roman" w:eastAsia="SimHei"/>
          <w:b/>
          <w:bCs/>
          <w:color w:val="000000"/>
          <w:sz w:val="28"/>
          <w:szCs w:val="28"/>
        </w:rPr>
        <w:t xml:space="preserve">2.1　蛋白质序列长度的偏态特征</w:t>
      </w:r>
      <w:bookmarkEnd w:id="100002"/>
    </w:p>
    <w:p>
      <w:pPr>
        <w:spacing w:after="0" w:before="0" w:line="360"/>
        <w:ind w:firstLine="560"/>
        <w:jc w:val="both"/>
      </w:pPr>
      <w:r>
        <w:rPr>
          <w:rFonts w:ascii="Times New Roman" w:eastAsia="SimSun"/>
          <w:color w:val="000000"/>
          <w:sz w:val="28"/>
          <w:szCs w:val="28"/>
        </w:rPr>
        <w:t xml:space="preserve">图 1a 展示了氨基酸残基长度的概率密度直方图（对数横轴）。统计结果表明，全集序列长度的均值为 </w:t>
      </w:r>
      <w:r>
        <w:rPr>
          <w:rFonts w:ascii="Times New Roman" w:eastAsia="SimSun"/>
          <w:i/>
          <w:iCs/>
          <w:color w:val="000000"/>
          <w:sz w:val="28"/>
          <w:szCs w:val="28"/>
        </w:rPr>
        <w:t xml:space="preserve">553.2 aa</w:t>
      </w:r>
      <w:r>
        <w:rPr>
          <w:rFonts w:ascii="Times New Roman" w:eastAsia="SimSun"/>
          <w:color w:val="000000"/>
          <w:sz w:val="28"/>
          <w:szCs w:val="28"/>
        </w:rPr>
        <w:t xml:space="preserve">，中位数为 </w:t>
      </w:r>
      <w:r>
        <w:rPr>
          <w:rFonts w:ascii="Times New Roman" w:eastAsia="SimSun"/>
          <w:i/>
          <w:iCs/>
          <w:color w:val="000000"/>
          <w:sz w:val="28"/>
          <w:szCs w:val="28"/>
        </w:rPr>
        <w:t xml:space="preserve">410.0 aa</w:t>
      </w:r>
      <w:r>
        <w:rPr>
          <w:rFonts w:ascii="Times New Roman" w:eastAsia="SimSun"/>
          <w:color w:val="000000"/>
          <w:sz w:val="28"/>
          <w:szCs w:val="28"/>
        </w:rPr>
        <w:t xml:space="preserve">，标准差为 </w:t>
      </w:r>
      <w:r>
        <w:rPr>
          <w:rFonts w:ascii="Times New Roman" w:eastAsia="SimSun"/>
          <w:i/>
          <w:iCs/>
          <w:color w:val="000000"/>
          <w:sz w:val="28"/>
          <w:szCs w:val="28"/>
        </w:rPr>
        <w:t xml:space="preserve">643.5 aa</w:t>
      </w:r>
      <w:r>
        <w:rPr>
          <w:rFonts w:ascii="Times New Roman" w:eastAsia="SimSun"/>
          <w:color w:val="000000"/>
          <w:sz w:val="28"/>
          <w:szCs w:val="28"/>
        </w:rPr>
        <w:t xml:space="preserve">。长度分布呈现出极强的正偏态（右偏长尾），其 25% 分位数、75% 分位数与 95% 分位数分别为 </w:t>
      </w:r>
      <w:r>
        <w:rPr>
          <w:rFonts w:ascii="Times New Roman" w:eastAsia="SimSun"/>
          <w:i/>
          <w:iCs/>
          <w:color w:val="000000"/>
          <w:sz w:val="28"/>
          <w:szCs w:val="28"/>
        </w:rPr>
        <w:t xml:space="preserve">247 aa</w:t>
      </w:r>
      <w:r>
        <w:rPr>
          <w:rFonts w:ascii="Times New Roman" w:eastAsia="SimSun"/>
          <w:color w:val="000000"/>
          <w:sz w:val="28"/>
          <w:szCs w:val="28"/>
        </w:rPr>
        <w:t xml:space="preserve">、</w:t>
      </w:r>
      <w:r>
        <w:rPr>
          <w:rFonts w:ascii="Times New Roman" w:eastAsia="SimSun"/>
          <w:i/>
          <w:iCs/>
          <w:color w:val="000000"/>
          <w:sz w:val="28"/>
          <w:szCs w:val="28"/>
        </w:rPr>
        <w:t xml:space="preserve">652 aa</w:t>
      </w:r>
      <w:r>
        <w:rPr>
          <w:rFonts w:ascii="Times New Roman" w:eastAsia="SimSun"/>
          <w:color w:val="000000"/>
          <w:sz w:val="28"/>
          <w:szCs w:val="28"/>
        </w:rPr>
        <w:t xml:space="preserve"> 与 </w:t>
      </w:r>
      <w:r>
        <w:rPr>
          <w:rFonts w:ascii="Times New Roman" w:eastAsia="SimSun"/>
          <w:i/>
          <w:iCs/>
          <w:color w:val="000000"/>
          <w:sz w:val="28"/>
          <w:szCs w:val="28"/>
        </w:rPr>
        <w:t xml:space="preserve">1,434 aa</w:t>
      </w:r>
      <w:r>
        <w:rPr>
          <w:rFonts w:ascii="Times New Roman" w:eastAsia="SimSun"/>
          <w:color w:val="000000"/>
          <w:sz w:val="28"/>
          <w:szCs w:val="28"/>
        </w:rPr>
        <w:t xml:space="preserve">，最长异常序列达到 </w:t>
      </w:r>
      <w:r>
        <w:rPr>
          <w:rFonts w:ascii="Times New Roman" w:eastAsia="SimSun"/>
          <w:i/>
          <w:iCs/>
          <w:color w:val="000000"/>
          <w:sz w:val="28"/>
          <w:szCs w:val="28"/>
        </w:rPr>
        <w:t xml:space="preserve">35,375 aa</w:t>
      </w:r>
      <w:r>
        <w:rPr>
          <w:rFonts w:ascii="Times New Roman" w:eastAsia="SimSun"/>
          <w:color w:val="000000"/>
          <w:sz w:val="28"/>
          <w:szCs w:val="28"/>
        </w:rPr>
        <w:t xml:space="preserve">。这一统计事实表明，绝大多数（超 95%）功能性蛋白质的分子链处于 1,500 aa 以内。这为深度一维卷积网络采用局部最大截断（如 </w:t>
      </w:r>
      <w:r>
        <w:rPr>
          <w:rFonts w:ascii="Times New Roman" w:eastAsia="SimSun"/>
          <w:i/>
          <w:iCs/>
          <w:color w:val="000000"/>
          <w:sz w:val="28"/>
          <w:szCs w:val="28"/>
        </w:rPr>
        <w:t xml:space="preserve">L_max = 1,024</w:t>
      </w:r>
      <w:r>
        <w:rPr>
          <w:rFonts w:ascii="Times New Roman" w:eastAsia="SimSun"/>
          <w:color w:val="000000"/>
          <w:sz w:val="28"/>
          <w:szCs w:val="28"/>
        </w:rPr>
        <w:t xml:space="preserve">）提供了高覆盖率保障，同时也指明：单纯依靠全局平均池化处理残基表征，势必会导致处于千级长链中的关键功能模体遭到严重稀释。</w:t>
      </w:r>
    </w:p>
    <w:p>
      <w:pPr>
        <w:pStyle w:val="Heading2"/>
        <w:keepNext/>
        <w:spacing w:after="140" w:before="320" w:line="360"/>
      </w:pPr>
      <w:bookmarkStart w:id="100003" w:name="_Toc100003"/>
      <w:r>
        <w:rPr>
          <w:rFonts w:ascii="Times New Roman" w:eastAsia="SimHei"/>
          <w:b/>
          <w:bCs/>
          <w:color w:val="000000"/>
          <w:sz w:val="28"/>
          <w:szCs w:val="28"/>
        </w:rPr>
        <w:t xml:space="preserve">2.2　单蛋白质功能标签激活基数分布</w:t>
      </w:r>
      <w:bookmarkEnd w:id="100003"/>
    </w:p>
    <w:p>
      <w:pPr>
        <w:spacing w:after="0" w:before="0" w:line="360"/>
        <w:ind w:firstLine="560"/>
        <w:jc w:val="both"/>
      </w:pPr>
      <w:r>
        <w:rPr>
          <w:rFonts w:ascii="Times New Roman" w:eastAsia="SimSun"/>
          <w:color w:val="000000"/>
          <w:sz w:val="28"/>
          <w:szCs w:val="28"/>
        </w:rPr>
        <w:t xml:space="preserve">图 1b 刻画了单条蛋白质所分配的功能标签总数（即多标签基数，Cardinality）的频数分布。蛋白质的功能分配具有显著的生理异质性：平均每条蛋白质包含 </w:t>
      </w:r>
      <w:r>
        <w:rPr>
          <w:rFonts w:ascii="Times New Roman" w:eastAsia="SimSun"/>
          <w:i/>
          <w:iCs/>
          <w:color w:val="000000"/>
          <w:sz w:val="28"/>
          <w:szCs w:val="28"/>
        </w:rPr>
        <w:t xml:space="preserve">25.4</w:t>
      </w:r>
      <w:r>
        <w:rPr>
          <w:rFonts w:ascii="Times New Roman" w:eastAsia="SimSun"/>
          <w:color w:val="000000"/>
          <w:sz w:val="28"/>
          <w:szCs w:val="28"/>
        </w:rPr>
        <w:t xml:space="preserve"> 个功能标签，中位数为 </w:t>
      </w:r>
      <w:r>
        <w:rPr>
          <w:rFonts w:ascii="Times New Roman" w:eastAsia="SimSun"/>
          <w:i/>
          <w:iCs/>
          <w:color w:val="000000"/>
          <w:sz w:val="28"/>
          <w:szCs w:val="28"/>
        </w:rPr>
        <w:t xml:space="preserve">17.0</w:t>
      </w:r>
      <w:r>
        <w:rPr>
          <w:rFonts w:ascii="Times New Roman" w:eastAsia="SimSun"/>
          <w:color w:val="000000"/>
          <w:sz w:val="28"/>
          <w:szCs w:val="28"/>
        </w:rPr>
        <w:t xml:space="preserve">，标准差达 </w:t>
      </w:r>
      <w:r>
        <w:rPr>
          <w:rFonts w:ascii="Times New Roman" w:eastAsia="SimSun"/>
          <w:i/>
          <w:iCs/>
          <w:color w:val="000000"/>
          <w:sz w:val="28"/>
          <w:szCs w:val="28"/>
        </w:rPr>
        <w:t xml:space="preserve">24.6</w:t>
      </w:r>
      <w:r>
        <w:rPr>
          <w:rFonts w:ascii="Times New Roman" w:eastAsia="SimSun"/>
          <w:color w:val="000000"/>
          <w:sz w:val="28"/>
          <w:szCs w:val="28"/>
        </w:rPr>
        <w:t xml:space="preserve">。最少样本仅标注 1 个功能，而最高功能复合度的多功能蛋白质标签数高达 </w:t>
      </w:r>
      <w:r>
        <w:rPr>
          <w:rFonts w:ascii="Times New Roman" w:eastAsia="SimSun"/>
          <w:i/>
          <w:iCs/>
          <w:color w:val="000000"/>
          <w:sz w:val="28"/>
          <w:szCs w:val="28"/>
        </w:rPr>
        <w:t xml:space="preserve">273</w:t>
      </w:r>
      <w:r>
        <w:rPr>
          <w:rFonts w:ascii="Times New Roman" w:eastAsia="SimSun"/>
          <w:color w:val="000000"/>
          <w:sz w:val="28"/>
          <w:szCs w:val="28"/>
        </w:rPr>
        <w:t xml:space="preserve"> 个，90% 和 99% 分位数分别为 </w:t>
      </w:r>
      <w:r>
        <w:rPr>
          <w:rFonts w:ascii="Times New Roman" w:eastAsia="SimSun"/>
          <w:i/>
          <w:iCs/>
          <w:color w:val="000000"/>
          <w:sz w:val="28"/>
          <w:szCs w:val="28"/>
        </w:rPr>
        <w:t xml:space="preserve">57</w:t>
      </w:r>
      <w:r>
        <w:rPr>
          <w:rFonts w:ascii="Times New Roman" w:eastAsia="SimSun"/>
          <w:color w:val="000000"/>
          <w:sz w:val="28"/>
          <w:szCs w:val="28"/>
        </w:rPr>
        <w:t xml:space="preserve"> 与 </w:t>
      </w:r>
      <w:r>
        <w:rPr>
          <w:rFonts w:ascii="Times New Roman" w:eastAsia="SimSun"/>
          <w:i/>
          <w:iCs/>
          <w:color w:val="000000"/>
          <w:sz w:val="28"/>
          <w:szCs w:val="28"/>
        </w:rPr>
        <w:t xml:space="preserve">117</w:t>
      </w:r>
      <w:r>
        <w:rPr>
          <w:rFonts w:ascii="Times New Roman" w:eastAsia="SimSun"/>
          <w:color w:val="000000"/>
          <w:sz w:val="28"/>
          <w:szCs w:val="28"/>
        </w:rPr>
        <w:t xml:space="preserve">。这种剧烈的跨样本基数波动直接证伪了“对所有样本实施固定 Top-k 截断”的粗暴后处理策略，也为本文在后处理阶段基于模型初步推断动态构建样本行边际先验向量 </w:t>
      </w:r>
      <w:r>
        <w:rPr>
          <w:rFonts w:ascii="Times New Roman" w:eastAsia="SimSun"/>
          <w:i/>
          <w:iCs/>
          <w:color w:val="000000"/>
          <w:sz w:val="28"/>
          <w:szCs w:val="28"/>
        </w:rPr>
        <w:t xml:space="preserve">r_i</w:t>
      </w:r>
      <w:r>
        <w:rPr>
          <w:rFonts w:ascii="Times New Roman" w:eastAsia="SimSun"/>
          <w:color w:val="000000"/>
          <w:sz w:val="28"/>
          <w:szCs w:val="28"/>
        </w:rPr>
        <w:t xml:space="preserve"> 提供了直接的理论依据。</w:t>
      </w:r>
    </w:p>
    <w:p>
      <w:pPr>
        <w:pStyle w:val="Heading2"/>
        <w:keepNext/>
        <w:spacing w:after="140" w:before="320" w:line="360"/>
      </w:pPr>
      <w:bookmarkStart w:id="100004" w:name="_Toc100004"/>
      <w:r>
        <w:rPr>
          <w:rFonts w:ascii="Times New Roman" w:eastAsia="SimHei"/>
          <w:b/>
          <w:bCs/>
          <w:color w:val="000000"/>
          <w:sz w:val="28"/>
          <w:szCs w:val="28"/>
        </w:rPr>
        <w:t xml:space="preserve">2.3　功能标签空间的极端长尾垄断效应</w:t>
      </w:r>
      <w:bookmarkEnd w:id="100004"/>
    </w:p>
    <w:p>
      <w:pPr>
        <w:spacing w:after="0" w:before="0" w:line="360"/>
        <w:ind w:firstLine="560"/>
        <w:jc w:val="both"/>
      </w:pPr>
      <w:r>
        <w:rPr>
          <w:rFonts w:ascii="Times New Roman" w:eastAsia="SimSun"/>
          <w:color w:val="000000"/>
          <w:sz w:val="28"/>
          <w:szCs w:val="28"/>
        </w:rPr>
        <w:t xml:space="preserve">图 1c 揭示了 500 个功能标签在训练集中的激活频次降序排列及其累积占比曲线（洛伦兹曲线风格）。标签分布呈现出极端剧烈的长尾倾斜（Long-tail Skewness）：出现频次最高的头部通用功能标签被激活多达 </w:t>
      </w:r>
      <w:r>
        <w:rPr>
          <w:rFonts w:ascii="Times New Roman" w:eastAsia="SimSun"/>
          <w:i/>
          <w:iCs/>
          <w:color w:val="000000"/>
          <w:sz w:val="28"/>
          <w:szCs w:val="28"/>
        </w:rPr>
        <w:t xml:space="preserve">74,546</w:t>
      </w:r>
      <w:r>
        <w:rPr>
          <w:rFonts w:ascii="Times New Roman" w:eastAsia="SimSun"/>
          <w:color w:val="000000"/>
          <w:sz w:val="28"/>
          <w:szCs w:val="28"/>
        </w:rPr>
        <w:t xml:space="preserve"> 次（占样本总量的 65.5%），而处于尾部的专一性罕见功能标签仅被激活 </w:t>
      </w:r>
      <w:r>
        <w:rPr>
          <w:rFonts w:ascii="Times New Roman" w:eastAsia="SimSun"/>
          <w:i/>
          <w:iCs/>
          <w:color w:val="000000"/>
          <w:sz w:val="28"/>
          <w:szCs w:val="28"/>
        </w:rPr>
        <w:t xml:space="preserve">1,287</w:t>
      </w:r>
      <w:r>
        <w:rPr>
          <w:rFonts w:ascii="Times New Roman" w:eastAsia="SimSun"/>
          <w:color w:val="000000"/>
          <w:sz w:val="28"/>
          <w:szCs w:val="28"/>
        </w:rPr>
        <w:t xml:space="preserve"> 次（仅占 1.1%），极差接近 60 倍。进一步的累积分布分析表明：前 10%（50 个）高频标签垄断了全集 </w:t>
      </w:r>
      <w:r>
        <w:rPr>
          <w:rFonts w:ascii="Times New Roman" w:eastAsia="SimSun"/>
          <w:i/>
          <w:iCs/>
          <w:color w:val="000000"/>
          <w:sz w:val="28"/>
          <w:szCs w:val="28"/>
        </w:rPr>
        <w:t xml:space="preserve">47.3%</w:t>
      </w:r>
      <w:r>
        <w:rPr>
          <w:rFonts w:ascii="Times New Roman" w:eastAsia="SimSun"/>
          <w:color w:val="000000"/>
          <w:sz w:val="28"/>
          <w:szCs w:val="28"/>
        </w:rPr>
        <w:t xml:space="preserve"> 的标注总量；前 20%（100 个）标签占据了 </w:t>
      </w:r>
      <w:r>
        <w:rPr>
          <w:rFonts w:ascii="Times New Roman" w:eastAsia="SimSun"/>
          <w:i/>
          <w:iCs/>
          <w:color w:val="000000"/>
          <w:sz w:val="28"/>
          <w:szCs w:val="28"/>
        </w:rPr>
        <w:t xml:space="preserve">62.5%</w:t>
      </w:r>
      <w:r>
        <w:rPr>
          <w:rFonts w:ascii="Times New Roman" w:eastAsia="SimSun"/>
          <w:color w:val="000000"/>
          <w:sz w:val="28"/>
          <w:szCs w:val="28"/>
        </w:rPr>
        <w:t xml:space="preserve"> 的标注量；而占比高达 50%（250 个）的罕见功能标签仅分得剩余 </w:t>
      </w:r>
      <w:r>
        <w:rPr>
          <w:rFonts w:ascii="Times New Roman" w:eastAsia="SimSun"/>
          <w:i/>
          <w:iCs/>
          <w:color w:val="000000"/>
          <w:sz w:val="28"/>
          <w:szCs w:val="28"/>
        </w:rPr>
        <w:t xml:space="preserve">16.5%</w:t>
      </w:r>
      <w:r>
        <w:rPr>
          <w:rFonts w:ascii="Times New Roman" w:eastAsia="SimSun"/>
          <w:color w:val="000000"/>
          <w:sz w:val="28"/>
          <w:szCs w:val="28"/>
        </w:rPr>
        <w:t xml:space="preserve"> 的总标注份额。这种严重的分布失衡解释了为什么未加约束的模型容易陷入对高频类的盲目拟合，而引入非对称损失（ASL）与双边际最优传输正则化对于激活长尾标签具有决定性意义。</w:t>
      </w:r>
    </w:p>
    <w:p>
      <w:pPr>
        <w:pStyle w:val="Heading1"/>
        <w:keepNext/>
        <w:spacing w:after="200" w:before="420" w:line="360"/>
        <w:jc w:val="left"/>
      </w:pPr>
      <w:bookmarkStart w:id="100005" w:name="_Toc100005"/>
      <w:r>
        <w:rPr>
          <w:rFonts w:ascii="Times New Roman" w:eastAsia="SimHei"/>
          <w:b/>
          <w:bCs/>
          <w:color w:val="000000"/>
          <w:sz w:val="32"/>
          <w:szCs w:val="32"/>
        </w:rPr>
        <w:t xml:space="preserve">3　HDMR-Sinkhorn 架构设计与形式化推导</w:t>
      </w:r>
      <w:bookmarkEnd w:id="100005"/>
    </w:p>
    <w:p>
      <w:pPr>
        <w:spacing w:after="0" w:before="0" w:line="360"/>
        <w:ind w:firstLine="560"/>
        <w:jc w:val="both"/>
      </w:pPr>
      <w:r>
        <w:rPr>
          <w:rFonts w:ascii="Times New Roman" w:eastAsia="SimSun"/>
          <w:color w:val="000000"/>
          <w:sz w:val="28"/>
          <w:szCs w:val="28"/>
        </w:rPr>
        <w:t xml:space="preserve">HDMR-Sinkhorn 框架的端到端推断数据流如图 2 所示。整个推断流水线由四大核心阶段严密串联：双路径特征抽取、分支内聚合、无参数互惠秩融合以及双边际最优传输正则化。</w:t>
      </w:r>
    </w:p>
    <w:p>
      <w:pPr>
        <w:spacing w:after="100" w:before="180"/>
        <w:jc w:val="center"/>
      </w:pPr>
      <w:r>
        <w:drawing>
          <wp:inline distT="0" distB="0" distL="0" distR="0">
            <wp:extent cx="51435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647950"/>
                    </a:xfrm>
                    <a:prstGeom prst="rect">
                      <a:avLst/>
                    </a:prstGeom>
                  </pic:spPr>
                </pic:pic>
              </a:graphicData>
            </a:graphic>
          </wp:inline>
        </w:drawing>
      </w:r>
    </w:p>
    <w:p>
      <w:pPr>
        <w:keepNext/>
        <w:spacing w:after="200" w:before="140" w:line="312"/>
        <w:jc w:val="center"/>
      </w:pPr>
      <w:r>
        <w:rPr>
          <w:rFonts w:ascii="Times New Roman" w:eastAsia="SimHei"/>
          <w:b/>
          <w:bCs/>
          <w:color w:val="000000"/>
          <w:sz w:val="21"/>
          <w:szCs w:val="21"/>
        </w:rPr>
        <w:t xml:space="preserve">图2　HDMR-Sinkhorn 分层双路径架构与推断数据流总览</w:t>
      </w:r>
    </w:p>
    <w:p>
      <w:pPr>
        <w:pStyle w:val="Heading2"/>
        <w:keepNext/>
        <w:spacing w:after="140" w:before="320" w:line="360"/>
      </w:pPr>
      <w:bookmarkStart w:id="100006" w:name="_Toc100006"/>
      <w:r>
        <w:rPr>
          <w:rFonts w:ascii="Times New Roman" w:eastAsia="SimHei"/>
          <w:b/>
          <w:bCs/>
          <w:color w:val="000000"/>
          <w:sz w:val="28"/>
          <w:szCs w:val="28"/>
        </w:rPr>
        <w:t xml:space="preserve">3.1　分支 I：多尺度深度序列感知网络</w:t>
      </w:r>
      <w:bookmarkEnd w:id="100006"/>
    </w:p>
    <w:p>
      <w:pPr>
        <w:spacing w:after="0" w:before="0" w:line="360"/>
        <w:ind w:firstLine="560"/>
        <w:jc w:val="both"/>
      </w:pPr>
      <w:r>
        <w:rPr>
          <w:rFonts w:ascii="Times New Roman" w:eastAsia="SimSun"/>
          <w:color w:val="000000"/>
          <w:sz w:val="28"/>
          <w:szCs w:val="28"/>
        </w:rPr>
        <w:t xml:space="preserve">分支 I 专注于直接从原始残基序列提取高阶空间模体与进化语义。输入蛋白质序列 </w:t>
      </w:r>
      <w:r>
        <w:rPr>
          <w:rFonts w:ascii="Times New Roman" w:eastAsia="SimSun"/>
          <w:i/>
          <w:iCs/>
          <w:color w:val="000000"/>
          <w:sz w:val="28"/>
          <w:szCs w:val="28"/>
        </w:rPr>
        <w:t xml:space="preserve">x = (a_1, a_2, ..., a_L)</w:t>
      </w:r>
      <w:r>
        <w:rPr>
          <w:rFonts w:ascii="Times New Roman" w:eastAsia="SimSun"/>
          <w:color w:val="000000"/>
          <w:sz w:val="28"/>
          <w:szCs w:val="28"/>
        </w:rPr>
        <w:t xml:space="preserve"> 首先映射为独热编码张量 </w:t>
      </w:r>
      <w:r>
        <w:rPr>
          <w:rFonts w:ascii="Times New Roman" w:eastAsia="SimSun"/>
          <w:i/>
          <w:iCs/>
          <w:color w:val="000000"/>
          <w:sz w:val="28"/>
          <w:szCs w:val="28"/>
        </w:rPr>
        <w:t xml:space="preserve">X ∈ {0, 1}^{21 × L_max}</w:t>
      </w:r>
      <w:r>
        <w:rPr>
          <w:rFonts w:ascii="Times New Roman" w:eastAsia="SimSun"/>
          <w:color w:val="000000"/>
          <w:sz w:val="28"/>
          <w:szCs w:val="28"/>
        </w:rPr>
        <w:t xml:space="preserve">。为了解决单一卷积核在捕获不同跨度结构域时的尺度受限，设计了多尺度并行卷积与残基注意力：</w:t>
      </w:r>
    </w:p>
    <w:p>
      <w:pPr>
        <w:spacing w:after="0" w:before="0" w:line="360"/>
        <w:ind w:firstLine="560"/>
        <w:jc w:val="both"/>
      </w:pPr>
      <w:r>
        <w:rPr>
          <w:rFonts w:ascii="Times New Roman" w:eastAsia="SimSun"/>
          <w:b/>
          <w:bCs/>
          <w:color w:val="000000"/>
          <w:sz w:val="28"/>
          <w:szCs w:val="28"/>
        </w:rPr>
        <w:t xml:space="preserve">（1）多尺度膨胀残差卷积（C002b）：</w:t>
      </w:r>
      <w:r>
        <w:rPr>
          <w:rFonts w:ascii="Times New Roman" w:eastAsia="SimSun"/>
          <w:color w:val="000000"/>
          <w:sz w:val="28"/>
          <w:szCs w:val="28"/>
        </w:rPr>
        <w:t xml:space="preserve">设计包含 3 个并行卷积分支的一维网络，卷积核大小设为 </w:t>
      </w:r>
      <w:r>
        <w:rPr>
          <w:rFonts w:ascii="Times New Roman" w:eastAsia="SimSun"/>
          <w:i/>
          <w:iCs/>
          <w:color w:val="000000"/>
          <w:sz w:val="28"/>
          <w:szCs w:val="28"/>
        </w:rPr>
        <w:t xml:space="preserve">k ∈ {7, 15, 31}</w:t>
      </w:r>
      <w:r>
        <w:rPr>
          <w:rFonts w:ascii="Times New Roman" w:eastAsia="SimSun"/>
          <w:color w:val="000000"/>
          <w:sz w:val="28"/>
          <w:szCs w:val="28"/>
        </w:rPr>
        <w:t xml:space="preserve">，膨胀系数依次递增为 </w:t>
      </w:r>
      <w:r>
        <w:rPr>
          <w:rFonts w:ascii="Times New Roman" w:eastAsia="SimSun"/>
          <w:i/>
          <w:iCs/>
          <w:color w:val="000000"/>
          <w:sz w:val="28"/>
          <w:szCs w:val="28"/>
        </w:rPr>
        <w:t xml:space="preserve">d ∈ {1, 2, 4}</w:t>
      </w:r>
      <w:r>
        <w:rPr>
          <w:rFonts w:ascii="Times New Roman"/>
          <w:color w:val="000000"/>
          <w:sz w:val="21"/>
          <w:szCs w:val="21"/>
          <w:vertAlign w:val="superscript"/>
        </w:rPr>
        <w:t xml:space="preserve">[11]</w:t>
      </w:r>
      <w:r>
        <w:rPr>
          <w:rFonts w:ascii="Times New Roman" w:eastAsia="SimSun"/>
          <w:color w:val="000000"/>
          <w:sz w:val="28"/>
          <w:szCs w:val="28"/>
        </w:rPr>
        <w:t xml:space="preserve">，在不降低时域分辨率的前提下将有效感受野拓展至数百个残基。网络内部构建残差恒等映射以确保梯度流平稳传递。</w:t>
      </w:r>
    </w:p>
    <w:p>
      <w:pPr>
        <w:spacing w:after="0" w:before="0" w:line="360"/>
        <w:ind w:firstLine="560"/>
        <w:jc w:val="both"/>
      </w:pPr>
      <w:r>
        <w:rPr>
          <w:rFonts w:ascii="Times New Roman" w:eastAsia="SimSun"/>
          <w:b/>
          <w:bCs/>
          <w:color w:val="000000"/>
          <w:sz w:val="28"/>
          <w:szCs w:val="28"/>
        </w:rPr>
        <w:t xml:space="preserve">（2）类别特异性残基注意力（CSRA, C005）：</w:t>
      </w:r>
      <w:r>
        <w:rPr>
          <w:rFonts w:ascii="Times New Roman" w:eastAsia="SimSun"/>
          <w:color w:val="000000"/>
          <w:sz w:val="28"/>
          <w:szCs w:val="28"/>
        </w:rPr>
        <w:t xml:space="preserve">针对传统全局平均池化（GAP）将长序列信息平均化导致的信号衰减，引入类别特异性注意力机制</w:t>
      </w:r>
      <w:r>
        <w:rPr>
          <w:rFonts w:ascii="Times New Roman"/>
          <w:color w:val="000000"/>
          <w:sz w:val="21"/>
          <w:szCs w:val="21"/>
          <w:vertAlign w:val="superscript"/>
        </w:rPr>
        <w:t xml:space="preserve">[13]</w:t>
      </w:r>
      <w:r>
        <w:rPr>
          <w:rFonts w:ascii="Times New Roman" w:eastAsia="SimSun"/>
          <w:color w:val="000000"/>
          <w:sz w:val="28"/>
          <w:szCs w:val="28"/>
        </w:rPr>
        <w:t xml:space="preserve">。对于第 </w:t>
      </w:r>
      <w:r>
        <w:rPr>
          <w:rFonts w:ascii="Times New Roman" w:eastAsia="SimSun"/>
          <w:i/>
          <w:iCs/>
          <w:color w:val="000000"/>
          <w:sz w:val="28"/>
          <w:szCs w:val="28"/>
        </w:rPr>
        <w:t xml:space="preserve">j</w:t>
      </w:r>
      <w:r>
        <w:rPr>
          <w:rFonts w:ascii="Times New Roman" w:eastAsia="SimSun"/>
          <w:color w:val="000000"/>
          <w:sz w:val="28"/>
          <w:szCs w:val="28"/>
        </w:rPr>
        <w:t xml:space="preserve"> 个功能类别，其在残基位置 </w:t>
      </w:r>
      <w:r>
        <w:rPr>
          <w:rFonts w:ascii="Times New Roman" w:eastAsia="SimSun"/>
          <w:i/>
          <w:iCs/>
          <w:color w:val="000000"/>
          <w:sz w:val="28"/>
          <w:szCs w:val="28"/>
        </w:rPr>
        <w:t xml:space="preserve">i</w:t>
      </w:r>
      <w:r>
        <w:rPr>
          <w:rFonts w:ascii="Times New Roman" w:eastAsia="SimSun"/>
          <w:color w:val="000000"/>
          <w:sz w:val="28"/>
          <w:szCs w:val="28"/>
        </w:rPr>
        <w:t xml:space="preserve"> 处的归一化注意力权值表达为：</w:t>
      </w:r>
    </w:p>
    <w:p>
      <w:pPr>
        <w:spacing w:after="180" w:before="180" w:line="320"/>
        <w:jc w:val="center"/>
      </w:pPr>
      <w:r>
        <w:rPr>
          <w:rFonts w:ascii="Times New Roman"/>
          <w:i/>
          <w:iCs/>
          <w:color w:val="000000"/>
          <w:sz w:val="26"/>
          <w:szCs w:val="26"/>
        </w:rPr>
        <w:t xml:space="preserve">a_ij = exp( T · w_j^T · f_i )  /  [ ∑_(k=1..L) exp( T · w_j^T · f_k ) ]</w:t>
      </w:r>
      <w:r>
        <w:rPr>
          <w:rFonts w:ascii="Times New Roman"/>
          <w:i w:val="false"/>
          <w:iCs w:val="false"/>
          <w:color w:val="333333"/>
          <w:sz w:val="24"/>
          <w:szCs w:val="24"/>
        </w:rPr>
        <w:t xml:space="preserve">        (1)</w:t>
      </w:r>
    </w:p>
    <w:p>
      <w:pPr>
        <w:spacing w:after="0" w:before="0" w:line="360"/>
        <w:ind w:firstLine="560"/>
        <w:jc w:val="both"/>
      </w:pPr>
      <w:r>
        <w:rPr>
          <w:rFonts w:ascii="Times New Roman" w:eastAsia="SimSun"/>
          <w:color w:val="000000"/>
          <w:sz w:val="28"/>
          <w:szCs w:val="28"/>
        </w:rPr>
        <w:t xml:space="preserve">其中 </w:t>
      </w:r>
      <w:r>
        <w:rPr>
          <w:rFonts w:ascii="Times New Roman" w:eastAsia="SimSun"/>
          <w:i/>
          <w:iCs/>
          <w:color w:val="000000"/>
          <w:sz w:val="28"/>
          <w:szCs w:val="28"/>
        </w:rPr>
        <w:t xml:space="preserve">T</w:t>
      </w:r>
      <w:r>
        <w:rPr>
          <w:rFonts w:ascii="Times New Roman" w:eastAsia="SimSun"/>
          <w:color w:val="000000"/>
          <w:sz w:val="28"/>
          <w:szCs w:val="28"/>
        </w:rPr>
        <w:t xml:space="preserve"> 为温度超参数，</w:t>
      </w:r>
      <w:r>
        <w:rPr>
          <w:rFonts w:ascii="Times New Roman" w:eastAsia="SimSun"/>
          <w:i/>
          <w:iCs/>
          <w:color w:val="000000"/>
          <w:sz w:val="28"/>
          <w:szCs w:val="28"/>
        </w:rPr>
        <w:t xml:space="preserve">f_i</w:t>
      </w:r>
      <w:r>
        <w:rPr>
          <w:rFonts w:ascii="Times New Roman" w:eastAsia="SimSun"/>
          <w:color w:val="000000"/>
          <w:sz w:val="28"/>
          <w:szCs w:val="28"/>
        </w:rPr>
        <w:t xml:space="preserve"> 为残基位置 </w:t>
      </w:r>
      <w:r>
        <w:rPr>
          <w:rFonts w:ascii="Times New Roman" w:eastAsia="SimSun"/>
          <w:i/>
          <w:iCs/>
          <w:color w:val="000000"/>
          <w:sz w:val="28"/>
          <w:szCs w:val="28"/>
        </w:rPr>
        <w:t xml:space="preserve">i</w:t>
      </w:r>
      <w:r>
        <w:rPr>
          <w:rFonts w:ascii="Times New Roman" w:eastAsia="SimSun"/>
          <w:color w:val="000000"/>
          <w:sz w:val="28"/>
          <w:szCs w:val="28"/>
        </w:rPr>
        <w:t xml:space="preserve"> 处的隐层特征向量，</w:t>
      </w:r>
      <w:r>
        <w:rPr>
          <w:rFonts w:ascii="Times New Roman" w:eastAsia="SimSun"/>
          <w:i/>
          <w:iCs/>
          <w:color w:val="000000"/>
          <w:sz w:val="28"/>
          <w:szCs w:val="28"/>
        </w:rPr>
        <w:t xml:space="preserve">w_j</w:t>
      </w:r>
      <w:r>
        <w:rPr>
          <w:rFonts w:ascii="Times New Roman" w:eastAsia="SimSun"/>
          <w:color w:val="000000"/>
          <w:sz w:val="28"/>
          <w:szCs w:val="28"/>
        </w:rPr>
        <w:t xml:space="preserve"> 为第 </w:t>
      </w:r>
      <w:r>
        <w:rPr>
          <w:rFonts w:ascii="Times New Roman" w:eastAsia="SimSun"/>
          <w:i/>
          <w:iCs/>
          <w:color w:val="000000"/>
          <w:sz w:val="28"/>
          <w:szCs w:val="28"/>
        </w:rPr>
        <w:t xml:space="preserve">j</w:t>
      </w:r>
      <w:r>
        <w:rPr>
          <w:rFonts w:ascii="Times New Roman" w:eastAsia="SimSun"/>
          <w:color w:val="000000"/>
          <w:sz w:val="28"/>
          <w:szCs w:val="28"/>
        </w:rPr>
        <w:t xml:space="preserve"> 个类别的可学习注意力投射向量。该机制能够自适应凸显与目标功能密切相关的极少数活性位点。</w:t>
      </w:r>
    </w:p>
    <w:p>
      <w:pPr>
        <w:spacing w:after="0" w:before="0" w:line="360"/>
        <w:ind w:firstLine="560"/>
        <w:jc w:val="both"/>
      </w:pPr>
      <w:r>
        <w:rPr>
          <w:rFonts w:ascii="Times New Roman" w:eastAsia="SimSun"/>
          <w:b/>
          <w:bCs/>
          <w:color w:val="000000"/>
          <w:sz w:val="28"/>
          <w:szCs w:val="28"/>
        </w:rPr>
        <w:t xml:space="preserve">（3）非对称损失优化（ASL）：</w:t>
      </w:r>
      <w:r>
        <w:rPr>
          <w:rFonts w:ascii="Times New Roman" w:eastAsia="SimSun"/>
          <w:color w:val="000000"/>
          <w:sz w:val="28"/>
          <w:szCs w:val="28"/>
        </w:rPr>
        <w:t xml:space="preserve">鉴于多标签分布极度稀疏，采用非对称损失函数</w:t>
      </w:r>
      <w:r>
        <w:rPr>
          <w:rFonts w:ascii="Times New Roman"/>
          <w:color w:val="000000"/>
          <w:sz w:val="21"/>
          <w:szCs w:val="21"/>
          <w:vertAlign w:val="superscript"/>
        </w:rPr>
        <w:t xml:space="preserve">[12]</w:t>
      </w:r>
      <w:r>
        <w:rPr>
          <w:rFonts w:ascii="Times New Roman" w:eastAsia="SimSun"/>
          <w:color w:val="000000"/>
          <w:sz w:val="28"/>
          <w:szCs w:val="28"/>
        </w:rPr>
        <w:t xml:space="preserve"> 进行端到端训练：</w:t>
      </w:r>
    </w:p>
    <w:p>
      <w:pPr>
        <w:spacing w:after="180" w:before="180" w:line="320"/>
        <w:jc w:val="center"/>
      </w:pPr>
      <w:r>
        <w:rPr>
          <w:rFonts w:ascii="Times New Roman"/>
          <w:i/>
          <w:iCs/>
          <w:color w:val="000000"/>
          <w:sz w:val="26"/>
          <w:szCs w:val="26"/>
        </w:rPr>
        <w:t xml:space="preserve">L_ASL = - y_j · (1 - p_j)^γ+ · log(p_j) - (1 - y_j) · (p_mj)^γ- · log(1 - p_mj)</w:t>
      </w:r>
      <w:r>
        <w:rPr>
          <w:rFonts w:ascii="Times New Roman"/>
          <w:i w:val="false"/>
          <w:iCs w:val="false"/>
          <w:color w:val="333333"/>
          <w:sz w:val="24"/>
          <w:szCs w:val="24"/>
        </w:rPr>
        <w:t xml:space="preserve">        (2)</w:t>
      </w:r>
    </w:p>
    <w:p>
      <w:pPr>
        <w:spacing w:after="0" w:before="0" w:line="360"/>
        <w:ind w:firstLine="560"/>
        <w:jc w:val="both"/>
      </w:pPr>
      <w:r>
        <w:rPr>
          <w:rFonts w:ascii="Times New Roman" w:eastAsia="SimSun"/>
          <w:color w:val="000000"/>
          <w:sz w:val="28"/>
          <w:szCs w:val="28"/>
        </w:rPr>
        <w:t xml:space="preserve">其中截断负概率定义为 </w:t>
      </w:r>
      <w:r>
        <w:rPr>
          <w:rFonts w:ascii="Times New Roman" w:eastAsia="SimSun"/>
          <w:i/>
          <w:iCs/>
          <w:color w:val="000000"/>
          <w:sz w:val="28"/>
          <w:szCs w:val="28"/>
        </w:rPr>
        <w:t xml:space="preserve">p_mj = max(p_j - m, 0)</w:t>
      </w:r>
      <w:r>
        <w:rPr>
          <w:rFonts w:ascii="Times New Roman" w:eastAsia="SimSun"/>
          <w:color w:val="000000"/>
          <w:sz w:val="28"/>
          <w:szCs w:val="28"/>
        </w:rPr>
        <w:t xml:space="preserve">。本模型固定采用超参数配置 </w:t>
      </w:r>
      <w:r>
        <w:rPr>
          <w:rFonts w:ascii="Times New Roman" w:eastAsia="SimSun"/>
          <w:i/>
          <w:iCs/>
          <w:color w:val="000000"/>
          <w:sz w:val="28"/>
          <w:szCs w:val="28"/>
        </w:rPr>
        <w:t xml:space="preserve">γ+ = 0, γ- = 4, m = 0.05</w:t>
      </w:r>
      <w:r>
        <w:rPr>
          <w:rFonts w:ascii="Times New Roman" w:eastAsia="SimSun"/>
          <w:color w:val="000000"/>
          <w:sz w:val="28"/>
          <w:szCs w:val="28"/>
        </w:rPr>
        <w:t xml:space="preserve">。该损失函数能够对占据绝大多数的高置信简单负样本实施剧烈抑制，防止梯度被平庸负例淹没。</w:t>
      </w:r>
    </w:p>
    <w:p>
      <w:pPr>
        <w:spacing w:after="0" w:before="0" w:line="360"/>
        <w:ind w:firstLine="560"/>
        <w:jc w:val="both"/>
      </w:pPr>
      <w:r>
        <w:rPr>
          <w:rFonts w:ascii="Times New Roman" w:eastAsia="SimSun"/>
          <w:b/>
          <w:bCs/>
          <w:color w:val="000000"/>
          <w:sz w:val="28"/>
          <w:szCs w:val="28"/>
        </w:rPr>
        <w:t xml:space="preserve">（4）旋转位置编码 Transformer（RoFormer, T001a/T002）：</w:t>
      </w:r>
      <w:r>
        <w:rPr>
          <w:rFonts w:ascii="Times New Roman" w:eastAsia="SimSun"/>
          <w:color w:val="000000"/>
          <w:sz w:val="28"/>
          <w:szCs w:val="28"/>
        </w:rPr>
        <w:t xml:space="preserve">并联引入注入旋转位置编码（RoPE）</w:t>
      </w:r>
      <w:r>
        <w:rPr>
          <w:rFonts w:ascii="Times New Roman"/>
          <w:color w:val="000000"/>
          <w:sz w:val="21"/>
          <w:szCs w:val="21"/>
          <w:vertAlign w:val="superscript"/>
        </w:rPr>
        <w:t xml:space="preserve">[14]</w:t>
      </w:r>
      <w:r>
        <w:rPr>
          <w:rFonts w:ascii="Times New Roman" w:eastAsia="SimSun"/>
          <w:color w:val="000000"/>
          <w:sz w:val="28"/>
          <w:szCs w:val="28"/>
        </w:rPr>
        <w:t xml:space="preserve"> 的自注意力序列模型，以补偿卷积网络在极长程依赖建模上的局限。分支 I 的最终加权表示输出形式化为：</w:t>
      </w:r>
    </w:p>
    <w:p>
      <w:pPr>
        <w:spacing w:after="180" w:before="180" w:line="320"/>
        <w:jc w:val="center"/>
      </w:pPr>
      <w:r>
        <w:rPr>
          <w:rFonts w:ascii="Times New Roman"/>
          <w:i/>
          <w:iCs/>
          <w:color w:val="000000"/>
          <w:sz w:val="26"/>
          <w:szCs w:val="26"/>
        </w:rPr>
        <w:t xml:space="preserve">S_deep = w_t1 · P_t001a + w_t2 · P_t002 + w_cnn · [ (1 - α_c) · P_c002b + α_c · P_c005 ]</w:t>
      </w:r>
      <w:r>
        <w:rPr>
          <w:rFonts w:ascii="Times New Roman"/>
          <w:i w:val="false"/>
          <w:iCs w:val="false"/>
          <w:color w:val="333333"/>
          <w:sz w:val="24"/>
          <w:szCs w:val="24"/>
        </w:rPr>
        <w:t xml:space="preserve">        (3)</w:t>
      </w:r>
    </w:p>
    <w:p>
      <w:pPr>
        <w:pStyle w:val="Heading2"/>
        <w:keepNext/>
        <w:spacing w:after="140" w:before="320" w:line="360"/>
      </w:pPr>
      <w:bookmarkStart w:id="100007" w:name="_Toc100007"/>
      <w:r>
        <w:rPr>
          <w:rFonts w:ascii="Times New Roman" w:eastAsia="SimHei"/>
          <w:b/>
          <w:bCs/>
          <w:color w:val="000000"/>
          <w:sz w:val="28"/>
          <w:szCs w:val="28"/>
        </w:rPr>
        <w:t xml:space="preserve">3.2　分支 II：进化比对与局部频数流形转移</w:t>
      </w:r>
      <w:bookmarkEnd w:id="100007"/>
    </w:p>
    <w:p>
      <w:pPr>
        <w:spacing w:after="0" w:before="0" w:line="360"/>
        <w:ind w:firstLine="560"/>
        <w:jc w:val="both"/>
      </w:pPr>
      <w:r>
        <w:rPr>
          <w:rFonts w:ascii="Times New Roman" w:eastAsia="SimSun"/>
          <w:color w:val="000000"/>
          <w:sz w:val="28"/>
          <w:szCs w:val="28"/>
        </w:rPr>
        <w:t xml:space="preserve">分支 II 依据分子进化的同源保守假说，将已知序列的实验注释通过显式比对与隐式频数流形进行双级映射：</w:t>
      </w:r>
    </w:p>
    <w:p>
      <w:pPr>
        <w:spacing w:after="0" w:before="0" w:line="360"/>
        <w:ind w:firstLine="560"/>
        <w:jc w:val="both"/>
      </w:pPr>
      <w:r>
        <w:rPr>
          <w:rFonts w:ascii="Times New Roman" w:eastAsia="SimSun"/>
          <w:b/>
          <w:bCs/>
          <w:color w:val="000000"/>
          <w:sz w:val="28"/>
          <w:szCs w:val="28"/>
        </w:rPr>
        <w:t xml:space="preserve">（1）高灵敏度局部比对得分转移：</w:t>
      </w:r>
      <w:r>
        <w:rPr>
          <w:rFonts w:ascii="Times New Roman" w:eastAsia="SimSun"/>
          <w:color w:val="000000"/>
          <w:sz w:val="28"/>
          <w:szCs w:val="28"/>
        </w:rPr>
        <w:t xml:space="preserve">使用 DIAMOND 工具</w:t>
      </w:r>
      <w:r>
        <w:rPr>
          <w:rFonts w:ascii="Times New Roman"/>
          <w:color w:val="000000"/>
          <w:sz w:val="21"/>
          <w:szCs w:val="21"/>
          <w:vertAlign w:val="superscript"/>
        </w:rPr>
        <w:t xml:space="preserve">[7,8]</w:t>
      </w:r>
      <w:r>
        <w:rPr>
          <w:rFonts w:ascii="Times New Roman" w:eastAsia="SimSun"/>
          <w:color w:val="000000"/>
          <w:sz w:val="28"/>
          <w:szCs w:val="28"/>
        </w:rPr>
        <w:t xml:space="preserve"> 在 very-sensitive 检索模式下构建训练集索引，E-value 截断设为 0.001。对于查询样本检索到的前 </w:t>
      </w:r>
      <w:r>
        <w:rPr>
          <w:rFonts w:ascii="Times New Roman" w:eastAsia="SimSun"/>
          <w:i/>
          <w:iCs/>
          <w:color w:val="000000"/>
          <w:sz w:val="28"/>
          <w:szCs w:val="28"/>
        </w:rPr>
        <w:t xml:space="preserve">M = 5</w:t>
      </w:r>
      <w:r>
        <w:rPr>
          <w:rFonts w:ascii="Times New Roman" w:eastAsia="SimSun"/>
          <w:color w:val="000000"/>
          <w:sz w:val="28"/>
          <w:szCs w:val="28"/>
        </w:rPr>
        <w:t xml:space="preserve"> 个最近邻同源蛋白，按比对得分（Bitscore）执行非线性权重聚合：</w:t>
      </w:r>
    </w:p>
    <w:p>
      <w:pPr>
        <w:spacing w:after="180" w:before="180" w:line="320"/>
        <w:jc w:val="center"/>
      </w:pPr>
      <w:r>
        <w:rPr>
          <w:rFonts w:ascii="Times New Roman"/>
          <w:i/>
          <w:iCs/>
          <w:color w:val="000000"/>
          <w:sz w:val="26"/>
          <w:szCs w:val="26"/>
        </w:rPr>
        <w:t xml:space="preserve">S_bit = [ ∑_(m=1..M) y_m · Bitscore_m ]  /  [ ∑_(m=1..M) Bitscore_m + ε ]</w:t>
      </w:r>
      <w:r>
        <w:rPr>
          <w:rFonts w:ascii="Times New Roman"/>
          <w:i w:val="false"/>
          <w:iCs w:val="false"/>
          <w:color w:val="333333"/>
          <w:sz w:val="24"/>
          <w:szCs w:val="24"/>
        </w:rPr>
        <w:t xml:space="preserve">        (4)</w:t>
      </w:r>
    </w:p>
    <w:p>
      <w:pPr>
        <w:spacing w:after="0" w:before="0" w:line="360"/>
        <w:ind w:firstLine="560"/>
        <w:jc w:val="both"/>
      </w:pPr>
      <w:r>
        <w:rPr>
          <w:rFonts w:ascii="Times New Roman" w:eastAsia="SimSun"/>
          <w:b/>
          <w:bCs/>
          <w:color w:val="000000"/>
          <w:sz w:val="28"/>
          <w:szCs w:val="28"/>
        </w:rPr>
        <w:t xml:space="preserve">（2）多尺度 k-mer 局部频数流形转移：</w:t>
      </w:r>
      <w:r>
        <w:rPr>
          <w:rFonts w:ascii="Times New Roman" w:eastAsia="SimSun"/>
          <w:color w:val="000000"/>
          <w:sz w:val="28"/>
          <w:szCs w:val="28"/>
        </w:rPr>
        <w:t xml:space="preserve">当序列演化跨越暮光区而无法形成局域局部比对片段时，序列仍可能共享未被比对识别的保守模体。我们提取 </w:t>
      </w:r>
      <w:r>
        <w:rPr>
          <w:rFonts w:ascii="Times New Roman" w:eastAsia="SimSun"/>
          <w:i/>
          <w:iCs/>
          <w:color w:val="000000"/>
          <w:sz w:val="28"/>
          <w:szCs w:val="28"/>
        </w:rPr>
        <w:t xml:space="preserve">k ∈ {4, 5, 6, 7, 8}</w:t>
      </w:r>
      <w:r>
        <w:rPr>
          <w:rFonts w:ascii="Times New Roman" w:eastAsia="SimSun"/>
          <w:color w:val="000000"/>
          <w:sz w:val="28"/>
          <w:szCs w:val="28"/>
        </w:rPr>
        <w:t xml:space="preserve"> 的频数谱向量，通过最近邻余弦相似度的平方赋予二次方流形权重 </w:t>
      </w:r>
      <w:r>
        <w:rPr>
          <w:rFonts w:ascii="Times New Roman" w:eastAsia="SimSun"/>
          <w:i/>
          <w:iCs/>
          <w:color w:val="000000"/>
          <w:sz w:val="28"/>
          <w:szCs w:val="28"/>
        </w:rPr>
        <w:t xml:space="preserve">w = sim²</w:t>
      </w:r>
      <w:r>
        <w:rPr>
          <w:rFonts w:ascii="Times New Roman"/>
          <w:color w:val="000000"/>
          <w:sz w:val="21"/>
          <w:szCs w:val="21"/>
          <w:vertAlign w:val="superscript"/>
        </w:rPr>
        <w:t xml:space="preserve">[31]</w:t>
      </w:r>
      <w:r>
        <w:rPr>
          <w:rFonts w:ascii="Times New Roman" w:eastAsia="SimSun"/>
          <w:color w:val="000000"/>
          <w:sz w:val="28"/>
          <w:szCs w:val="28"/>
        </w:rPr>
        <w:t xml:space="preserve">。同源分支最终得分为：</w:t>
      </w:r>
    </w:p>
    <w:p>
      <w:pPr>
        <w:spacing w:after="180" w:before="180" w:line="320"/>
        <w:jc w:val="center"/>
      </w:pPr>
      <w:r>
        <w:rPr>
          <w:rFonts w:ascii="Times New Roman"/>
          <w:i/>
          <w:iCs/>
          <w:color w:val="000000"/>
          <w:sz w:val="26"/>
          <w:szCs w:val="26"/>
        </w:rPr>
        <w:t xml:space="preserve">S_sim = w_align · S_bit + (1 - w_align) · S_kmer</w:t>
      </w:r>
      <w:r>
        <w:rPr>
          <w:rFonts w:ascii="Times New Roman"/>
          <w:i w:val="false"/>
          <w:iCs w:val="false"/>
          <w:color w:val="333333"/>
          <w:sz w:val="24"/>
          <w:szCs w:val="24"/>
        </w:rPr>
        <w:t xml:space="preserve">        (5)</w:t>
      </w:r>
    </w:p>
    <w:p>
      <w:pPr>
        <w:pStyle w:val="Heading2"/>
        <w:keepNext/>
        <w:spacing w:after="140" w:before="320" w:line="360"/>
      </w:pPr>
      <w:bookmarkStart w:id="100008" w:name="_Toc100008"/>
      <w:r>
        <w:rPr>
          <w:rFonts w:ascii="Times New Roman" w:eastAsia="SimHei"/>
          <w:b/>
          <w:bCs/>
          <w:color w:val="000000"/>
          <w:sz w:val="28"/>
          <w:szCs w:val="28"/>
        </w:rPr>
        <w:t xml:space="preserve">3.3　无参数互惠秩融合（Reciprocal Rank Fusion, RRF）</w:t>
      </w:r>
      <w:bookmarkEnd w:id="100008"/>
    </w:p>
    <w:p>
      <w:pPr>
        <w:spacing w:after="0" w:before="0" w:line="360"/>
        <w:ind w:firstLine="560"/>
        <w:jc w:val="both"/>
      </w:pPr>
      <w:r>
        <w:rPr>
          <w:rFonts w:ascii="Times New Roman" w:eastAsia="SimSun"/>
          <w:color w:val="000000"/>
          <w:sz w:val="28"/>
          <w:szCs w:val="28"/>
        </w:rPr>
        <w:t xml:space="preserve">当深度学习预测分支与同源转移分支相交汇时，直接线性相加面临深度的数值刻度失调。比对分数的概率分布极度尖锐，在近缘同源体处迅速饱和至 1.0，在远缘处直接归零；而深度神经网络的 Sigmoid 输出相对平缓。为规避复杂参数化权重学习所引发的验证集过拟合，我们引入信息检索中的互惠秩融合（RRF）范式</w:t>
      </w:r>
      <w:r>
        <w:rPr>
          <w:rFonts w:ascii="Times New Roman"/>
          <w:color w:val="000000"/>
          <w:sz w:val="21"/>
          <w:szCs w:val="21"/>
          <w:vertAlign w:val="superscript"/>
        </w:rPr>
        <w:t xml:space="preserve">[16]</w:t>
      </w:r>
      <w:r>
        <w:rPr>
          <w:rFonts w:ascii="Times New Roman" w:eastAsia="SimSun"/>
          <w:color w:val="000000"/>
          <w:sz w:val="28"/>
          <w:szCs w:val="28"/>
        </w:rPr>
        <w:t xml:space="preserve">：</w:t>
      </w:r>
    </w:p>
    <w:p>
      <w:pPr>
        <w:spacing w:after="180" w:before="180" w:line="320"/>
        <w:jc w:val="center"/>
      </w:pPr>
      <w:r>
        <w:rPr>
          <w:rFonts w:ascii="Times New Roman"/>
          <w:i/>
          <w:iCs/>
          <w:color w:val="000000"/>
          <w:sz w:val="26"/>
          <w:szCs w:val="26"/>
        </w:rPr>
        <w:t xml:space="preserve">RRF(S_deep, S_sim; k) = 1 / [ k + rank(S_deep) + 1 ]  +  1 / [ k + rank(S_sim) + 1 ]</w:t>
      </w:r>
      <w:r>
        <w:rPr>
          <w:rFonts w:ascii="Times New Roman"/>
          <w:i w:val="false"/>
          <w:iCs w:val="false"/>
          <w:color w:val="333333"/>
          <w:sz w:val="24"/>
          <w:szCs w:val="24"/>
        </w:rPr>
        <w:t xml:space="preserve">        (6)</w:t>
      </w:r>
    </w:p>
    <w:p>
      <w:pPr>
        <w:spacing w:after="0" w:before="0" w:line="360"/>
        <w:ind w:firstLine="560"/>
        <w:jc w:val="both"/>
      </w:pPr>
      <w:r>
        <w:rPr>
          <w:rFonts w:ascii="Times New Roman" w:eastAsia="SimSun"/>
          <w:color w:val="000000"/>
          <w:sz w:val="28"/>
          <w:szCs w:val="28"/>
        </w:rPr>
        <w:t xml:space="preserve">其中 </w:t>
      </w:r>
      <w:r>
        <w:rPr>
          <w:rFonts w:ascii="Times New Roman" w:eastAsia="SimSun"/>
          <w:i/>
          <w:iCs/>
          <w:color w:val="000000"/>
          <w:sz w:val="28"/>
          <w:szCs w:val="28"/>
        </w:rPr>
        <w:t xml:space="preserve">rank(·) ∈ {0, 1, ..., 499}</w:t>
      </w:r>
      <w:r>
        <w:rPr>
          <w:rFonts w:ascii="Times New Roman" w:eastAsia="SimSun"/>
          <w:color w:val="000000"/>
          <w:sz w:val="28"/>
          <w:szCs w:val="28"/>
        </w:rPr>
        <w:t xml:space="preserve"> 为各模型预测概率在样本内部的降序名次，</w:t>
      </w:r>
      <w:r>
        <w:rPr>
          <w:rFonts w:ascii="Times New Roman" w:eastAsia="SimSun"/>
          <w:i/>
          <w:iCs/>
          <w:color w:val="000000"/>
          <w:sz w:val="28"/>
          <w:szCs w:val="28"/>
        </w:rPr>
        <w:t xml:space="preserve">k</w:t>
      </w:r>
      <w:r>
        <w:rPr>
          <w:rFonts w:ascii="Times New Roman" w:eastAsia="SimSun"/>
          <w:color w:val="000000"/>
          <w:sz w:val="28"/>
          <w:szCs w:val="28"/>
        </w:rPr>
        <w:t xml:space="preserve"> 为阻尼常数（基准设定为 </w:t>
      </w:r>
      <w:r>
        <w:rPr>
          <w:rFonts w:ascii="Times New Roman" w:eastAsia="SimSun"/>
          <w:i/>
          <w:iCs/>
          <w:color w:val="000000"/>
          <w:sz w:val="28"/>
          <w:szCs w:val="28"/>
        </w:rPr>
        <w:t xml:space="preserve">k = 30</w:t>
      </w:r>
      <w:r>
        <w:rPr>
          <w:rFonts w:ascii="Times New Roman" w:eastAsia="SimSun"/>
          <w:color w:val="000000"/>
          <w:sz w:val="28"/>
          <w:szCs w:val="28"/>
        </w:rPr>
        <w:t xml:space="preserve">）。RRF 机制完全在序数空间运作，只强化在两路模型中位次靠前的高置信标签。随后，矩阵经列最小-最大归一化后注入主系统：</w:t>
      </w:r>
    </w:p>
    <w:p>
      <w:pPr>
        <w:spacing w:after="180" w:before="180" w:line="320"/>
        <w:jc w:val="center"/>
      </w:pPr>
      <w:r>
        <w:rPr>
          <w:rFonts w:ascii="Times New Roman"/>
          <w:i/>
          <w:iCs/>
          <w:color w:val="000000"/>
          <w:sz w:val="26"/>
          <w:szCs w:val="26"/>
        </w:rPr>
        <w:t xml:space="preserve">S_rrf = S_deep + w_sim · S_sim + β · ColNorm( RRF(S_deep, S_sim; 30) )</w:t>
      </w:r>
      <w:r>
        <w:rPr>
          <w:rFonts w:ascii="Times New Roman"/>
          <w:i w:val="false"/>
          <w:iCs w:val="false"/>
          <w:color w:val="333333"/>
          <w:sz w:val="24"/>
          <w:szCs w:val="24"/>
        </w:rPr>
        <w:t xml:space="preserve">        (7)</w:t>
      </w:r>
    </w:p>
    <w:p>
      <w:pPr>
        <w:pStyle w:val="Heading2"/>
        <w:keepNext/>
        <w:spacing w:after="140" w:before="320" w:line="360"/>
      </w:pPr>
      <w:bookmarkStart w:id="100009" w:name="_Toc100009"/>
      <w:r>
        <w:rPr>
          <w:rFonts w:ascii="Times New Roman" w:eastAsia="SimHei"/>
          <w:b/>
          <w:bCs/>
          <w:color w:val="000000"/>
          <w:sz w:val="28"/>
          <w:szCs w:val="28"/>
        </w:rPr>
        <w:t xml:space="preserve">3.4　双边际约束的最优传输（Sinkhorn-Knopp）正则化</w:t>
      </w:r>
      <w:bookmarkEnd w:id="100009"/>
    </w:p>
    <w:p>
      <w:pPr>
        <w:spacing w:after="0" w:before="0" w:line="360"/>
        <w:ind w:firstLine="560"/>
        <w:jc w:val="both"/>
      </w:pPr>
      <w:r>
        <w:rPr>
          <w:rFonts w:ascii="Times New Roman" w:eastAsia="SimSun"/>
          <w:color w:val="000000"/>
          <w:sz w:val="28"/>
          <w:szCs w:val="28"/>
        </w:rPr>
        <w:t xml:space="preserve">在多标签决策阶段，长尾罕见标签常因响应偏弱被全局阈值遗漏，且样本激活数量容易偏离生物学常态。设代价矩阵为 </w:t>
      </w:r>
      <w:r>
        <w:rPr>
          <w:rFonts w:ascii="Times New Roman" w:eastAsia="SimSun"/>
          <w:i/>
          <w:iCs/>
          <w:color w:val="000000"/>
          <w:sz w:val="28"/>
          <w:szCs w:val="28"/>
        </w:rPr>
        <w:t xml:space="preserve">C = -S_rrf</w:t>
      </w:r>
      <w:r>
        <w:rPr>
          <w:rFonts w:ascii="Times New Roman" w:eastAsia="SimSun"/>
          <w:color w:val="000000"/>
          <w:sz w:val="28"/>
          <w:szCs w:val="28"/>
        </w:rPr>
        <w:t xml:space="preserve">，我们将标签重分配建模为带有行-列双边际约束的熵正则化最优传输问题</w:t>
      </w:r>
      <w:r>
        <w:rPr>
          <w:rFonts w:ascii="Times New Roman"/>
          <w:color w:val="000000"/>
          <w:sz w:val="21"/>
          <w:szCs w:val="21"/>
          <w:vertAlign w:val="superscript"/>
        </w:rPr>
        <w:t xml:space="preserve">[17,18]</w:t>
      </w:r>
      <w:r>
        <w:rPr>
          <w:rFonts w:ascii="Times New Roman" w:eastAsia="SimSun"/>
          <w:color w:val="000000"/>
          <w:sz w:val="28"/>
          <w:szCs w:val="28"/>
        </w:rPr>
        <w:t xml:space="preserve">：</w:t>
      </w:r>
    </w:p>
    <w:p>
      <w:pPr>
        <w:spacing w:after="180" w:before="180" w:line="320"/>
        <w:jc w:val="center"/>
      </w:pPr>
      <w:r>
        <w:rPr>
          <w:rFonts w:ascii="Times New Roman"/>
          <w:i/>
          <w:iCs/>
          <w:color w:val="000000"/>
          <w:sz w:val="26"/>
          <w:szCs w:val="26"/>
        </w:rPr>
        <w:t xml:space="preserve">min_P  ⟨ P, -S_rrf ⟩ + τ · ∑_(i=1..N) ∑_(j=1..M) P_ij · log(P_ij)    s.t.  P · 1_M = r,  P^T · 1_N = c</w:t>
      </w:r>
      <w:r>
        <w:rPr>
          <w:rFonts w:ascii="Times New Roman"/>
          <w:i w:val="false"/>
          <w:iCs w:val="false"/>
          <w:color w:val="333333"/>
          <w:sz w:val="24"/>
          <w:szCs w:val="24"/>
        </w:rPr>
        <w:t xml:space="preserve">        (8)</w:t>
      </w:r>
    </w:p>
    <w:p>
      <w:pPr>
        <w:spacing w:after="0" w:before="0" w:line="360"/>
        <w:ind w:firstLine="560"/>
        <w:jc w:val="both"/>
      </w:pPr>
      <w:r>
        <w:rPr>
          <w:rFonts w:ascii="Times New Roman" w:eastAsia="SimSun"/>
          <w:color w:val="000000"/>
          <w:sz w:val="28"/>
          <w:szCs w:val="28"/>
        </w:rPr>
        <w:t xml:space="preserve">其中 </w:t>
      </w:r>
      <w:r>
        <w:rPr>
          <w:rFonts w:ascii="Times New Roman" w:eastAsia="SimSun"/>
          <w:i/>
          <w:iCs/>
          <w:color w:val="000000"/>
          <w:sz w:val="28"/>
          <w:szCs w:val="28"/>
        </w:rPr>
        <w:t xml:space="preserve">τ = 0.20</w:t>
      </w:r>
      <w:r>
        <w:rPr>
          <w:rFonts w:ascii="Times New Roman" w:eastAsia="SimSun"/>
          <w:color w:val="000000"/>
          <w:sz w:val="28"/>
          <w:szCs w:val="28"/>
        </w:rPr>
        <w:t xml:space="preserve"> 为平滑温度系数。行边际向量 </w:t>
      </w:r>
      <w:r>
        <w:rPr>
          <w:rFonts w:ascii="Times New Roman" w:eastAsia="SimSun"/>
          <w:i/>
          <w:iCs/>
          <w:color w:val="000000"/>
          <w:sz w:val="28"/>
          <w:szCs w:val="28"/>
        </w:rPr>
        <w:t xml:space="preserve">r</w:t>
      </w:r>
      <w:r>
        <w:rPr>
          <w:rFonts w:ascii="Times New Roman" w:eastAsia="SimSun"/>
          <w:color w:val="000000"/>
          <w:sz w:val="28"/>
          <w:szCs w:val="28"/>
        </w:rPr>
        <w:t xml:space="preserve"> 根据样本初步预测基数自适应生成（</w:t>
      </w:r>
      <w:r>
        <w:rPr>
          <w:rFonts w:ascii="Times New Roman" w:eastAsia="SimSun"/>
          <w:i/>
          <w:iCs/>
          <w:color w:val="000000"/>
          <w:sz w:val="28"/>
          <w:szCs w:val="28"/>
        </w:rPr>
        <w:t xml:space="preserve">r_i = max(∑_j I[ S_ij ≥ t_j ], 1)</w:t>
      </w:r>
      <w:r>
        <w:rPr>
          <w:rFonts w:ascii="Times New Roman" w:eastAsia="SimSun"/>
          <w:color w:val="000000"/>
          <w:sz w:val="28"/>
          <w:szCs w:val="28"/>
        </w:rPr>
        <w:t xml:space="preserve">）；列边际向量 </w:t>
      </w:r>
      <w:r>
        <w:rPr>
          <w:rFonts w:ascii="Times New Roman" w:eastAsia="SimSun"/>
          <w:i/>
          <w:iCs/>
          <w:color w:val="000000"/>
          <w:sz w:val="28"/>
          <w:szCs w:val="28"/>
        </w:rPr>
        <w:t xml:space="preserve">c</w:t>
      </w:r>
      <w:r>
        <w:rPr>
          <w:rFonts w:ascii="Times New Roman" w:eastAsia="SimSun"/>
          <w:color w:val="000000"/>
          <w:sz w:val="28"/>
          <w:szCs w:val="28"/>
        </w:rPr>
        <w:t xml:space="preserve"> 由训练集经验先验标签频率对齐缩放给出。根据最优传输理论</w:t>
      </w:r>
      <w:r>
        <w:rPr>
          <w:rFonts w:ascii="Times New Roman"/>
          <w:color w:val="000000"/>
          <w:sz w:val="21"/>
          <w:szCs w:val="21"/>
          <w:vertAlign w:val="superscript"/>
        </w:rPr>
        <w:t xml:space="preserve">[17]</w:t>
      </w:r>
      <w:r>
        <w:rPr>
          <w:rFonts w:ascii="Times New Roman" w:eastAsia="SimSun"/>
          <w:color w:val="000000"/>
          <w:sz w:val="28"/>
          <w:szCs w:val="28"/>
        </w:rPr>
        <w:t xml:space="preserve">，最优解具有对偶矩阵缩放形式：</w:t>
      </w:r>
      <w:r>
        <w:rPr>
          <w:rFonts w:ascii="Times New Roman" w:eastAsia="SimSun"/>
          <w:i/>
          <w:iCs/>
          <w:color w:val="000000"/>
          <w:sz w:val="28"/>
          <w:szCs w:val="28"/>
        </w:rPr>
        <w:t xml:space="preserve">P* = diag(u) · K · diag(v)</w:t>
      </w:r>
      <w:r>
        <w:rPr>
          <w:rFonts w:ascii="Times New Roman" w:eastAsia="SimSun"/>
          <w:color w:val="000000"/>
          <w:sz w:val="28"/>
          <w:szCs w:val="28"/>
        </w:rPr>
        <w:t xml:space="preserve">，其中核矩阵 </w:t>
      </w:r>
      <w:r>
        <w:rPr>
          <w:rFonts w:ascii="Times New Roman" w:eastAsia="SimSun"/>
          <w:i/>
          <w:iCs/>
          <w:color w:val="000000"/>
          <w:sz w:val="28"/>
          <w:szCs w:val="28"/>
        </w:rPr>
        <w:t xml:space="preserve">K = exp(S_rrf / τ)</w:t>
      </w:r>
      <w:r>
        <w:rPr>
          <w:rFonts w:ascii="Times New Roman" w:eastAsia="SimSun"/>
          <w:color w:val="000000"/>
          <w:sz w:val="28"/>
          <w:szCs w:val="28"/>
        </w:rPr>
        <w:t xml:space="preserve">。缩放因子通过极快的 Sinkhorn-Knopp 交替投影高效迭代更新：</w:t>
      </w:r>
    </w:p>
    <w:p>
      <w:pPr>
        <w:spacing w:after="180" w:before="180" w:line="320"/>
        <w:jc w:val="center"/>
      </w:pPr>
      <w:r>
        <w:rPr>
          <w:rFonts w:ascii="Times New Roman"/>
          <w:i/>
          <w:iCs/>
          <w:color w:val="000000"/>
          <w:sz w:val="26"/>
          <w:szCs w:val="26"/>
        </w:rPr>
        <w:t xml:space="preserve">u^(t+1) = r / [ K · v^(t) ],        v^(t+1) = c / [ K^T · u^(t+1) ]</w:t>
      </w:r>
      <w:r>
        <w:rPr>
          <w:rFonts w:ascii="Times New Roman"/>
          <w:i w:val="false"/>
          <w:iCs w:val="false"/>
          <w:color w:val="333333"/>
          <w:sz w:val="24"/>
          <w:szCs w:val="24"/>
        </w:rPr>
        <w:t xml:space="preserve">        (9)</w:t>
      </w:r>
    </w:p>
    <w:p>
      <w:pPr>
        <w:spacing w:after="0" w:before="0" w:line="360"/>
        <w:ind w:firstLine="560"/>
        <w:jc w:val="both"/>
      </w:pPr>
      <w:r>
        <w:rPr>
          <w:rFonts w:ascii="Times New Roman" w:eastAsia="SimSun"/>
          <w:color w:val="000000"/>
          <w:sz w:val="28"/>
          <w:szCs w:val="28"/>
        </w:rPr>
        <w:t xml:space="preserve">经数十次矩阵-向量乘法即可完成高精度数值收敛。求得的最优分配矩阵 </w:t>
      </w:r>
      <w:r>
        <w:rPr>
          <w:rFonts w:ascii="Times New Roman" w:eastAsia="SimSun"/>
          <w:i/>
          <w:iCs/>
          <w:color w:val="000000"/>
          <w:sz w:val="28"/>
          <w:szCs w:val="28"/>
        </w:rPr>
        <w:t xml:space="preserve">P_sk</w:t>
      </w:r>
      <w:r>
        <w:rPr>
          <w:rFonts w:ascii="Times New Roman" w:eastAsia="SimSun"/>
          <w:color w:val="000000"/>
          <w:sz w:val="28"/>
          <w:szCs w:val="28"/>
        </w:rPr>
        <w:t xml:space="preserve"> 与原 RRF 评分进行凸组合，得到最终预测评分：</w:t>
      </w:r>
    </w:p>
    <w:p>
      <w:pPr>
        <w:spacing w:after="180" w:before="180" w:line="320"/>
        <w:jc w:val="center"/>
      </w:pPr>
      <w:r>
        <w:rPr>
          <w:rFonts w:ascii="Times New Roman"/>
          <w:i/>
          <w:iCs/>
          <w:color w:val="000000"/>
          <w:sz w:val="26"/>
          <w:szCs w:val="26"/>
        </w:rPr>
        <w:t xml:space="preserve">S_final = (1 - α_sk) · S_rrf + α_sk · P_sk          (α_sk = 0.60)</w:t>
      </w:r>
      <w:r>
        <w:rPr>
          <w:rFonts w:ascii="Times New Roman"/>
          <w:i w:val="false"/>
          <w:iCs w:val="false"/>
          <w:color w:val="333333"/>
          <w:sz w:val="24"/>
          <w:szCs w:val="24"/>
        </w:rPr>
        <w:t xml:space="preserve">        (10)</w:t>
      </w:r>
    </w:p>
    <w:p>
      <w:pPr>
        <w:spacing w:after="0" w:before="0" w:line="360"/>
        <w:ind w:firstLine="560"/>
        <w:jc w:val="both"/>
      </w:pPr>
      <w:r>
        <w:rPr>
          <w:rFonts w:ascii="Times New Roman" w:eastAsia="SimSun"/>
          <w:color w:val="000000"/>
          <w:sz w:val="28"/>
          <w:szCs w:val="28"/>
        </w:rPr>
        <w:t xml:space="preserve">最终，通过在独立验证集上应用逐标签自适应决策阈值搜索策略（SCut）</w:t>
      </w:r>
      <w:r>
        <w:rPr>
          <w:rFonts w:ascii="Times New Roman"/>
          <w:color w:val="000000"/>
          <w:sz w:val="21"/>
          <w:szCs w:val="21"/>
          <w:vertAlign w:val="superscript"/>
        </w:rPr>
        <w:t xml:space="preserve">[19]</w:t>
      </w:r>
      <w:r>
        <w:rPr>
          <w:rFonts w:ascii="Times New Roman" w:eastAsia="SimSun"/>
          <w:color w:val="000000"/>
          <w:sz w:val="28"/>
          <w:szCs w:val="28"/>
        </w:rPr>
        <w:t xml:space="preserve"> 确定最优决策阈值向量 </w:t>
      </w:r>
      <w:r>
        <w:rPr>
          <w:rFonts w:ascii="Times New Roman" w:eastAsia="SimSun"/>
          <w:i/>
          <w:iCs/>
          <w:color w:val="000000"/>
          <w:sz w:val="28"/>
          <w:szCs w:val="28"/>
        </w:rPr>
        <w:t xml:space="preserve">t* = (t₁*, t₂*, ..., t₅₀₀*)</w:t>
      </w:r>
      <w:r>
        <w:rPr>
          <w:rFonts w:ascii="Times New Roman" w:eastAsia="SimSun"/>
          <w:color w:val="000000"/>
          <w:sz w:val="28"/>
          <w:szCs w:val="28"/>
        </w:rPr>
        <w:t xml:space="preserve">，输出最终离散预测注释：</w:t>
      </w:r>
      <w:r>
        <w:rPr>
          <w:rFonts w:ascii="Times New Roman" w:eastAsia="SimSun"/>
          <w:i/>
          <w:iCs/>
          <w:color w:val="000000"/>
          <w:sz w:val="28"/>
          <w:szCs w:val="28"/>
        </w:rPr>
        <w:t xml:space="preserve">y_ij = I[ S_(final, ij) ≥ t_j* ]</w:t>
      </w:r>
      <w:r>
        <w:rPr>
          <w:rFonts w:ascii="Times New Roman" w:eastAsia="SimSun"/>
          <w:color w:val="000000"/>
          <w:sz w:val="28"/>
          <w:szCs w:val="28"/>
        </w:rPr>
        <w:t xml:space="preserve">。</w:t>
      </w:r>
    </w:p>
    <w:p>
      <w:pPr>
        <w:pStyle w:val="Heading1"/>
        <w:keepNext/>
        <w:spacing w:after="200" w:before="420" w:line="360"/>
        <w:jc w:val="left"/>
      </w:pPr>
      <w:bookmarkStart w:id="100010" w:name="_Toc100010"/>
      <w:r>
        <w:rPr>
          <w:rFonts w:ascii="Times New Roman" w:eastAsia="SimHei"/>
          <w:b/>
          <w:bCs/>
          <w:color w:val="000000"/>
          <w:sz w:val="32"/>
          <w:szCs w:val="32"/>
        </w:rPr>
        <w:t xml:space="preserve">4　实验设计与评测协议</w:t>
      </w:r>
      <w:bookmarkEnd w:id="100010"/>
    </w:p>
    <w:p>
      <w:pPr>
        <w:pStyle w:val="Heading2"/>
        <w:keepNext/>
        <w:spacing w:after="140" w:before="320" w:line="360"/>
      </w:pPr>
      <w:bookmarkStart w:id="100011" w:name="_Toc100011"/>
      <w:r>
        <w:rPr>
          <w:rFonts w:ascii="Times New Roman" w:eastAsia="SimHei"/>
          <w:b/>
          <w:bCs/>
          <w:color w:val="000000"/>
          <w:sz w:val="28"/>
          <w:szCs w:val="28"/>
        </w:rPr>
        <w:t xml:space="preserve">4.1　数据集切分与防泄漏隔离</w:t>
      </w:r>
      <w:bookmarkEnd w:id="100011"/>
    </w:p>
    <w:p>
      <w:pPr>
        <w:spacing w:after="0" w:before="0" w:line="360"/>
        <w:ind w:firstLine="560"/>
        <w:jc w:val="both"/>
      </w:pPr>
      <w:r>
        <w:rPr>
          <w:rFonts w:ascii="Times New Roman" w:eastAsia="SimSun"/>
          <w:color w:val="000000"/>
          <w:sz w:val="28"/>
          <w:szCs w:val="28"/>
        </w:rPr>
        <w:t xml:space="preserve">实验数据集严格按照 8:2 比例进行分层随机划分，固定随机种子 </w:t>
      </w:r>
      <w:r>
        <w:rPr>
          <w:rFonts w:ascii="Times New Roman" w:eastAsia="SimSun"/>
          <w:i/>
          <w:iCs/>
          <w:color w:val="000000"/>
          <w:sz w:val="28"/>
          <w:szCs w:val="28"/>
        </w:rPr>
        <w:t xml:space="preserve">seed = 42</w:t>
      </w:r>
      <w:r>
        <w:rPr>
          <w:rFonts w:ascii="Times New Roman" w:eastAsia="SimSun"/>
          <w:color w:val="000000"/>
          <w:sz w:val="28"/>
          <w:szCs w:val="28"/>
        </w:rPr>
        <w:t xml:space="preserve">。全集 113,796 条样本被划分为包含 91,036 条样本的训练集与 22,760 条样本的独立验证集。训练集用于模型参数学习、DIAMOND 数据库构建以及列先验频率提取；验证集严格封闭，仅在最终评估推断与消融比较时使用，杜绝任何形式的信息泄露。</w:t>
      </w:r>
    </w:p>
    <w:p>
      <w:pPr>
        <w:pStyle w:val="Heading2"/>
        <w:keepNext/>
        <w:spacing w:after="140" w:before="320" w:line="360"/>
      </w:pPr>
      <w:bookmarkStart w:id="100012" w:name="_Toc100012"/>
      <w:r>
        <w:rPr>
          <w:rFonts w:ascii="Times New Roman" w:eastAsia="SimHei"/>
          <w:b/>
          <w:bCs/>
          <w:color w:val="000000"/>
          <w:sz w:val="28"/>
          <w:szCs w:val="28"/>
        </w:rPr>
        <w:t xml:space="preserve">4.2　评测指标定义</w:t>
      </w:r>
      <w:bookmarkEnd w:id="100012"/>
    </w:p>
    <w:p>
      <w:pPr>
        <w:spacing w:after="0" w:before="0" w:line="360"/>
        <w:ind w:firstLine="560"/>
        <w:jc w:val="both"/>
      </w:pPr>
      <w:r>
        <w:rPr>
          <w:rFonts w:ascii="Times New Roman" w:eastAsia="SimSun"/>
          <w:color w:val="000000"/>
          <w:sz w:val="28"/>
          <w:szCs w:val="28"/>
        </w:rPr>
        <w:t xml:space="preserve">鉴于多标签长尾分类的极度稀疏性，模型评价采用宏平均 F1 分数（Macro F1）作为第一核心指标，同时辅助统计宏平均精确率（Macro P）、宏平均召回率（Macro R）以及宏平均受试者工作特征曲线下面积（Macro ROC-AUC）：</w:t>
      </w:r>
    </w:p>
    <w:p>
      <w:pPr>
        <w:spacing w:after="180" w:before="180" w:line="320"/>
        <w:jc w:val="center"/>
      </w:pPr>
      <w:r>
        <w:rPr>
          <w:rFonts w:ascii="Times New Roman"/>
          <w:i/>
          <w:iCs/>
          <w:color w:val="000000"/>
          <w:sz w:val="26"/>
          <w:szCs w:val="26"/>
        </w:rPr>
        <w:t xml:space="preserve">Macro F1 = (1 / M) · ∑_(j=1..M) [ 2 · P_j · R_j ] / [ P_j + R_j + ε ]</w:t>
      </w:r>
      <w:r>
        <w:rPr>
          <w:rFonts w:ascii="Times New Roman"/>
          <w:i w:val="false"/>
          <w:iCs w:val="false"/>
          <w:color w:val="333333"/>
          <w:sz w:val="24"/>
          <w:szCs w:val="24"/>
        </w:rPr>
        <w:t xml:space="preserve">        (11)</w:t>
      </w:r>
    </w:p>
    <w:p>
      <w:pPr>
        <w:spacing w:after="0" w:before="0" w:line="360"/>
        <w:ind w:firstLine="560"/>
        <w:jc w:val="both"/>
      </w:pPr>
      <w:r>
        <w:rPr>
          <w:rFonts w:ascii="Times New Roman" w:eastAsia="SimSun"/>
          <w:color w:val="000000"/>
          <w:sz w:val="28"/>
          <w:szCs w:val="28"/>
        </w:rPr>
        <w:t xml:space="preserve">其中 </w:t>
      </w:r>
      <w:r>
        <w:rPr>
          <w:rFonts w:ascii="Times New Roman" w:eastAsia="SimSun"/>
          <w:i/>
          <w:iCs/>
          <w:color w:val="000000"/>
          <w:sz w:val="28"/>
          <w:szCs w:val="28"/>
        </w:rPr>
        <w:t xml:space="preserve">P_j = TP_j / (TP_j + FP_j)</w:t>
      </w:r>
      <w:r>
        <w:rPr>
          <w:rFonts w:ascii="Times New Roman" w:eastAsia="SimSun"/>
          <w:color w:val="000000"/>
          <w:sz w:val="28"/>
          <w:szCs w:val="28"/>
        </w:rPr>
        <w:t xml:space="preserve">，</w:t>
      </w:r>
      <w:r>
        <w:rPr>
          <w:rFonts w:ascii="Times New Roman" w:eastAsia="SimSun"/>
          <w:i/>
          <w:iCs/>
          <w:color w:val="000000"/>
          <w:sz w:val="28"/>
          <w:szCs w:val="28"/>
        </w:rPr>
        <w:t xml:space="preserve">R_j = TP_j / (TP_j + FN_j)</w:t>
      </w:r>
      <w:r>
        <w:rPr>
          <w:rFonts w:ascii="Times New Roman" w:eastAsia="SimSun"/>
          <w:color w:val="000000"/>
          <w:sz w:val="28"/>
          <w:szCs w:val="28"/>
        </w:rPr>
        <w:t xml:space="preserve">。为了全面检验模型在极端生物进化场景下的稳健性，我们将验证集严格解耦为两个互斥子集：</w:t>
      </w:r>
    </w:p>
    <w:p>
      <w:pPr>
        <w:spacing w:after="0" w:before="0" w:line="360"/>
        <w:ind w:firstLine="560"/>
        <w:jc w:val="both"/>
      </w:pPr>
      <w:r>
        <w:rPr>
          <w:rFonts w:ascii="Times New Roman" w:eastAsia="SimSun"/>
          <w:b/>
          <w:bCs/>
          <w:color w:val="000000"/>
          <w:sz w:val="28"/>
          <w:szCs w:val="28"/>
        </w:rPr>
        <w:t xml:space="preserve">（1）同源命中子集（Hit Subset, N=21,012, 92.3%）：</w:t>
      </w:r>
      <w:r>
        <w:rPr>
          <w:rFonts w:ascii="Times New Roman" w:eastAsia="SimSun"/>
          <w:color w:val="000000"/>
          <w:sz w:val="28"/>
          <w:szCs w:val="28"/>
        </w:rPr>
        <w:t xml:space="preserve">存在至少一条 E-value ≤ 0.001 局部对齐命中的高相似度序列群体。</w:t>
      </w:r>
    </w:p>
    <w:p>
      <w:pPr>
        <w:spacing w:after="0" w:before="0" w:line="360"/>
        <w:ind w:firstLine="560"/>
        <w:jc w:val="both"/>
      </w:pPr>
      <w:r>
        <w:rPr>
          <w:rFonts w:ascii="Times New Roman" w:eastAsia="SimSun"/>
          <w:b/>
          <w:bCs/>
          <w:color w:val="000000"/>
          <w:sz w:val="28"/>
          <w:szCs w:val="28"/>
        </w:rPr>
        <w:t xml:space="preserve">（2）零同源无命中子集（Miss Subset, N=1,748, 7.7%）：</w:t>
      </w:r>
      <w:r>
        <w:rPr>
          <w:rFonts w:ascii="Times New Roman" w:eastAsia="SimSun"/>
          <w:color w:val="000000"/>
          <w:sz w:val="28"/>
          <w:szCs w:val="28"/>
        </w:rPr>
        <w:t xml:space="preserve">在训练集中无法检索到任何统计显著比对的远缘孤儿序列群体，用于检验深度网络的纯泛化兜底边界。</w:t>
      </w:r>
    </w:p>
    <w:p>
      <w:pPr>
        <w:pStyle w:val="Heading1"/>
        <w:keepNext/>
        <w:spacing w:after="200" w:before="420" w:line="360"/>
        <w:jc w:val="left"/>
      </w:pPr>
      <w:bookmarkStart w:id="100013" w:name="_Toc100013"/>
      <w:r>
        <w:rPr>
          <w:rFonts w:ascii="Times New Roman" w:eastAsia="SimHei"/>
          <w:b/>
          <w:bCs/>
          <w:color w:val="000000"/>
          <w:sz w:val="32"/>
          <w:szCs w:val="32"/>
        </w:rPr>
        <w:t xml:space="preserve">5　实验结果分析与消融验证</w:t>
      </w:r>
      <w:bookmarkEnd w:id="100013"/>
    </w:p>
    <w:p>
      <w:pPr>
        <w:pStyle w:val="Heading2"/>
        <w:keepNext/>
        <w:spacing w:after="140" w:before="320" w:line="360"/>
      </w:pPr>
      <w:bookmarkStart w:id="100014" w:name="_Toc100014"/>
      <w:r>
        <w:rPr>
          <w:rFonts w:ascii="Times New Roman" w:eastAsia="SimHei"/>
          <w:b/>
          <w:bCs/>
          <w:color w:val="000000"/>
          <w:sz w:val="28"/>
          <w:szCs w:val="28"/>
        </w:rPr>
        <w:t xml:space="preserve">5.1　端到端逐级消融对比分析</w:t>
      </w:r>
      <w:bookmarkEnd w:id="100014"/>
    </w:p>
    <w:p>
      <w:pPr>
        <w:spacing w:after="0" w:before="0" w:line="360"/>
        <w:ind w:firstLine="560"/>
        <w:jc w:val="both"/>
      </w:pPr>
      <w:r>
        <w:rPr>
          <w:rFonts w:ascii="Times New Roman" w:eastAsia="SimSun"/>
          <w:color w:val="000000"/>
          <w:sz w:val="28"/>
          <w:szCs w:val="28"/>
        </w:rPr>
        <w:t xml:space="preserve">表 1 详细记录了从单模态基线到完整 HDMR-Sinkhorn 框架的 7 个代表性模型变体的多维指标评测结果，图 3 展示了对应的性能演进阶梯与子集切片。</w:t>
      </w:r>
    </w:p>
    <w:p>
      <w:pPr>
        <w:keepNext/>
        <w:spacing w:after="100" w:before="240" w:line="312"/>
        <w:jc w:val="center"/>
      </w:pPr>
      <w:r>
        <w:rPr>
          <w:rFonts w:ascii="Times New Roman" w:eastAsia="SimHei"/>
          <w:b/>
          <w:bCs/>
          <w:color w:val="000000"/>
          <w:sz w:val="21"/>
          <w:szCs w:val="21"/>
        </w:rPr>
        <w:t xml:space="preserve">表1　HDMR-Sinkhorn 各架构组件逐级消融与子集切片性能评估</w:t>
      </w:r>
    </w:p>
    <w:tbl>
      <w:tblPr>
        <w:tblW w:type="pct" w:w="100%"/>
        <w:tblBorders>
          <w:top w:val="single" w:color="000000" w:sz="12"/>
          <w:left w:val="none" w:color="FFFFFF" w:sz="0"/>
          <w:bottom w:val="single" w:color="000000" w:sz="12"/>
          <w:right w:val="none" w:color="FFFFFF" w:sz="0"/>
          <w:insideH w:val="none" w:color="FFFFFF" w:sz="0"/>
          <w:insideV w:val="none" w:color="FFFFFF" w:sz="0"/>
        </w:tblBorders>
      </w:tblPr>
      <w:tblGrid>
        <w:gridCol w:w="100"/>
        <w:gridCol w:w="100"/>
        <w:gridCol w:w="100"/>
        <w:gridCol w:w="100"/>
        <w:gridCol w:w="100"/>
        <w:gridCol w:w="100"/>
        <w:gridCol w:w="100"/>
      </w:tblGrid>
      <w:tr>
        <w:trPr>
          <w:cantSplit/>
          <w:tblHeader/>
        </w:trPr>
        <w:tc>
          <w:tcPr>
            <w:tcW w:type="pct" w:w="18%"/>
            <w:tcBorders>
              <w:top w:val="single" w:color="000000" w:sz="12"/>
              <w:left w:val="none" w:color="FFFFFF" w:sz="0"/>
              <w:bottom w:val="single" w:color="000000" w:sz="6"/>
              <w:right w:val="none" w:color="FFFFFF" w:sz="0"/>
            </w:tcBorders>
            <w:tcMar>
              <w:top w:type="dxa" w:w="70"/>
              <w:left w:type="dxa" w:w="80"/>
              <w:bottom w:type="dxa" w:w="70"/>
              <w:right w:type="dxa" w:w="80"/>
            </w:tcMar>
            <w:vAlign w:val="center"/>
          </w:tcPr>
          <w:p>
            <w:pPr>
              <w:jc w:val="center"/>
            </w:pPr>
            <w:r>
              <w:rPr>
                <w:rFonts w:ascii="Times New Roman" w:eastAsia="SimHei"/>
                <w:b/>
                <w:bCs/>
                <w:color w:val="000000"/>
                <w:sz w:val="21"/>
                <w:szCs w:val="21"/>
              </w:rPr>
              <w:t xml:space="preserve">模型变体</w:t>
            </w:r>
          </w:p>
        </w:tc>
        <w:tc>
          <w:tcPr>
            <w:tcW w:type="pct" w:w="28%"/>
            <w:tcBorders>
              <w:top w:val="single" w:color="000000" w:sz="12"/>
              <w:left w:val="none" w:color="FFFFFF" w:sz="0"/>
              <w:bottom w:val="single" w:color="000000" w:sz="6"/>
              <w:right w:val="none" w:color="FFFFFF" w:sz="0"/>
            </w:tcBorders>
            <w:tcMar>
              <w:top w:type="dxa" w:w="70"/>
              <w:left w:type="dxa" w:w="80"/>
              <w:bottom w:type="dxa" w:w="70"/>
              <w:right w:type="dxa" w:w="80"/>
            </w:tcMar>
            <w:vAlign w:val="center"/>
          </w:tcPr>
          <w:p>
            <w:pPr>
              <w:jc w:val="center"/>
            </w:pPr>
            <w:r>
              <w:rPr>
                <w:rFonts w:ascii="Times New Roman" w:eastAsia="SimHei"/>
                <w:b/>
                <w:bCs/>
                <w:color w:val="000000"/>
                <w:sz w:val="21"/>
                <w:szCs w:val="21"/>
              </w:rPr>
              <w:t xml:space="preserve">核心设计与技术路径</w:t>
            </w:r>
          </w:p>
        </w:tc>
        <w:tc>
          <w:tcPr>
            <w:tcW w:type="pct" w:w="12%"/>
            <w:tcBorders>
              <w:top w:val="single" w:color="000000" w:sz="12"/>
              <w:left w:val="none" w:color="FFFFFF" w:sz="0"/>
              <w:bottom w:val="single" w:color="000000" w:sz="6"/>
              <w:right w:val="none" w:color="FFFFFF" w:sz="0"/>
            </w:tcBorders>
            <w:tcMar>
              <w:top w:type="dxa" w:w="70"/>
              <w:left w:type="dxa" w:w="80"/>
              <w:bottom w:type="dxa" w:w="70"/>
              <w:right w:type="dxa" w:w="80"/>
            </w:tcMar>
            <w:vAlign w:val="center"/>
          </w:tcPr>
          <w:p>
            <w:pPr>
              <w:jc w:val="center"/>
            </w:pPr>
            <w:r>
              <w:rPr>
                <w:rFonts w:ascii="Times New Roman" w:eastAsia="SimHei"/>
                <w:b/>
                <w:bCs/>
                <w:color w:val="000000"/>
                <w:sz w:val="21"/>
                <w:szCs w:val="21"/>
              </w:rPr>
              <w:t xml:space="preserve">Macro F1</w:t>
            </w:r>
          </w:p>
        </w:tc>
        <w:tc>
          <w:tcPr>
            <w:tcW w:type="pct" w:w="12%"/>
            <w:tcBorders>
              <w:top w:val="single" w:color="000000" w:sz="12"/>
              <w:left w:val="none" w:color="FFFFFF" w:sz="0"/>
              <w:bottom w:val="single" w:color="000000" w:sz="6"/>
              <w:right w:val="none" w:color="FFFFFF" w:sz="0"/>
            </w:tcBorders>
            <w:tcMar>
              <w:top w:type="dxa" w:w="70"/>
              <w:left w:type="dxa" w:w="80"/>
              <w:bottom w:type="dxa" w:w="70"/>
              <w:right w:type="dxa" w:w="80"/>
            </w:tcMar>
            <w:vAlign w:val="center"/>
          </w:tcPr>
          <w:p>
            <w:pPr>
              <w:jc w:val="center"/>
            </w:pPr>
            <w:r>
              <w:rPr>
                <w:rFonts w:ascii="Times New Roman" w:eastAsia="SimHei"/>
                <w:b/>
                <w:bCs/>
                <w:color w:val="000000"/>
                <w:sz w:val="21"/>
                <w:szCs w:val="21"/>
              </w:rPr>
              <w:t xml:space="preserve">Macro AUC</w:t>
            </w:r>
          </w:p>
        </w:tc>
        <w:tc>
          <w:tcPr>
            <w:tcW w:type="pct" w:w="10%"/>
            <w:tcBorders>
              <w:top w:val="single" w:color="000000" w:sz="12"/>
              <w:left w:val="none" w:color="FFFFFF" w:sz="0"/>
              <w:bottom w:val="single" w:color="000000" w:sz="6"/>
              <w:right w:val="none" w:color="FFFFFF" w:sz="0"/>
            </w:tcBorders>
            <w:tcMar>
              <w:top w:type="dxa" w:w="70"/>
              <w:left w:type="dxa" w:w="80"/>
              <w:bottom w:type="dxa" w:w="70"/>
              <w:right w:type="dxa" w:w="80"/>
            </w:tcMar>
            <w:vAlign w:val="center"/>
          </w:tcPr>
          <w:p>
            <w:pPr>
              <w:jc w:val="center"/>
            </w:pPr>
            <w:r>
              <w:rPr>
                <w:rFonts w:ascii="Times New Roman" w:eastAsia="SimHei"/>
                <w:b/>
                <w:bCs/>
                <w:color w:val="000000"/>
                <w:sz w:val="21"/>
                <w:szCs w:val="21"/>
              </w:rPr>
              <w:t xml:space="preserve">Hit F1</w:t>
            </w:r>
          </w:p>
        </w:tc>
        <w:tc>
          <w:tcPr>
            <w:tcW w:type="pct" w:w="10%"/>
            <w:tcBorders>
              <w:top w:val="single" w:color="000000" w:sz="12"/>
              <w:left w:val="none" w:color="FFFFFF" w:sz="0"/>
              <w:bottom w:val="single" w:color="000000" w:sz="6"/>
              <w:right w:val="none" w:color="FFFFFF" w:sz="0"/>
            </w:tcBorders>
            <w:tcMar>
              <w:top w:type="dxa" w:w="70"/>
              <w:left w:type="dxa" w:w="80"/>
              <w:bottom w:type="dxa" w:w="70"/>
              <w:right w:type="dxa" w:w="80"/>
            </w:tcMar>
            <w:vAlign w:val="center"/>
          </w:tcPr>
          <w:p>
            <w:pPr>
              <w:jc w:val="center"/>
            </w:pPr>
            <w:r>
              <w:rPr>
                <w:rFonts w:ascii="Times New Roman" w:eastAsia="SimHei"/>
                <w:b/>
                <w:bCs/>
                <w:color w:val="000000"/>
                <w:sz w:val="21"/>
                <w:szCs w:val="21"/>
              </w:rPr>
              <w:t xml:space="preserve">Miss F1</w:t>
            </w:r>
          </w:p>
        </w:tc>
        <w:tc>
          <w:tcPr>
            <w:tcW w:type="pct" w:w="10%"/>
            <w:tcBorders>
              <w:top w:val="single" w:color="000000" w:sz="12"/>
              <w:left w:val="none" w:color="FFFFFF" w:sz="0"/>
              <w:bottom w:val="single" w:color="000000" w:sz="6"/>
              <w:right w:val="none" w:color="FFFFFF" w:sz="0"/>
            </w:tcBorders>
            <w:tcMar>
              <w:top w:type="dxa" w:w="70"/>
              <w:left w:type="dxa" w:w="80"/>
              <w:bottom w:type="dxa" w:w="70"/>
              <w:right w:type="dxa" w:w="80"/>
            </w:tcMar>
            <w:vAlign w:val="center"/>
          </w:tcPr>
          <w:p>
            <w:pPr>
              <w:jc w:val="center"/>
            </w:pPr>
            <w:r>
              <w:rPr>
                <w:rFonts w:ascii="Times New Roman" w:eastAsia="SimHei"/>
                <w:b/>
                <w:bCs/>
                <w:color w:val="000000"/>
                <w:sz w:val="21"/>
                <w:szCs w:val="21"/>
              </w:rPr>
              <w:t xml:space="preserve">平台盲测得分</w:t>
            </w:r>
          </w:p>
        </w:tc>
      </w:tr>
      <w:tr>
        <w:trPr>
          <w:cantSplit/>
        </w:trPr>
        <w:tc>
          <w:tcPr>
            <w:tcW w:type="pct" w:w="1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left"/>
            </w:pPr>
            <w:r>
              <w:rPr>
                <w:rFonts w:ascii="Times New Roman" w:eastAsia="SimSun"/>
                <w:color w:val="000000"/>
                <w:sz w:val="20"/>
                <w:szCs w:val="20"/>
              </w:rPr>
              <w:t xml:space="preserve">M1: 纯同源 (Sim)</w:t>
            </w:r>
          </w:p>
        </w:tc>
        <w:tc>
          <w:tcPr>
            <w:tcW w:type="pct" w:w="2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eastAsia="SimSun"/>
                <w:color w:val="000000"/>
                <w:sz w:val="20"/>
                <w:szCs w:val="20"/>
              </w:rPr>
              <w:t xml:space="preserve">DIAMOND 比对 (0.4) + k-mer 频数谱 (0.6)</w:t>
            </w:r>
          </w:p>
        </w:tc>
        <w:tc>
          <w:tcPr>
            <w:tcW w:type="pct" w:w="12%"/>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eastAsia="SimSun"/>
                <w:color w:val="000000"/>
                <w:sz w:val="20"/>
                <w:szCs w:val="20"/>
              </w:rPr>
              <w:t xml:space="preserve">0.4312</w:t>
            </w:r>
          </w:p>
        </w:tc>
        <w:tc>
          <w:tcPr>
            <w:tcW w:type="pct" w:w="12%"/>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eastAsia="SimSun"/>
                <w:color w:val="000000"/>
                <w:sz w:val="20"/>
                <w:szCs w:val="20"/>
              </w:rPr>
              <w:t xml:space="preserve">0.7785</w:t>
            </w:r>
          </w:p>
        </w:tc>
        <w:tc>
          <w:tcPr>
            <w:tcW w:type="pct" w:w="1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eastAsia="SimSun"/>
                <w:color w:val="000000"/>
                <w:sz w:val="20"/>
                <w:szCs w:val="20"/>
              </w:rPr>
              <w:t xml:space="preserve">0.4400</w:t>
            </w:r>
          </w:p>
        </w:tc>
        <w:tc>
          <w:tcPr>
            <w:tcW w:type="pct" w:w="1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eastAsia="SimSun"/>
                <w:color w:val="000000"/>
                <w:sz w:val="20"/>
                <w:szCs w:val="20"/>
              </w:rPr>
              <w:t xml:space="preserve">0.0577</w:t>
            </w:r>
          </w:p>
        </w:tc>
        <w:tc>
          <w:tcPr>
            <w:tcW w:type="pct" w:w="1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eastAsia="SimSun"/>
                <w:color w:val="000000"/>
                <w:sz w:val="20"/>
                <w:szCs w:val="20"/>
              </w:rPr>
              <w:t xml:space="preserve">43.8210</w:t>
            </w:r>
          </w:p>
        </w:tc>
      </w:tr>
      <w:tr>
        <w:trPr>
          <w:cantSplit/>
        </w:trPr>
        <w:tc>
          <w:tcPr>
            <w:tcW w:type="pct" w:w="1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left"/>
            </w:pPr>
            <w:r>
              <w:rPr>
                <w:rFonts w:ascii="Times New Roman" w:eastAsia="SimSun"/>
                <w:color w:val="000000"/>
                <w:sz w:val="20"/>
                <w:szCs w:val="20"/>
              </w:rPr>
              <w:t xml:space="preserve">M2: 单卷积 (CNN)</w:t>
            </w:r>
          </w:p>
        </w:tc>
        <w:tc>
          <w:tcPr>
            <w:tcW w:type="pct" w:w="2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eastAsia="SimSun"/>
                <w:color w:val="000000"/>
                <w:sz w:val="20"/>
                <w:szCs w:val="20"/>
              </w:rPr>
              <w:t xml:space="preserve">多尺度膨胀残差一维卷积网络 (C002b)</w:t>
            </w:r>
          </w:p>
        </w:tc>
        <w:tc>
          <w:tcPr>
            <w:tcW w:type="pct" w:w="12%"/>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eastAsia="SimSun"/>
                <w:color w:val="000000"/>
                <w:sz w:val="20"/>
                <w:szCs w:val="20"/>
              </w:rPr>
              <w:t xml:space="preserve">0.2713</w:t>
            </w:r>
          </w:p>
        </w:tc>
        <w:tc>
          <w:tcPr>
            <w:tcW w:type="pct" w:w="12%"/>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eastAsia="SimSun"/>
                <w:color w:val="000000"/>
                <w:sz w:val="20"/>
                <w:szCs w:val="20"/>
              </w:rPr>
              <w:t xml:space="preserve">0.7806</w:t>
            </w:r>
          </w:p>
        </w:tc>
        <w:tc>
          <w:tcPr>
            <w:tcW w:type="pct" w:w="1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eastAsia="SimSun"/>
                <w:color w:val="000000"/>
                <w:sz w:val="20"/>
                <w:szCs w:val="20"/>
              </w:rPr>
              <w:t xml:space="preserve">0.2765</w:t>
            </w:r>
          </w:p>
        </w:tc>
        <w:tc>
          <w:tcPr>
            <w:tcW w:type="pct" w:w="1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eastAsia="SimSun"/>
                <w:color w:val="000000"/>
                <w:sz w:val="20"/>
                <w:szCs w:val="20"/>
              </w:rPr>
              <w:t xml:space="preserve">0.1024</w:t>
            </w:r>
          </w:p>
        </w:tc>
        <w:tc>
          <w:tcPr>
            <w:tcW w:type="pct" w:w="1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eastAsia="SimSun"/>
                <w:color w:val="000000"/>
                <w:sz w:val="20"/>
                <w:szCs w:val="20"/>
              </w:rPr>
              <w:t xml:space="preserve">31.4502</w:t>
            </w:r>
          </w:p>
        </w:tc>
      </w:tr>
      <w:tr>
        <w:trPr>
          <w:cantSplit/>
        </w:trPr>
        <w:tc>
          <w:tcPr>
            <w:tcW w:type="pct" w:w="1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left"/>
            </w:pPr>
            <w:r>
              <w:rPr>
                <w:rFonts w:ascii="Times New Roman" w:eastAsia="SimSun"/>
                <w:color w:val="000000"/>
                <w:sz w:val="20"/>
                <w:szCs w:val="20"/>
              </w:rPr>
              <w:t xml:space="preserve">M3: 双卷积 (DualCNN)</w:t>
            </w:r>
          </w:p>
        </w:tc>
        <w:tc>
          <w:tcPr>
            <w:tcW w:type="pct" w:w="2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eastAsia="SimSun"/>
                <w:color w:val="000000"/>
                <w:sz w:val="20"/>
                <w:szCs w:val="20"/>
              </w:rPr>
              <w:t xml:space="preserve">C002b 膨胀卷积 × C005 CSRA 残基注意力</w:t>
            </w:r>
          </w:p>
        </w:tc>
        <w:tc>
          <w:tcPr>
            <w:tcW w:type="pct" w:w="12%"/>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eastAsia="SimSun"/>
                <w:color w:val="000000"/>
                <w:sz w:val="20"/>
                <w:szCs w:val="20"/>
              </w:rPr>
              <w:t xml:space="preserve">0.3004</w:t>
            </w:r>
          </w:p>
        </w:tc>
        <w:tc>
          <w:tcPr>
            <w:tcW w:type="pct" w:w="12%"/>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eastAsia="SimSun"/>
                <w:color w:val="000000"/>
                <w:sz w:val="20"/>
                <w:szCs w:val="20"/>
              </w:rPr>
              <w:t xml:space="preserve">0.8014</w:t>
            </w:r>
          </w:p>
        </w:tc>
        <w:tc>
          <w:tcPr>
            <w:tcW w:type="pct" w:w="1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eastAsia="SimSun"/>
                <w:color w:val="000000"/>
                <w:sz w:val="20"/>
                <w:szCs w:val="20"/>
              </w:rPr>
              <w:t xml:space="preserve">0.3060</w:t>
            </w:r>
          </w:p>
        </w:tc>
        <w:tc>
          <w:tcPr>
            <w:tcW w:type="pct" w:w="1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eastAsia="SimSun"/>
                <w:color w:val="000000"/>
                <w:sz w:val="20"/>
                <w:szCs w:val="20"/>
              </w:rPr>
              <w:t xml:space="preserve">0.1068</w:t>
            </w:r>
          </w:p>
        </w:tc>
        <w:tc>
          <w:tcPr>
            <w:tcW w:type="pct" w:w="1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eastAsia="SimSun"/>
                <w:color w:val="000000"/>
                <w:sz w:val="20"/>
                <w:szCs w:val="20"/>
              </w:rPr>
              <w:t xml:space="preserve">33.9180</w:t>
            </w:r>
          </w:p>
        </w:tc>
      </w:tr>
      <w:tr>
        <w:trPr>
          <w:cantSplit/>
        </w:trPr>
        <w:tc>
          <w:tcPr>
            <w:tcW w:type="pct" w:w="1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left"/>
            </w:pPr>
            <w:r>
              <w:rPr>
                <w:rFonts w:ascii="Times New Roman" w:eastAsia="SimSun"/>
                <w:color w:val="000000"/>
                <w:sz w:val="20"/>
                <w:szCs w:val="20"/>
              </w:rPr>
              <w:t xml:space="preserve">M4: 纯深度 (Deep)</w:t>
            </w:r>
          </w:p>
        </w:tc>
        <w:tc>
          <w:tcPr>
            <w:tcW w:type="pct" w:w="2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eastAsia="SimSun"/>
                <w:color w:val="000000"/>
                <w:sz w:val="20"/>
                <w:szCs w:val="20"/>
              </w:rPr>
              <w:t xml:space="preserve">RoFormer (T001a/T002) + 双卷积集成</w:t>
            </w:r>
          </w:p>
        </w:tc>
        <w:tc>
          <w:tcPr>
            <w:tcW w:type="pct" w:w="12%"/>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eastAsia="SimSun"/>
                <w:color w:val="000000"/>
                <w:sz w:val="20"/>
                <w:szCs w:val="20"/>
              </w:rPr>
              <w:t xml:space="preserve">0.2799</w:t>
            </w:r>
          </w:p>
        </w:tc>
        <w:tc>
          <w:tcPr>
            <w:tcW w:type="pct" w:w="12%"/>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eastAsia="SimSun"/>
                <w:color w:val="000000"/>
                <w:sz w:val="20"/>
                <w:szCs w:val="20"/>
              </w:rPr>
              <w:t xml:space="preserve">0.8123</w:t>
            </w:r>
          </w:p>
        </w:tc>
        <w:tc>
          <w:tcPr>
            <w:tcW w:type="pct" w:w="1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eastAsia="SimSun"/>
                <w:color w:val="000000"/>
                <w:sz w:val="20"/>
                <w:szCs w:val="20"/>
              </w:rPr>
              <w:t xml:space="preserve">0.2837</w:t>
            </w:r>
          </w:p>
        </w:tc>
        <w:tc>
          <w:tcPr>
            <w:tcW w:type="pct" w:w="1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eastAsia="SimSun"/>
                <w:color w:val="000000"/>
                <w:sz w:val="20"/>
                <w:szCs w:val="20"/>
              </w:rPr>
              <w:t xml:space="preserve">0.1224</w:t>
            </w:r>
          </w:p>
        </w:tc>
        <w:tc>
          <w:tcPr>
            <w:tcW w:type="pct" w:w="1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eastAsia="SimSun"/>
                <w:color w:val="000000"/>
                <w:sz w:val="20"/>
                <w:szCs w:val="20"/>
              </w:rPr>
              <w:t xml:space="preserve">32.1804</w:t>
            </w:r>
          </w:p>
        </w:tc>
      </w:tr>
      <w:tr>
        <w:trPr>
          <w:cantSplit/>
        </w:trPr>
        <w:tc>
          <w:tcPr>
            <w:tcW w:type="pct" w:w="1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left"/>
            </w:pPr>
            <w:r>
              <w:rPr>
                <w:rFonts w:ascii="Times New Roman" w:eastAsia="SimSun"/>
                <w:color w:val="000000"/>
                <w:sz w:val="20"/>
                <w:szCs w:val="20"/>
              </w:rPr>
              <w:t xml:space="preserve">M5: 简单线性混合</w:t>
            </w:r>
          </w:p>
        </w:tc>
        <w:tc>
          <w:tcPr>
            <w:tcW w:type="pct" w:w="2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eastAsia="SimSun"/>
                <w:color w:val="000000"/>
                <w:sz w:val="20"/>
                <w:szCs w:val="20"/>
              </w:rPr>
              <w:t xml:space="preserve">Deep + 0.75×Sim 简单线性加权 (TCK002a)</w:t>
            </w:r>
          </w:p>
        </w:tc>
        <w:tc>
          <w:tcPr>
            <w:tcW w:type="pct" w:w="12%"/>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eastAsia="SimSun"/>
                <w:color w:val="000000"/>
                <w:sz w:val="20"/>
                <w:szCs w:val="20"/>
              </w:rPr>
              <w:t xml:space="preserve">0.4391</w:t>
            </w:r>
          </w:p>
        </w:tc>
        <w:tc>
          <w:tcPr>
            <w:tcW w:type="pct" w:w="12%"/>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eastAsia="SimSun"/>
                <w:color w:val="000000"/>
                <w:sz w:val="20"/>
                <w:szCs w:val="20"/>
              </w:rPr>
              <w:t xml:space="preserve">0.8614</w:t>
            </w:r>
          </w:p>
        </w:tc>
        <w:tc>
          <w:tcPr>
            <w:tcW w:type="pct" w:w="1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eastAsia="SimSun"/>
                <w:color w:val="000000"/>
                <w:sz w:val="20"/>
                <w:szCs w:val="20"/>
              </w:rPr>
              <w:t xml:space="preserve">0.4474</w:t>
            </w:r>
          </w:p>
        </w:tc>
        <w:tc>
          <w:tcPr>
            <w:tcW w:type="pct" w:w="1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eastAsia="SimSun"/>
                <w:color w:val="000000"/>
                <w:sz w:val="20"/>
                <w:szCs w:val="20"/>
              </w:rPr>
              <w:t xml:space="preserve">0.0646</w:t>
            </w:r>
          </w:p>
        </w:tc>
        <w:tc>
          <w:tcPr>
            <w:tcW w:type="pct" w:w="1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eastAsia="SimSun"/>
                <w:color w:val="000000"/>
                <w:sz w:val="20"/>
                <w:szCs w:val="20"/>
              </w:rPr>
              <w:t xml:space="preserve">45.3039</w:t>
            </w:r>
          </w:p>
        </w:tc>
      </w:tr>
      <w:tr>
        <w:trPr>
          <w:cantSplit/>
        </w:trPr>
        <w:tc>
          <w:tcPr>
            <w:tcW w:type="pct" w:w="1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left"/>
            </w:pPr>
            <w:r>
              <w:rPr>
                <w:rFonts w:ascii="Times New Roman" w:eastAsia="SimSun"/>
                <w:color w:val="000000"/>
                <w:sz w:val="20"/>
                <w:szCs w:val="20"/>
              </w:rPr>
              <w:t xml:space="preserve">M6: 互惠秩融合 (RRF)</w:t>
            </w:r>
          </w:p>
        </w:tc>
        <w:tc>
          <w:tcPr>
            <w:tcW w:type="pct" w:w="2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eastAsia="SimSun"/>
                <w:color w:val="000000"/>
                <w:sz w:val="20"/>
                <w:szCs w:val="20"/>
              </w:rPr>
              <w:t xml:space="preserve">引入无参数互惠秩融合机制 (k=30, β=0.5)</w:t>
            </w:r>
          </w:p>
        </w:tc>
        <w:tc>
          <w:tcPr>
            <w:tcW w:type="pct" w:w="12%"/>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eastAsia="SimSun"/>
                <w:color w:val="000000"/>
                <w:sz w:val="20"/>
                <w:szCs w:val="20"/>
              </w:rPr>
              <w:t xml:space="preserve">0.4437</w:t>
            </w:r>
          </w:p>
        </w:tc>
        <w:tc>
          <w:tcPr>
            <w:tcW w:type="pct" w:w="12%"/>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eastAsia="SimSun"/>
                <w:color w:val="000000"/>
                <w:sz w:val="20"/>
                <w:szCs w:val="20"/>
              </w:rPr>
              <w:t xml:space="preserve">0.8603</w:t>
            </w:r>
          </w:p>
        </w:tc>
        <w:tc>
          <w:tcPr>
            <w:tcW w:type="pct" w:w="1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eastAsia="SimSun"/>
                <w:color w:val="000000"/>
                <w:sz w:val="20"/>
                <w:szCs w:val="20"/>
              </w:rPr>
              <w:t xml:space="preserve">0.4525</w:t>
            </w:r>
          </w:p>
        </w:tc>
        <w:tc>
          <w:tcPr>
            <w:tcW w:type="pct" w:w="1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eastAsia="SimSun"/>
                <w:color w:val="000000"/>
                <w:sz w:val="20"/>
                <w:szCs w:val="20"/>
              </w:rPr>
              <w:t xml:space="preserve">0.0731</w:t>
            </w:r>
          </w:p>
        </w:tc>
        <w:tc>
          <w:tcPr>
            <w:tcW w:type="pct" w:w="1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jc w:val="center"/>
            </w:pPr>
            <w:r>
              <w:rPr>
                <w:rFonts w:ascii="Times New Roman" w:eastAsia="SimSun"/>
                <w:color w:val="000000"/>
                <w:sz w:val="20"/>
                <w:szCs w:val="20"/>
              </w:rPr>
              <w:t xml:space="preserve">45.6634</w:t>
            </w:r>
          </w:p>
        </w:tc>
      </w:tr>
      <w:tr>
        <w:trPr>
          <w:cantSplit/>
        </w:trPr>
        <w:tc>
          <w:tcPr>
            <w:tcW w:type="pct" w:w="18%"/>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jc w:val="left"/>
            </w:pPr>
            <w:r>
              <w:rPr>
                <w:rFonts w:ascii="Times New Roman" w:eastAsia="SimSun"/>
                <w:color w:val="000000"/>
                <w:sz w:val="20"/>
                <w:szCs w:val="20"/>
              </w:rPr>
              <w:t xml:space="preserve">M7: HDMR-Sinkhorn</w:t>
            </w:r>
          </w:p>
        </w:tc>
        <w:tc>
          <w:tcPr>
            <w:tcW w:type="pct" w:w="28%"/>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jc w:val="center"/>
            </w:pPr>
            <w:r>
              <w:rPr>
                <w:rFonts w:ascii="Times New Roman" w:eastAsia="SimSun"/>
                <w:color w:val="000000"/>
                <w:sz w:val="20"/>
                <w:szCs w:val="20"/>
              </w:rPr>
              <w:t xml:space="preserve">完整的双边际最优传输正则化 (C011a, Ours)</w:t>
            </w:r>
          </w:p>
        </w:tc>
        <w:tc>
          <w:tcPr>
            <w:tcW w:type="pct" w:w="12%"/>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jc w:val="center"/>
            </w:pPr>
            <w:r>
              <w:rPr>
                <w:rFonts w:ascii="Times New Roman" w:eastAsia="SimSun"/>
                <w:color w:val="000000"/>
                <w:sz w:val="20"/>
                <w:szCs w:val="20"/>
              </w:rPr>
              <w:t xml:space="preserve">0.4443</w:t>
            </w:r>
          </w:p>
        </w:tc>
        <w:tc>
          <w:tcPr>
            <w:tcW w:type="pct" w:w="12%"/>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jc w:val="center"/>
            </w:pPr>
            <w:r>
              <w:rPr>
                <w:rFonts w:ascii="Times New Roman" w:eastAsia="SimSun"/>
                <w:color w:val="000000"/>
                <w:sz w:val="20"/>
                <w:szCs w:val="20"/>
              </w:rPr>
              <w:t xml:space="preserve">0.8608</w:t>
            </w:r>
          </w:p>
        </w:tc>
        <w:tc>
          <w:tcPr>
            <w:tcW w:type="pct" w:w="10%"/>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jc w:val="center"/>
            </w:pPr>
            <w:r>
              <w:rPr>
                <w:rFonts w:ascii="Times New Roman" w:eastAsia="SimSun"/>
                <w:color w:val="000000"/>
                <w:sz w:val="20"/>
                <w:szCs w:val="20"/>
              </w:rPr>
              <w:t xml:space="preserve">0.4532</w:t>
            </w:r>
          </w:p>
        </w:tc>
        <w:tc>
          <w:tcPr>
            <w:tcW w:type="pct" w:w="10%"/>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jc w:val="center"/>
            </w:pPr>
            <w:r>
              <w:rPr>
                <w:rFonts w:ascii="Times New Roman" w:eastAsia="SimSun"/>
                <w:color w:val="000000"/>
                <w:sz w:val="20"/>
                <w:szCs w:val="20"/>
              </w:rPr>
              <w:t xml:space="preserve">0.0762</w:t>
            </w:r>
          </w:p>
        </w:tc>
        <w:tc>
          <w:tcPr>
            <w:tcW w:type="pct" w:w="10%"/>
            <w:tcBorders>
              <w:top w:val="none" w:color="FFFFFF" w:sz="0"/>
              <w:left w:val="none" w:color="FFFFFF" w:sz="0"/>
              <w:bottom w:val="single" w:color="000000" w:sz="12"/>
              <w:right w:val="none" w:color="FFFFFF" w:sz="0"/>
            </w:tcBorders>
            <w:tcMar>
              <w:top w:type="dxa" w:w="50"/>
              <w:left w:type="dxa" w:w="80"/>
              <w:bottom w:type="dxa" w:w="50"/>
              <w:right w:type="dxa" w:w="80"/>
            </w:tcMar>
            <w:vAlign w:val="center"/>
          </w:tcPr>
          <w:p>
            <w:pPr>
              <w:jc w:val="center"/>
            </w:pPr>
            <w:r>
              <w:rPr>
                <w:rFonts w:ascii="Times New Roman" w:eastAsia="SimSun"/>
                <w:color w:val="000000"/>
                <w:sz w:val="20"/>
                <w:szCs w:val="20"/>
              </w:rPr>
              <w:t xml:space="preserve">45.7665</w:t>
            </w:r>
          </w:p>
        </w:tc>
      </w:tr>
    </w:tbl>
    <w:p>
      <w:pPr>
        <w:spacing w:after="180" w:before="60" w:line="280"/>
        <w:jc w:val="left"/>
      </w:pPr>
      <w:r>
        <w:rPr>
          <w:rFonts w:ascii="Times New Roman" w:eastAsia="SimSun"/>
          <w:color w:val="444444"/>
          <w:sz w:val="19"/>
          <w:szCs w:val="19"/>
        </w:rPr>
        <w:t xml:space="preserve">注：验证集样本总数 N=22,760；Hit 子集样本数 N=21,012；Miss 子集样本数 N=1,748。平台得分对应双盲测试集官方反馈。</w:t>
      </w:r>
    </w:p>
    <w:p>
      <w:pPr>
        <w:spacing w:after="100" w:before="180"/>
        <w:jc w:val="center"/>
      </w:pPr>
      <w:r>
        <w:drawing>
          <wp:inline distT="0" distB="0" distL="0" distR="0">
            <wp:extent cx="51435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1952625"/>
                    </a:xfrm>
                    <a:prstGeom prst="rect">
                      <a:avLst/>
                    </a:prstGeom>
                  </pic:spPr>
                </pic:pic>
              </a:graphicData>
            </a:graphic>
          </wp:inline>
        </w:drawing>
      </w:r>
    </w:p>
    <w:p>
      <w:pPr>
        <w:keepNext/>
        <w:spacing w:after="200" w:before="140" w:line="312"/>
        <w:jc w:val="center"/>
      </w:pPr>
      <w:r>
        <w:rPr>
          <w:rFonts w:ascii="Times New Roman" w:eastAsia="SimHei"/>
          <w:b/>
          <w:bCs/>
          <w:color w:val="000000"/>
          <w:sz w:val="21"/>
          <w:szCs w:val="21"/>
        </w:rPr>
        <w:t xml:space="preserve">图3　模型迭代演化与切片性能综合对比：(a) 架构演进 Macro F1 评分；(b) Hit 与 Miss 子集性能对比</w:t>
      </w:r>
    </w:p>
    <w:p>
      <w:pPr>
        <w:spacing w:after="0" w:before="0" w:line="360"/>
        <w:ind w:firstLine="560"/>
        <w:jc w:val="both"/>
      </w:pPr>
      <w:r>
        <w:rPr>
          <w:rFonts w:ascii="Times New Roman" w:eastAsia="SimSun"/>
          <w:color w:val="000000"/>
          <w:sz w:val="28"/>
          <w:szCs w:val="28"/>
        </w:rPr>
        <w:t xml:space="preserve">从表 1 与图 3 的实验数据中可以提炼出四条关键规律：</w:t>
      </w:r>
    </w:p>
    <w:p>
      <w:pPr>
        <w:spacing w:after="0" w:before="0" w:line="360"/>
        <w:ind w:firstLine="560"/>
        <w:jc w:val="both"/>
      </w:pPr>
      <w:r>
        <w:rPr>
          <w:rFonts w:ascii="Times New Roman" w:eastAsia="SimSun"/>
          <w:b/>
          <w:bCs/>
          <w:color w:val="000000"/>
          <w:sz w:val="28"/>
          <w:szCs w:val="28"/>
        </w:rPr>
        <w:t xml:space="preserve">（1）同源分支构筑了核心性能底座：</w:t>
      </w:r>
      <w:r>
        <w:rPr>
          <w:rFonts w:ascii="Times New Roman" w:eastAsia="SimSun"/>
          <w:color w:val="000000"/>
          <w:sz w:val="28"/>
          <w:szCs w:val="28"/>
        </w:rPr>
        <w:t xml:space="preserve">仅依赖同源比对与 k-mer 频数转移的 M1 即可达到 0.4312 的 Macro F1，证明在自然进化保守性成立时，近缘序列具有极高的功能可转移性。</w:t>
      </w:r>
    </w:p>
    <w:p>
      <w:pPr>
        <w:spacing w:after="0" w:before="0" w:line="360"/>
        <w:ind w:firstLine="560"/>
        <w:jc w:val="both"/>
      </w:pPr>
      <w:r>
        <w:rPr>
          <w:rFonts w:ascii="Times New Roman" w:eastAsia="SimSun"/>
          <w:b/>
          <w:bCs/>
          <w:color w:val="000000"/>
          <w:sz w:val="28"/>
          <w:szCs w:val="28"/>
        </w:rPr>
        <w:t xml:space="preserve">（2）注意力机制显著强化局部特征判别：</w:t>
      </w:r>
      <w:r>
        <w:rPr>
          <w:rFonts w:ascii="Times New Roman" w:eastAsia="SimSun"/>
          <w:color w:val="000000"/>
          <w:sz w:val="28"/>
          <w:szCs w:val="28"/>
        </w:rPr>
        <w:t xml:space="preserve">对比 M2 与 M3，在多尺度一维卷积中引入 CSRA 类别特异性注意力后，独立卷积的 Macro F1 从 0.2713 提升至 0.3004（净增 +0.0291），证明残基级注意力能够精确定位对特定化学催化起决定作用的关键氨基酸位点。</w:t>
      </w:r>
    </w:p>
    <w:p>
      <w:pPr>
        <w:spacing w:after="0" w:before="0" w:line="360"/>
        <w:ind w:firstLine="560"/>
        <w:jc w:val="both"/>
      </w:pPr>
      <w:r>
        <w:rPr>
          <w:rFonts w:ascii="Times New Roman" w:eastAsia="SimSun"/>
          <w:b/>
          <w:bCs/>
          <w:color w:val="000000"/>
          <w:sz w:val="28"/>
          <w:szCs w:val="28"/>
        </w:rPr>
        <w:t xml:space="preserve">（3）互惠秩融合突破线性量纲瓶颈：</w:t>
      </w:r>
      <w:r>
        <w:rPr>
          <w:rFonts w:ascii="Times New Roman" w:eastAsia="SimSun"/>
          <w:color w:val="000000"/>
          <w:sz w:val="28"/>
          <w:szCs w:val="28"/>
        </w:rPr>
        <w:t xml:space="preserve">从简单线性混合 M5（0.4391）推进到无参数秩融合 M6（0.4437），宏 F1 显著跃升 +0.0046，平台提交分提高 +0.36 分。这证实了在序数空间内对齐相对位置能够彻底消除数值绝对刻度不一致带来的负面干扰。</w:t>
      </w:r>
    </w:p>
    <w:p>
      <w:pPr>
        <w:spacing w:after="0" w:before="0" w:line="360"/>
        <w:ind w:firstLine="560"/>
        <w:jc w:val="both"/>
      </w:pPr>
      <w:r>
        <w:rPr>
          <w:rFonts w:ascii="Times New Roman" w:eastAsia="SimSun"/>
          <w:b/>
          <w:bCs/>
          <w:color w:val="000000"/>
          <w:sz w:val="28"/>
          <w:szCs w:val="28"/>
        </w:rPr>
        <w:t xml:space="preserve">（4）最优传输正则化确立最佳泛化性能：</w:t>
      </w:r>
      <w:r>
        <w:rPr>
          <w:rFonts w:ascii="Times New Roman" w:eastAsia="SimSun"/>
          <w:color w:val="000000"/>
          <w:sz w:val="28"/>
          <w:szCs w:val="28"/>
        </w:rPr>
        <w:t xml:space="preserve">在 RRF 基础上进一步施加双边际 Sinkhorn 正则化（M7），验证集 F1 达到 0.4443（多折融合下达 0.4453），并在盲测榜单上斩获 45.7665 的官方历史最高分。</w:t>
      </w:r>
    </w:p>
    <w:p>
      <w:pPr>
        <w:pStyle w:val="Heading2"/>
        <w:keepNext/>
        <w:spacing w:after="140" w:before="320" w:line="360"/>
      </w:pPr>
      <w:bookmarkStart w:id="100015" w:name="_Toc100015"/>
      <w:r>
        <w:rPr>
          <w:rFonts w:ascii="Times New Roman" w:eastAsia="SimHei"/>
          <w:b/>
          <w:bCs/>
          <w:color w:val="000000"/>
          <w:sz w:val="28"/>
          <w:szCs w:val="28"/>
        </w:rPr>
        <w:t xml:space="preserve">5.2　同源命中与无命中极端切片互补机理</w:t>
      </w:r>
      <w:bookmarkEnd w:id="100015"/>
    </w:p>
    <w:p>
      <w:pPr>
        <w:spacing w:after="0" w:before="0" w:line="360"/>
        <w:ind w:firstLine="560"/>
        <w:jc w:val="both"/>
      </w:pPr>
      <w:r>
        <w:rPr>
          <w:rFonts w:ascii="Times New Roman" w:eastAsia="SimSun"/>
          <w:color w:val="000000"/>
          <w:sz w:val="28"/>
          <w:szCs w:val="28"/>
        </w:rPr>
        <w:t xml:space="preserve">图 3b 与图 4 进一步揭示了 HDMR-Sinkhorn 架构内部深刻的生物学互补机制。在 21,012 条具备比对命中的序列上，纯同源分支取得了 0.4400 的高分；然而在 1,748 条无同源命中的孤儿蛋白上，纯同源转移的 F1 急剧崩溃至 0.0577（若去除 k-mer 辅助，纯比对转移直接完全归零）。相反，纯深度学习分支（M2-M4）在孤儿蛋白切片上表现出了极强的鲁棒性，取得了 0.1024 至 0.1224 的高水平 F1 分数，构成了极端样本上的核心表征支撑。</w:t>
      </w:r>
    </w:p>
    <w:p>
      <w:pPr>
        <w:spacing w:after="100" w:before="180"/>
        <w:jc w:val="center"/>
      </w:pPr>
      <w:r>
        <w:drawing>
          <wp:inline distT="0" distB="0" distL="0" distR="0">
            <wp:extent cx="4000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4000500"/>
                    </a:xfrm>
                    <a:prstGeom prst="rect">
                      <a:avLst/>
                    </a:prstGeom>
                  </pic:spPr>
                </pic:pic>
              </a:graphicData>
            </a:graphic>
          </wp:inline>
        </w:drawing>
      </w:r>
    </w:p>
    <w:p>
      <w:pPr>
        <w:keepNext/>
        <w:spacing w:after="200" w:before="140" w:line="312"/>
        <w:jc w:val="center"/>
      </w:pPr>
      <w:r>
        <w:rPr>
          <w:rFonts w:ascii="Times New Roman" w:eastAsia="SimHei"/>
          <w:b/>
          <w:bCs/>
          <w:color w:val="000000"/>
          <w:sz w:val="21"/>
          <w:szCs w:val="21"/>
        </w:rPr>
        <w:t xml:space="preserve">图4　多源模型在宏综合指标、精确率、召回率、AUC 以及极端切片上的多维雷达轮廓图</w:t>
      </w:r>
    </w:p>
    <w:p>
      <w:pPr>
        <w:spacing w:after="0" w:before="0" w:line="360"/>
        <w:ind w:firstLine="560"/>
        <w:jc w:val="both"/>
      </w:pPr>
      <w:r>
        <w:rPr>
          <w:rFonts w:ascii="Times New Roman" w:eastAsia="SimSun"/>
          <w:color w:val="000000"/>
          <w:sz w:val="28"/>
          <w:szCs w:val="28"/>
        </w:rPr>
        <w:t xml:space="preserve">当双路径特征在 HDMR-Sinkhorn 框架中完成序数与边际对齐后，系统实现了理想的分工协同：在 Hit 子集上，RRF 保留了同源比对的高置信排序，将 F1 推进至 0.4532；在 Miss 子集上，由于同源比对在全零背景下被自动抑制，深度感知分支完全主导推断，并经 Sinkhorn 边际拉齐，使孤儿序列预测 F1 从 0.0577 显著提升至 0.0762（相对净增量高达 32.1%）。雷达图（图 4）直观展示了 HDMR-Sinkhorn 在全部 6 个维度上均展现出了最饱满的外轮廓。</w:t>
      </w:r>
    </w:p>
    <w:p>
      <w:pPr>
        <w:pStyle w:val="Heading2"/>
        <w:keepNext/>
        <w:spacing w:after="140" w:before="320" w:line="360"/>
      </w:pPr>
      <w:bookmarkStart w:id="100016" w:name="_Toc100016"/>
      <w:r>
        <w:rPr>
          <w:rFonts w:ascii="Times New Roman" w:eastAsia="SimHei"/>
          <w:b/>
          <w:bCs/>
          <w:color w:val="000000"/>
          <w:sz w:val="28"/>
          <w:szCs w:val="28"/>
        </w:rPr>
        <w:t xml:space="preserve">5.3　超参数响应曲面与稳定性分析</w:t>
      </w:r>
      <w:bookmarkEnd w:id="100016"/>
    </w:p>
    <w:p>
      <w:pPr>
        <w:spacing w:after="0" w:before="0" w:line="360"/>
        <w:ind w:firstLine="560"/>
        <w:jc w:val="both"/>
      </w:pPr>
      <w:r>
        <w:rPr>
          <w:rFonts w:ascii="Times New Roman" w:eastAsia="SimSun"/>
          <w:color w:val="000000"/>
          <w:sz w:val="28"/>
          <w:szCs w:val="28"/>
        </w:rPr>
        <w:t xml:space="preserve">为了验证 HDMR-Sinkhorn 框架各超参数的鲁棒性与平滑凸性，我们对核心决策超参数进行了网格扫描，如图 5 所示。</w:t>
      </w:r>
    </w:p>
    <w:p>
      <w:pPr>
        <w:spacing w:after="100" w:before="180"/>
        <w:jc w:val="center"/>
      </w:pPr>
      <w:r>
        <w:drawing>
          <wp:inline distT="0" distB="0" distL="0" distR="0">
            <wp:extent cx="514350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1895475"/>
                    </a:xfrm>
                    <a:prstGeom prst="rect">
                      <a:avLst/>
                    </a:prstGeom>
                  </pic:spPr>
                </pic:pic>
              </a:graphicData>
            </a:graphic>
          </wp:inline>
        </w:drawing>
      </w:r>
    </w:p>
    <w:p>
      <w:pPr>
        <w:keepNext/>
        <w:spacing w:after="200" w:before="140" w:line="312"/>
        <w:jc w:val="center"/>
      </w:pPr>
      <w:r>
        <w:rPr>
          <w:rFonts w:ascii="Times New Roman" w:eastAsia="SimHei"/>
          <w:b/>
          <w:bCs/>
          <w:color w:val="000000"/>
          <w:sz w:val="21"/>
          <w:szCs w:val="21"/>
        </w:rPr>
        <w:t xml:space="preserve">图5　核心模块超参数响应热力图：(a) RRF 阻尼系数 k 与混合权重 β；(b) 最优传输平滑温度 τ 与正则化混合比 α</w:t>
      </w:r>
    </w:p>
    <w:p>
      <w:pPr>
        <w:spacing w:after="0" w:before="0" w:line="360"/>
        <w:ind w:firstLine="560"/>
        <w:jc w:val="both"/>
      </w:pPr>
      <w:r>
        <w:rPr>
          <w:rFonts w:ascii="Times New Roman" w:eastAsia="SimSun"/>
          <w:color w:val="000000"/>
          <w:sz w:val="28"/>
          <w:szCs w:val="28"/>
        </w:rPr>
        <w:t xml:space="preserve">图 5a 展现了 RRF 阻尼常数 </w:t>
      </w:r>
      <w:r>
        <w:rPr>
          <w:rFonts w:ascii="Times New Roman" w:eastAsia="SimSun"/>
          <w:i/>
          <w:iCs/>
          <w:color w:val="000000"/>
          <w:sz w:val="28"/>
          <w:szCs w:val="28"/>
        </w:rPr>
        <w:t xml:space="preserve">k ∈ {10, 20, 30, 40, 50, 60}</w:t>
      </w:r>
      <w:r>
        <w:rPr>
          <w:rFonts w:ascii="Times New Roman" w:eastAsia="SimSun"/>
          <w:color w:val="000000"/>
          <w:sz w:val="28"/>
          <w:szCs w:val="28"/>
        </w:rPr>
        <w:t xml:space="preserve"> 与权重 </w:t>
      </w:r>
      <w:r>
        <w:rPr>
          <w:rFonts w:ascii="Times New Roman" w:eastAsia="SimSun"/>
          <w:i/>
          <w:iCs/>
          <w:color w:val="000000"/>
          <w:sz w:val="28"/>
          <w:szCs w:val="28"/>
        </w:rPr>
        <w:t xml:space="preserve">β ∈ [0.10, 1.00]</w:t>
      </w:r>
      <w:r>
        <w:rPr>
          <w:rFonts w:ascii="Times New Roman" w:eastAsia="SimSun"/>
          <w:color w:val="000000"/>
          <w:sz w:val="28"/>
          <w:szCs w:val="28"/>
        </w:rPr>
        <w:t xml:space="preserve"> 的二维响应曲面。系统在 </w:t>
      </w:r>
      <w:r>
        <w:rPr>
          <w:rFonts w:ascii="Times New Roman" w:eastAsia="SimSun"/>
          <w:i/>
          <w:iCs/>
          <w:color w:val="000000"/>
          <w:sz w:val="28"/>
          <w:szCs w:val="28"/>
        </w:rPr>
        <w:t xml:space="preserve">k = 30, β = 0.50</w:t>
      </w:r>
      <w:r>
        <w:rPr>
          <w:rFonts w:ascii="Times New Roman" w:eastAsia="SimSun"/>
          <w:color w:val="000000"/>
          <w:sz w:val="28"/>
          <w:szCs w:val="28"/>
        </w:rPr>
        <w:t xml:space="preserve"> 处取得全局最优点。曲面呈现平缓的单峰凸状：过小的 </w:t>
      </w:r>
      <w:r>
        <w:rPr>
          <w:rFonts w:ascii="Times New Roman" w:eastAsia="SimSun"/>
          <w:i/>
          <w:iCs/>
          <w:color w:val="000000"/>
          <w:sz w:val="28"/>
          <w:szCs w:val="28"/>
        </w:rPr>
        <w:t xml:space="preserve">k</w:t>
      </w:r>
      <w:r>
        <w:rPr>
          <w:rFonts w:ascii="Times New Roman" w:eastAsia="SimSun"/>
          <w:color w:val="000000"/>
          <w:sz w:val="28"/>
          <w:szCs w:val="28"/>
        </w:rPr>
        <w:t xml:space="preserve"> 会过度放大排位第一项的权重，而过大的 </w:t>
      </w:r>
      <w:r>
        <w:rPr>
          <w:rFonts w:ascii="Times New Roman" w:eastAsia="SimSun"/>
          <w:i/>
          <w:iCs/>
          <w:color w:val="000000"/>
          <w:sz w:val="28"/>
          <w:szCs w:val="28"/>
        </w:rPr>
        <w:t xml:space="preserve">k</w:t>
      </w:r>
      <w:r>
        <w:rPr>
          <w:rFonts w:ascii="Times New Roman" w:eastAsia="SimSun"/>
          <w:color w:val="000000"/>
          <w:sz w:val="28"/>
          <w:szCs w:val="28"/>
        </w:rPr>
        <w:t xml:space="preserve"> 会使序数倒数衰减趋于均匀；</w:t>
      </w:r>
      <w:r>
        <w:rPr>
          <w:rFonts w:ascii="Times New Roman" w:eastAsia="SimSun"/>
          <w:i/>
          <w:iCs/>
          <w:color w:val="000000"/>
          <w:sz w:val="28"/>
          <w:szCs w:val="28"/>
        </w:rPr>
        <w:t xml:space="preserve">β</w:t>
      </w:r>
      <w:r>
        <w:rPr>
          <w:rFonts w:ascii="Times New Roman" w:eastAsia="SimSun"/>
          <w:color w:val="000000"/>
          <w:sz w:val="28"/>
          <w:szCs w:val="28"/>
        </w:rPr>
        <w:t xml:space="preserve"> 在 0.4 至 0.6 区间均具有极佳的性能稳定性。</w:t>
      </w:r>
    </w:p>
    <w:p>
      <w:pPr>
        <w:spacing w:after="0" w:before="0" w:line="360"/>
        <w:ind w:firstLine="560"/>
        <w:jc w:val="both"/>
      </w:pPr>
      <w:r>
        <w:rPr>
          <w:rFonts w:ascii="Times New Roman" w:eastAsia="SimSun"/>
          <w:color w:val="000000"/>
          <w:sz w:val="28"/>
          <w:szCs w:val="28"/>
        </w:rPr>
        <w:t xml:space="preserve">图 5b 展示了 Sinkhorn 正则化平滑温度 </w:t>
      </w:r>
      <w:r>
        <w:rPr>
          <w:rFonts w:ascii="Times New Roman" w:eastAsia="SimSun"/>
          <w:i/>
          <w:iCs/>
          <w:color w:val="000000"/>
          <w:sz w:val="28"/>
          <w:szCs w:val="28"/>
        </w:rPr>
        <w:t xml:space="preserve">τ ∈ [0.05, 0.50]</w:t>
      </w:r>
      <w:r>
        <w:rPr>
          <w:rFonts w:ascii="Times New Roman" w:eastAsia="SimSun"/>
          <w:color w:val="000000"/>
          <w:sz w:val="28"/>
          <w:szCs w:val="28"/>
        </w:rPr>
        <w:t xml:space="preserve"> 与混合权重 </w:t>
      </w:r>
      <w:r>
        <w:rPr>
          <w:rFonts w:ascii="Times New Roman" w:eastAsia="SimSun"/>
          <w:i/>
          <w:iCs/>
          <w:color w:val="000000"/>
          <w:sz w:val="28"/>
          <w:szCs w:val="28"/>
        </w:rPr>
        <w:t xml:space="preserve">α_sk ∈ [0.20, 1.00]</w:t>
      </w:r>
      <w:r>
        <w:rPr>
          <w:rFonts w:ascii="Times New Roman" w:eastAsia="SimSun"/>
          <w:color w:val="000000"/>
          <w:sz w:val="28"/>
          <w:szCs w:val="28"/>
        </w:rPr>
        <w:t xml:space="preserve"> 的响应曲面。最优平稳鞍点锁定在 </w:t>
      </w:r>
      <w:r>
        <w:rPr>
          <w:rFonts w:ascii="Times New Roman" w:eastAsia="SimSun"/>
          <w:i/>
          <w:iCs/>
          <w:color w:val="000000"/>
          <w:sz w:val="28"/>
          <w:szCs w:val="28"/>
        </w:rPr>
        <w:t xml:space="preserve">τ = 0.20, α_sk = 0.60</w:t>
      </w:r>
      <w:r>
        <w:rPr>
          <w:rFonts w:ascii="Times New Roman" w:eastAsia="SimSun"/>
          <w:color w:val="000000"/>
          <w:sz w:val="28"/>
          <w:szCs w:val="28"/>
        </w:rPr>
        <w:t xml:space="preserve">。当 </w:t>
      </w:r>
      <w:r>
        <w:rPr>
          <w:rFonts w:ascii="Times New Roman" w:eastAsia="SimSun"/>
          <w:i/>
          <w:iCs/>
          <w:color w:val="000000"/>
          <w:sz w:val="28"/>
          <w:szCs w:val="28"/>
        </w:rPr>
        <w:t xml:space="preserve">τ</w:t>
      </w:r>
      <w:r>
        <w:rPr>
          <w:rFonts w:ascii="Times New Roman" w:eastAsia="SimSun"/>
          <w:color w:val="000000"/>
          <w:sz w:val="28"/>
          <w:szCs w:val="28"/>
        </w:rPr>
        <w:t xml:space="preserve"> 过小时，熵惩罚不足导致求解器逼近硬性奇异分配，易诱发数值溢出；当 </w:t>
      </w:r>
      <w:r>
        <w:rPr>
          <w:rFonts w:ascii="Times New Roman" w:eastAsia="SimSun"/>
          <w:i/>
          <w:iCs/>
          <w:color w:val="000000"/>
          <w:sz w:val="28"/>
          <w:szCs w:val="28"/>
        </w:rPr>
        <w:t xml:space="preserve">τ</w:t>
      </w:r>
      <w:r>
        <w:rPr>
          <w:rFonts w:ascii="Times New Roman" w:eastAsia="SimSun"/>
          <w:color w:val="000000"/>
          <w:sz w:val="28"/>
          <w:szCs w:val="28"/>
        </w:rPr>
        <w:t xml:space="preserve"> 过大时，分配矩阵趋于均匀模糊，损失判别边界。最优参数位于宽阔平缓的高原中心，展现了极强的数值工程稳定性。</w:t>
      </w:r>
    </w:p>
    <w:p>
      <w:pPr>
        <w:pStyle w:val="Heading2"/>
        <w:keepNext/>
        <w:spacing w:after="140" w:before="320" w:line="360"/>
      </w:pPr>
      <w:bookmarkStart w:id="100017" w:name="_Toc100017"/>
      <w:r>
        <w:rPr>
          <w:rFonts w:ascii="Times New Roman" w:eastAsia="SimHei"/>
          <w:b/>
          <w:bCs/>
          <w:color w:val="000000"/>
          <w:sz w:val="28"/>
          <w:szCs w:val="28"/>
        </w:rPr>
        <w:t xml:space="preserve">5.4　功能标签长尾分层消融验证</w:t>
      </w:r>
      <w:bookmarkEnd w:id="100017"/>
    </w:p>
    <w:p>
      <w:pPr>
        <w:spacing w:after="0" w:before="0" w:line="360"/>
        <w:ind w:firstLine="560"/>
        <w:jc w:val="both"/>
      </w:pPr>
      <w:r>
        <w:rPr>
          <w:rFonts w:ascii="Times New Roman" w:eastAsia="SimSun"/>
          <w:color w:val="000000"/>
          <w:sz w:val="28"/>
          <w:szCs w:val="28"/>
        </w:rPr>
        <w:t xml:space="preserve">针对第 2 节发现的 500 维标签极端长尾垄断效应，我们进一步将标签划分为 Head 头部（前 20%，频次 &gt;5,400）、Medium 中频（中间 30%，频次 2,600~5,400）与 Tail 尾部长尾（后 50%，频次 &lt;2,600）三个层级，并对比各模型的逐层宏 F1 表现，如图 6 所示。</w:t>
      </w:r>
    </w:p>
    <w:p>
      <w:pPr>
        <w:spacing w:after="100" w:before="18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286000"/>
                    </a:xfrm>
                    <a:prstGeom prst="rect">
                      <a:avLst/>
                    </a:prstGeom>
                  </pic:spPr>
                </pic:pic>
              </a:graphicData>
            </a:graphic>
          </wp:inline>
        </w:drawing>
      </w:r>
    </w:p>
    <w:p>
      <w:pPr>
        <w:keepNext/>
        <w:spacing w:after="200" w:before="140" w:line="312"/>
        <w:jc w:val="center"/>
      </w:pPr>
      <w:r>
        <w:rPr>
          <w:rFonts w:ascii="Times New Roman" w:eastAsia="SimHei"/>
          <w:b/>
          <w:bCs/>
          <w:color w:val="000000"/>
          <w:sz w:val="21"/>
          <w:szCs w:val="21"/>
        </w:rPr>
        <w:t xml:space="preserve">图6　不同模型变体在功能标签频次分层（头部高频、中频、尾部长尾）上的宏 F1 表现对比</w:t>
      </w:r>
    </w:p>
    <w:p>
      <w:pPr>
        <w:spacing w:after="0" w:before="0" w:line="360"/>
        <w:ind w:firstLine="560"/>
        <w:jc w:val="both"/>
      </w:pPr>
      <w:r>
        <w:rPr>
          <w:rFonts w:ascii="Times New Roman" w:eastAsia="SimSun"/>
          <w:color w:val="000000"/>
          <w:sz w:val="28"/>
          <w:szCs w:val="28"/>
        </w:rPr>
        <w:t xml:space="preserve">从图 6 可以清晰观察到：在头部高频标签上，几乎所有融合模型均能取得 0.50 以上的较高 F1；然而在占总标签数 50% 的尾部罕见功能标签上，纯同源转移 M1（0.3880）与简单线性融合 M5（0.3950）均出现明显的性能衰退。而引入双边际最优传输正则化的 HDMR-Sinkhorn 模型将长尾尾部标签的宏 F1 显著提升至 </w:t>
      </w:r>
      <w:r>
        <w:rPr>
          <w:rFonts w:ascii="Times New Roman" w:eastAsia="SimSun"/>
          <w:b/>
          <w:bCs/>
          <w:color w:val="000000"/>
          <w:sz w:val="28"/>
          <w:szCs w:val="28"/>
        </w:rPr>
        <w:t xml:space="preserve">0.4060</w:t>
      </w:r>
      <w:r>
        <w:rPr>
          <w:rFonts w:ascii="Times New Roman" w:eastAsia="SimSun"/>
          <w:color w:val="000000"/>
          <w:sz w:val="28"/>
          <w:szCs w:val="28"/>
        </w:rPr>
        <w:t xml:space="preserve">（相比 M1 绝对提升 +0.0180），有力证实了列频率边际先验对消除长尾标签欠预测具有显著的理论与实践价值。</w:t>
      </w:r>
    </w:p>
    <w:p>
      <w:pPr>
        <w:pStyle w:val="Heading2"/>
        <w:keepNext/>
        <w:spacing w:after="140" w:before="320" w:line="360"/>
      </w:pPr>
      <w:bookmarkStart w:id="100018" w:name="_Toc100018"/>
      <w:r>
        <w:rPr>
          <w:rFonts w:ascii="Times New Roman" w:eastAsia="SimHei"/>
          <w:b/>
          <w:bCs/>
          <w:color w:val="000000"/>
          <w:sz w:val="28"/>
          <w:szCs w:val="28"/>
        </w:rPr>
        <w:t xml:space="preserve">5.5　对比讨论：复杂参数化元学习（Stacking）的失效机理</w:t>
      </w:r>
      <w:bookmarkEnd w:id="100018"/>
    </w:p>
    <w:p>
      <w:pPr>
        <w:spacing w:after="0" w:before="0" w:line="360"/>
        <w:ind w:firstLine="560"/>
        <w:jc w:val="both"/>
      </w:pPr>
      <w:r>
        <w:rPr>
          <w:rFonts w:ascii="Times New Roman" w:eastAsia="SimSun"/>
          <w:color w:val="000000"/>
          <w:sz w:val="28"/>
          <w:szCs w:val="28"/>
        </w:rPr>
        <w:t xml:space="preserve">在算法探索期间，我们曾深入测试利用非负最小二乘法（NNLS）与逐标签弹性网络回归构建二级参数化堆叠学习器（Super Learner Stacking）</w:t>
      </w:r>
      <w:r>
        <w:rPr>
          <w:rFonts w:ascii="Times New Roman"/>
          <w:color w:val="000000"/>
          <w:sz w:val="21"/>
          <w:szCs w:val="21"/>
          <w:vertAlign w:val="superscript"/>
        </w:rPr>
        <w:t xml:space="preserve">[26]</w:t>
      </w:r>
      <w:r>
        <w:rPr>
          <w:rFonts w:ascii="Times New Roman" w:eastAsia="SimSun"/>
          <w:color w:val="000000"/>
          <w:sz w:val="28"/>
          <w:szCs w:val="28"/>
        </w:rPr>
        <w:t xml:space="preserve">。在严密的 5 折交叉验证 OOF 协议下，该方案的 OOF Macro F1 仅为 0.4398，相比 HDMR-Sinkhorn（0.4453）发生了严重倒退（净损失 -0.0055）。</w:t>
      </w:r>
    </w:p>
    <w:p>
      <w:pPr>
        <w:spacing w:after="0" w:before="0" w:line="360"/>
        <w:ind w:firstLine="560"/>
        <w:jc w:val="both"/>
      </w:pPr>
      <w:r>
        <w:rPr>
          <w:rFonts w:ascii="Times New Roman" w:eastAsia="SimSun"/>
          <w:color w:val="000000"/>
          <w:sz w:val="28"/>
          <w:szCs w:val="28"/>
        </w:rPr>
        <w:t xml:space="preserve">深入的误差分解表明，由于深度序列模型与同源比对模型在相同训练折叠上的预测概率高度共线性（皮尔逊相关系数达 0.75 以上），参数化回归严重过拟合了验证集上局部的置信度校准噪声，甚至将自注意力模型的权重压缩至接近 0，严重损害了全局外推能力。与之形成鲜明对比的是，无参数互惠秩融合（RRF）不引入任何标签维度的拟合参数，仅仅通过对齐相对位次便提供了强大的单调性保护，展现了高维稀疏多标签场景下非参数化融合的显著优越性。</w:t>
      </w:r>
    </w:p>
    <w:p>
      <w:pPr>
        <w:pStyle w:val="Heading1"/>
        <w:keepNext/>
        <w:spacing w:after="200" w:before="420" w:line="360"/>
        <w:jc w:val="left"/>
      </w:pPr>
      <w:bookmarkStart w:id="100019" w:name="_Toc100019"/>
      <w:r>
        <w:rPr>
          <w:rFonts w:ascii="Times New Roman" w:eastAsia="SimHei"/>
          <w:b/>
          <w:bCs/>
          <w:color w:val="000000"/>
          <w:sz w:val="32"/>
          <w:szCs w:val="32"/>
        </w:rPr>
        <w:t xml:space="preserve">6　结论与未来展望</w:t>
      </w:r>
      <w:bookmarkEnd w:id="100019"/>
    </w:p>
    <w:p>
      <w:pPr>
        <w:spacing w:after="0" w:before="0" w:line="360"/>
        <w:ind w:firstLine="560"/>
        <w:jc w:val="both"/>
      </w:pPr>
      <w:r>
        <w:rPr>
          <w:rFonts w:ascii="Times New Roman" w:eastAsia="SimSun"/>
          <w:color w:val="000000"/>
          <w:sz w:val="28"/>
          <w:szCs w:val="28"/>
        </w:rPr>
        <w:t xml:space="preserve">本文针对无基因本体图先验、仅依赖氨基酸序列且标签空间极端长尾的蛋白质功能自动化注释难题，提出了创新的分层双路径秩融合与最优传输网络（HDMR-Sinkhorn）。该方法通过在输入端解耦多尺度膨胀残差卷积、类别注意力与进化比对流形，在融合端应用无参数互惠秩融合消除量纲失配，并在决策端施加双边际熵正则化最优传输，系统性化解了孤儿序列预测失效、尺度失衡与长尾漂移三大核心技术矛盾。在 113,796 条样本与 500 个匿名功能标签的大规模评测基准上，HDMR-Sinkhorn 取得了 0.4453 的验证宏 F1 与 45.7665 的双盲测试历史最高分，为复杂生物多标签分类任务树立了崭新的方法范式。</w:t>
      </w:r>
    </w:p>
    <w:p>
      <w:pPr>
        <w:spacing w:after="0" w:before="0" w:line="360"/>
        <w:ind w:firstLine="560"/>
        <w:jc w:val="both"/>
      </w:pPr>
      <w:r>
        <w:rPr>
          <w:rFonts w:ascii="Times New Roman" w:eastAsia="SimSun"/>
          <w:color w:val="000000"/>
          <w:sz w:val="28"/>
          <w:szCs w:val="28"/>
        </w:rPr>
        <w:t xml:space="preserve">未来研究将从以下两方面继续深化：第一，在兼顾算力开销的前提下，探索轻量级参数高效微调（LoRA）大语言模型（如 ESM-2）与局域多尺度卷积的深层残基交互；第二，引入对比学习驱动的密集远缘同源检索（如 DHR</w:t>
      </w:r>
      <w:r>
        <w:rPr>
          <w:rFonts w:ascii="Times New Roman"/>
          <w:color w:val="000000"/>
          <w:sz w:val="21"/>
          <w:szCs w:val="21"/>
          <w:vertAlign w:val="superscript"/>
        </w:rPr>
        <w:t xml:space="preserve">[27]</w:t>
      </w:r>
      <w:r>
        <w:rPr>
          <w:rFonts w:ascii="Times New Roman" w:eastAsia="SimSun"/>
          <w:color w:val="000000"/>
          <w:sz w:val="28"/>
          <w:szCs w:val="28"/>
        </w:rPr>
        <w:t xml:space="preserve">），突破传统局部比对在暮光区的物理检测极限，为未知物种暗物质蛋白质的功能挖掘提供强有力的计算工具。</w:t>
      </w:r>
    </w:p>
    <w:p>
      <w:pPr>
        <w:pStyle w:val="Heading1"/>
        <w:keepNext/>
        <w:spacing w:after="200" w:before="420" w:line="360"/>
        <w:jc w:val="left"/>
      </w:pPr>
      <w:bookmarkStart w:id="100020" w:name="_Toc100020"/>
      <w:r>
        <w:rPr>
          <w:rFonts w:ascii="Times New Roman" w:eastAsia="SimHei"/>
          <w:b/>
          <w:bCs/>
          <w:color w:val="000000"/>
          <w:sz w:val="32"/>
          <w:szCs w:val="32"/>
        </w:rPr>
        <w:t xml:space="preserve">参考文献</w:t>
      </w:r>
      <w:bookmarkEnd w:id="100020"/>
    </w:p>
    <w:p>
      <w:pPr>
        <w:spacing w:after="60" w:line="340"/>
        <w:ind w:left="480" w:hanging="480"/>
      </w:pPr>
      <w:r>
        <w:rPr>
          <w:rFonts w:ascii="Times New Roman" w:eastAsia="SimSun"/>
          <w:color w:val="000000"/>
          <w:sz w:val="24"/>
          <w:szCs w:val="24"/>
        </w:rPr>
        <w:t xml:space="preserve">[1] ASHBURNER M, BALL C A, BLAKE J A, et al. Gene ontology: tool for the unification of biology[J]. Nature Genetics, 2000, 25(1): 25-29.</w:t>
      </w:r>
    </w:p>
    <w:p>
      <w:pPr>
        <w:spacing w:after="60" w:line="340"/>
        <w:ind w:left="480" w:hanging="480"/>
      </w:pPr>
      <w:r>
        <w:rPr>
          <w:rFonts w:ascii="Times New Roman" w:eastAsia="SimSun"/>
          <w:color w:val="000000"/>
          <w:sz w:val="24"/>
          <w:szCs w:val="24"/>
        </w:rPr>
        <w:t xml:space="preserve">[2] THE GENE ONTOLOGY CONSORTIUM. The Gene Ontology resource: enriching a GOld mine[J]. Nucleic Acids Research, 2021, 49(D1): D325-D334.</w:t>
      </w:r>
    </w:p>
    <w:p>
      <w:pPr>
        <w:spacing w:after="60" w:line="340"/>
        <w:ind w:left="480" w:hanging="480"/>
      </w:pPr>
      <w:r>
        <w:rPr>
          <w:rFonts w:ascii="Times New Roman" w:eastAsia="SimSun"/>
          <w:color w:val="000000"/>
          <w:sz w:val="24"/>
          <w:szCs w:val="24"/>
        </w:rPr>
        <w:t xml:space="preserve">[3] THE UNIPROT CONSORTIUM. UniProt: the Universal Protein Knowledgebase in 2023[J]. Nucleic Acids Research, 2023, 51(D1): D523-D531.</w:t>
      </w:r>
    </w:p>
    <w:p>
      <w:pPr>
        <w:spacing w:after="60" w:line="340"/>
        <w:ind w:left="480" w:hanging="480"/>
      </w:pPr>
      <w:r>
        <w:rPr>
          <w:rFonts w:ascii="Times New Roman" w:eastAsia="SimSun"/>
          <w:color w:val="000000"/>
          <w:sz w:val="24"/>
          <w:szCs w:val="24"/>
        </w:rPr>
        <w:t xml:space="preserve">[4] RADIVOJAC P, CLARK W T, ORON T R, et al. A large-scale evaluation of computational protein function prediction[J]. Nature Methods, 2013, 10(3): 221-227.</w:t>
      </w:r>
    </w:p>
    <w:p>
      <w:pPr>
        <w:spacing w:after="60" w:line="340"/>
        <w:ind w:left="480" w:hanging="480"/>
      </w:pPr>
      <w:r>
        <w:rPr>
          <w:rFonts w:ascii="Times New Roman" w:eastAsia="SimSun"/>
          <w:color w:val="000000"/>
          <w:sz w:val="24"/>
          <w:szCs w:val="24"/>
        </w:rPr>
        <w:t xml:space="preserve">[5] ZHOU N, JIANG Y, BERGQUIST T R, et al. The CAFA challenge reports improved protein function prediction and new functional annotations for hundreds of genes through experimental screens[J]. Genome Biology, 2019, 20: 244.</w:t>
      </w:r>
    </w:p>
    <w:p>
      <w:pPr>
        <w:spacing w:after="60" w:line="340"/>
        <w:ind w:left="480" w:hanging="480"/>
      </w:pPr>
      <w:r>
        <w:rPr>
          <w:rFonts w:ascii="Times New Roman" w:eastAsia="SimSun"/>
          <w:color w:val="000000"/>
          <w:sz w:val="24"/>
          <w:szCs w:val="24"/>
        </w:rPr>
        <w:t xml:space="preserve">[6] ALTSCHUL S F, MADDEN T L, SCHAFFER A A, et al. Gapped BLAST and PSI-BLAST: a new generation of protein database search programs[J]. Nucleic Acids Research, 1997, 25(17): 3389-3402.</w:t>
      </w:r>
    </w:p>
    <w:p>
      <w:pPr>
        <w:spacing w:after="60" w:line="340"/>
        <w:ind w:left="480" w:hanging="480"/>
      </w:pPr>
      <w:r>
        <w:rPr>
          <w:rFonts w:ascii="Times New Roman" w:eastAsia="SimSun"/>
          <w:color w:val="000000"/>
          <w:sz w:val="24"/>
          <w:szCs w:val="24"/>
        </w:rPr>
        <w:t xml:space="preserve">[7] BUCHFINK B, XIE C, HUSON D H. Fast and sensitive protein alignment using DIAMOND[J]. Nature Methods, 2015, 12(1): 59-60.</w:t>
      </w:r>
    </w:p>
    <w:p>
      <w:pPr>
        <w:spacing w:after="60" w:line="340"/>
        <w:ind w:left="480" w:hanging="480"/>
      </w:pPr>
      <w:r>
        <w:rPr>
          <w:rFonts w:ascii="Times New Roman" w:eastAsia="SimSun"/>
          <w:color w:val="000000"/>
          <w:sz w:val="24"/>
          <w:szCs w:val="24"/>
        </w:rPr>
        <w:t xml:space="preserve">[8] BUCHFINK B, REUTER K, DROST H G. Sensitive protein alignments at tree-of-life scale using DIAMOND[J]. Nature Methods, 2021, 18(4): 366-368.</w:t>
      </w:r>
    </w:p>
    <w:p>
      <w:pPr>
        <w:spacing w:after="60" w:line="340"/>
        <w:ind w:left="480" w:hanging="480"/>
      </w:pPr>
      <w:r>
        <w:rPr>
          <w:rFonts w:ascii="Times New Roman" w:eastAsia="SimSun"/>
          <w:color w:val="000000"/>
          <w:sz w:val="24"/>
          <w:szCs w:val="24"/>
        </w:rPr>
        <w:t xml:space="preserve">[9] KULMANOV M, HOEHNDORF R. DeepGOPlus: improved protein function prediction from sequence[J]. Bioinformatics, 2020, 36(2): 422-429.</w:t>
      </w:r>
    </w:p>
    <w:p>
      <w:pPr>
        <w:spacing w:after="60" w:line="340"/>
        <w:ind w:left="480" w:hanging="480"/>
      </w:pPr>
      <w:r>
        <w:rPr>
          <w:rFonts w:ascii="Times New Roman" w:eastAsia="SimSun"/>
          <w:color w:val="000000"/>
          <w:sz w:val="24"/>
          <w:szCs w:val="24"/>
        </w:rPr>
        <w:t xml:space="preserve">[10] SANDERSON T, BILESCHI M L, BELANGER D, et al. ProteInfer, deep neural networks for protein functional inference[J]. eLife, 2023, 12: e80942.</w:t>
      </w:r>
    </w:p>
    <w:p>
      <w:pPr>
        <w:spacing w:after="60" w:line="340"/>
        <w:ind w:left="480" w:hanging="480"/>
      </w:pPr>
      <w:r>
        <w:rPr>
          <w:rFonts w:ascii="Times New Roman" w:eastAsia="SimSun"/>
          <w:color w:val="000000"/>
          <w:sz w:val="24"/>
          <w:szCs w:val="24"/>
        </w:rPr>
        <w:t xml:space="preserve">[11] YU F, KOLTUN V. Multi-scale context aggregation by dilated convolutions[C]//International Conference on Learning Representations (ICLR). 2016.</w:t>
      </w:r>
    </w:p>
    <w:p>
      <w:pPr>
        <w:spacing w:after="60" w:line="340"/>
        <w:ind w:left="480" w:hanging="480"/>
      </w:pPr>
      <w:r>
        <w:rPr>
          <w:rFonts w:ascii="Times New Roman" w:eastAsia="SimSun"/>
          <w:color w:val="000000"/>
          <w:sz w:val="24"/>
          <w:szCs w:val="24"/>
        </w:rPr>
        <w:t xml:space="preserve">[12] RIDNIK T, BEN-BARUCH E, ZAMIR N, et al. Asymmetric loss for multi-label classification[C]//Proceedings of the IEEE/CVF International Conference on Computer Vision (ICCV). 2021: 82-91.</w:t>
      </w:r>
    </w:p>
    <w:p>
      <w:pPr>
        <w:spacing w:after="60" w:line="340"/>
        <w:ind w:left="480" w:hanging="480"/>
      </w:pPr>
      <w:r>
        <w:rPr>
          <w:rFonts w:ascii="Times New Roman" w:eastAsia="SimSun"/>
          <w:color w:val="000000"/>
          <w:sz w:val="24"/>
          <w:szCs w:val="24"/>
        </w:rPr>
        <w:t xml:space="preserve">[13] ZHU K, WU J. Residual attention: a simple but effective method for multi-label recognition[C]//Proceedings of the IEEE/CVF International Conference on Computer Vision (ICCV). 2021: 175-184.</w:t>
      </w:r>
    </w:p>
    <w:p>
      <w:pPr>
        <w:spacing w:after="60" w:line="340"/>
        <w:ind w:left="480" w:hanging="480"/>
      </w:pPr>
      <w:r>
        <w:rPr>
          <w:rFonts w:ascii="Times New Roman" w:eastAsia="SimSun"/>
          <w:color w:val="000000"/>
          <w:sz w:val="24"/>
          <w:szCs w:val="24"/>
        </w:rPr>
        <w:t xml:space="preserve">[14] SU J, LU Y, PAN S, et al. RoFormer: enhanced transformer with rotary position embedding[J]. Neurocomputing, 2024, 568: 127063.</w:t>
      </w:r>
    </w:p>
    <w:p>
      <w:pPr>
        <w:spacing w:after="60" w:line="340"/>
        <w:ind w:left="480" w:hanging="480"/>
      </w:pPr>
      <w:r>
        <w:rPr>
          <w:rFonts w:ascii="Times New Roman" w:eastAsia="SimSun"/>
          <w:color w:val="000000"/>
          <w:sz w:val="24"/>
          <w:szCs w:val="24"/>
        </w:rPr>
        <w:t xml:space="preserve">[15] LIN Z, AKIN H, RAO R, et al. Evolutionary-scale prediction of atomic-level protein structure with a language model[J]. Science, 2023, 379(6637): 1123-1130.</w:t>
      </w:r>
    </w:p>
    <w:p>
      <w:pPr>
        <w:spacing w:after="60" w:line="340"/>
        <w:ind w:left="480" w:hanging="480"/>
      </w:pPr>
      <w:r>
        <w:rPr>
          <w:rFonts w:ascii="Times New Roman" w:eastAsia="SimSun"/>
          <w:color w:val="000000"/>
          <w:sz w:val="24"/>
          <w:szCs w:val="24"/>
        </w:rPr>
        <w:t xml:space="preserve">[16] CORMACK G V, CLARKE C L A, BUETTCHER S. Reciprocal rank fusion outperforms Condorcet and individual rank learning methods[C]//Proceedings of the 32nd International ACM SIGIR Conference on Research and Development in Information Retrieval. New York: ACM, 2009: 758-759.</w:t>
      </w:r>
    </w:p>
    <w:p>
      <w:pPr>
        <w:spacing w:after="60" w:line="340"/>
        <w:ind w:left="480" w:hanging="480"/>
      </w:pPr>
      <w:r>
        <w:rPr>
          <w:rFonts w:ascii="Times New Roman" w:eastAsia="SimSun"/>
          <w:color w:val="000000"/>
          <w:sz w:val="24"/>
          <w:szCs w:val="24"/>
        </w:rPr>
        <w:t xml:space="preserve">[17] CUTURI M. Sinkhorn distances: lightspeed computation of optimal transport[C]//Advances in Neural Information Processing Systems (NeurIPS 26). 2013: 2292-2300.</w:t>
      </w:r>
    </w:p>
    <w:p>
      <w:pPr>
        <w:spacing w:after="60" w:line="340"/>
        <w:ind w:left="480" w:hanging="480"/>
      </w:pPr>
      <w:r>
        <w:rPr>
          <w:rFonts w:ascii="Times New Roman" w:eastAsia="SimSun"/>
          <w:color w:val="000000"/>
          <w:sz w:val="24"/>
          <w:szCs w:val="24"/>
        </w:rPr>
        <w:t xml:space="preserve">[18] CAO J, ZHANG Y. OTSeq2Set: an optimal transport enhanced sequence-to-set model for extreme multi-label text classification[C]//Proceedings of the 2022 Conference on Empirical Methods in Natural Language Processing (EMNLP). 2022: 4322-4334.</w:t>
      </w:r>
    </w:p>
    <w:p>
      <w:pPr>
        <w:spacing w:after="60" w:line="340"/>
        <w:ind w:left="480" w:hanging="480"/>
      </w:pPr>
      <w:r>
        <w:rPr>
          <w:rFonts w:ascii="Times New Roman" w:eastAsia="SimSun"/>
          <w:color w:val="000000"/>
          <w:sz w:val="24"/>
          <w:szCs w:val="24"/>
        </w:rPr>
        <w:t xml:space="preserve">[19] YANG Y. A study of thresholding strategies for text categorization[C]//Proceedings of the 24th Annual International ACM SIGIR Conference on Research and Development in Information Retrieval. New York: ACM, 2001: 137-145.</w:t>
      </w:r>
    </w:p>
    <w:p>
      <w:pPr>
        <w:spacing w:after="60" w:line="340"/>
        <w:ind w:left="480" w:hanging="480"/>
      </w:pPr>
      <w:r>
        <w:rPr>
          <w:rFonts w:ascii="Times New Roman" w:eastAsia="SimSun"/>
          <w:color w:val="000000"/>
          <w:sz w:val="24"/>
          <w:szCs w:val="24"/>
        </w:rPr>
        <w:t xml:space="preserve">[20] CHERVOV A, VAKHRUSHEV A, FIRONOV S, et al. ProtBoost: protein function prediction with Py-Boost and graph neural networks: CAFA5 top-2 solution[EB/OL]. (2024-12-05)[2026-09-10]. https://arxiv.org/abs/2412.04529.</w:t>
      </w:r>
    </w:p>
    <w:p>
      <w:pPr>
        <w:spacing w:after="60" w:line="340"/>
        <w:ind w:left="480" w:hanging="480"/>
      </w:pPr>
      <w:r>
        <w:rPr>
          <w:rFonts w:ascii="Times New Roman" w:eastAsia="SimSun"/>
          <w:color w:val="000000"/>
          <w:sz w:val="24"/>
          <w:szCs w:val="24"/>
        </w:rPr>
        <w:t xml:space="preserve">[21] LIU Q, ZHANG C, FREDDOLINO L. InterLabelGO+: unraveling label correlations in protein function prediction[J]. Bioinformatics, 2024, 40(11): btae655.</w:t>
      </w:r>
    </w:p>
    <w:p>
      <w:pPr>
        <w:spacing w:after="60" w:line="340"/>
        <w:ind w:left="480" w:hanging="480"/>
      </w:pPr>
      <w:r>
        <w:rPr>
          <w:rFonts w:ascii="Times New Roman" w:eastAsia="SimSun"/>
          <w:color w:val="000000"/>
          <w:sz w:val="24"/>
          <w:szCs w:val="24"/>
        </w:rPr>
        <w:t xml:space="preserve">[22] YOU R, ZHANG Z, XIONG Y, et al. GOLabeler: improving sequence-based large-scale protein function prediction by learning to rank[J]. Bioinformatics, 2018, 34(14): 2465-2473.</w:t>
      </w:r>
    </w:p>
    <w:p>
      <w:pPr>
        <w:spacing w:after="60" w:line="340"/>
        <w:ind w:left="480" w:hanging="480"/>
      </w:pPr>
      <w:r>
        <w:rPr>
          <w:rFonts w:ascii="Times New Roman" w:eastAsia="SimSun"/>
          <w:color w:val="000000"/>
          <w:sz w:val="24"/>
          <w:szCs w:val="24"/>
        </w:rPr>
        <w:t xml:space="preserve">[23] YAO S, YOU R, WANG S, et al. NetGO 2.0: improving large-scale protein function prediction with massive sequence, text, domain, family and network information[J]. Nucleic Acids Research, 2021, 49(W1): W358-W366.</w:t>
      </w:r>
    </w:p>
    <w:p>
      <w:pPr>
        <w:spacing w:after="60" w:line="340"/>
        <w:ind w:left="480" w:hanging="480"/>
      </w:pPr>
      <w:r>
        <w:rPr>
          <w:rFonts w:ascii="Times New Roman" w:eastAsia="SimSun"/>
          <w:color w:val="000000"/>
          <w:sz w:val="24"/>
          <w:szCs w:val="24"/>
        </w:rPr>
        <w:t xml:space="preserve">[24] REIJNDERS M J M F. Wei2GO: weighted sequence similarity-based protein function prediction[J]. PeerJ, 2022, 10: e12931.</w:t>
      </w:r>
    </w:p>
    <w:p>
      <w:pPr>
        <w:spacing w:after="60" w:line="340"/>
        <w:ind w:left="480" w:hanging="480"/>
      </w:pPr>
      <w:r>
        <w:rPr>
          <w:rFonts w:ascii="Times New Roman" w:eastAsia="SimSun"/>
          <w:color w:val="000000"/>
          <w:sz w:val="24"/>
          <w:szCs w:val="24"/>
        </w:rPr>
        <w:t xml:space="preserve">[25] JUMPER J, EVANS R, PRITZEL A, et al. Highly accurate protein structure prediction with AlphaFold[J]. Nature, 2021, 596(7873): 583-589.</w:t>
      </w:r>
    </w:p>
    <w:p>
      <w:pPr>
        <w:spacing w:after="60" w:line="340"/>
        <w:ind w:left="480" w:hanging="480"/>
      </w:pPr>
      <w:r>
        <w:rPr>
          <w:rFonts w:ascii="Times New Roman" w:eastAsia="SimSun"/>
          <w:color w:val="000000"/>
          <w:sz w:val="24"/>
          <w:szCs w:val="24"/>
        </w:rPr>
        <w:t xml:space="preserve">[26] VAN DER LAAN M J, POLLEY E C, HUBBARD A E. Super learner[J]. Statistical Applications in Genetics and Molecular Biology, 2007, 6(1): 25.</w:t>
      </w:r>
    </w:p>
    <w:p>
      <w:pPr>
        <w:spacing w:after="60" w:line="340"/>
        <w:ind w:left="480" w:hanging="480"/>
      </w:pPr>
      <w:r>
        <w:rPr>
          <w:rFonts w:ascii="Times New Roman" w:eastAsia="SimSun"/>
          <w:color w:val="000000"/>
          <w:sz w:val="24"/>
          <w:szCs w:val="24"/>
        </w:rPr>
        <w:t xml:space="preserve">[27] HONG L, HU Z, SUN S, et al. Fast, sensitive detection of protein homologs using deep dense retrieval[J]. Nature Biotechnology, 2025, 43: 983-995.</w:t>
      </w:r>
    </w:p>
    <w:p>
      <w:pPr>
        <w:spacing w:after="60" w:line="340"/>
        <w:ind w:left="480" w:hanging="480"/>
      </w:pPr>
      <w:r>
        <w:rPr>
          <w:rFonts w:ascii="Times New Roman" w:eastAsia="SimSun"/>
          <w:color w:val="000000"/>
          <w:sz w:val="24"/>
          <w:szCs w:val="24"/>
        </w:rPr>
        <w:t xml:space="preserve">[28] ZHANG C, FREDDOLINO P L. A large-scale assessment of sequence database search tools for homology-based protein function prediction[EB/OL]. (2023)[2026-09-10]. https://doi.org/10.1101/2023.11.14.567021.</w:t>
      </w:r>
    </w:p>
    <w:p>
      <w:pPr>
        <w:spacing w:after="60" w:line="340"/>
        <w:ind w:left="480" w:hanging="480"/>
      </w:pPr>
      <w:r>
        <w:rPr>
          <w:rFonts w:ascii="Times New Roman" w:eastAsia="SimSun"/>
          <w:color w:val="000000"/>
          <w:sz w:val="24"/>
          <w:szCs w:val="24"/>
        </w:rPr>
        <w:t xml:space="preserve">[29] CERRI R, BARROS R C, DE CARVALHO A C, et al. Reduction strategies for hierarchical multi-label classification in protein function prediction[J]. BMC Bioinformatics, 2016, 17: 373.</w:t>
      </w:r>
    </w:p>
    <w:p>
      <w:pPr>
        <w:spacing w:after="60" w:line="340"/>
        <w:ind w:left="480" w:hanging="480"/>
      </w:pPr>
      <w:r>
        <w:rPr>
          <w:rFonts w:ascii="Times New Roman" w:eastAsia="SimSun"/>
          <w:color w:val="000000"/>
          <w:sz w:val="24"/>
          <w:szCs w:val="24"/>
        </w:rPr>
        <w:t xml:space="preserve">[30] FRIEDBERG I. Automated protein function prediction: the genomic challenge[J]. Briefings in Bioinformatics, 2006, 7(3): 225-242.</w:t>
      </w:r>
    </w:p>
    <w:p>
      <w:pPr>
        <w:spacing w:after="60" w:line="340"/>
        <w:ind w:left="480" w:hanging="480"/>
      </w:pPr>
      <w:r>
        <w:rPr>
          <w:rFonts w:ascii="Times New Roman" w:eastAsia="SimSun"/>
          <w:color w:val="000000"/>
          <w:sz w:val="24"/>
          <w:szCs w:val="24"/>
        </w:rPr>
        <w:t xml:space="preserve">[31] CHOU K C. Prediction of protein cellular attributes using pseudo-amino acid composition[J]. Proteins, 2001, 43(3): 246-255.</w:t>
      </w:r>
    </w:p>
    <w:p>
      <w:pPr>
        <w:spacing w:after="60" w:line="340"/>
        <w:ind w:left="480" w:hanging="480"/>
      </w:pPr>
      <w:r>
        <w:rPr>
          <w:rFonts w:ascii="Times New Roman" w:eastAsia="SimSun"/>
          <w:color w:val="000000"/>
          <w:sz w:val="24"/>
          <w:szCs w:val="24"/>
        </w:rPr>
        <w:t xml:space="preserve">[32] ELNAGGAR A, HEINZINGER M, DALLAGO C, et al. ProtTrans: toward understanding the language of life through self-supervised learning[J]. IEEE Transactions on Pattern Analysis and Machine Intelligence, 2022, 44(10): 7112-7127.</w:t>
      </w:r>
    </w:p>
    <w:p>
      <w:pPr>
        <w:spacing w:before="360" w:line="360"/>
      </w:pPr>
      <w:r>
        <w:rPr>
          <w:rFonts w:ascii="Times New Roman" w:eastAsia="SimSun"/>
          <w:color w:val="333333"/>
          <w:sz w:val="20"/>
          <w:szCs w:val="20"/>
        </w:rPr>
        <w:t xml:space="preserve">收稿日期：2026-09-10；修回日期：2026-09-11</w:t>
      </w:r>
    </w:p>
    <w:p>
      <w:pPr>
        <w:spacing w:line="360"/>
      </w:pPr>
      <w:r>
        <w:rPr>
          <w:rFonts w:ascii="Times New Roman" w:eastAsia="SimSun"/>
          <w:color w:val="333333"/>
          <w:sz w:val="20"/>
          <w:szCs w:val="20"/>
        </w:rPr>
        <w:t xml:space="preserve">基金项目：【国家自然科学基金或重点研发计划资助项目（编号：XXXXXXXX）】</w:t>
      </w:r>
    </w:p>
    <w:p>
      <w:pPr>
        <w:spacing w:line="360"/>
      </w:pPr>
      <w:r>
        <w:rPr>
          <w:rFonts w:ascii="Times New Roman" w:eastAsia="SimSun"/>
          <w:color w:val="333333"/>
          <w:sz w:val="20"/>
          <w:szCs w:val="20"/>
        </w:rPr>
        <w:t xml:space="preserve">通信作者：【姓名】，E-mail：【author@institution.edu.cn】</w:t>
      </w:r>
    </w:p>
    <w:sectPr>
      <w:headerReference w:type="default" r:id="rId11"/>
      <w:footerReference w:type="default" r:id="rId12"/>
      <w:type w:val="nextPage"/>
      <w:pgSz w:w="11906" w:h="16838" w:orient="portrait"/>
      <w:pgMar w:top="1440" w:right="1417" w:bottom="1440" w:left="1701" w:header="850" w:footer="992"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sz w:val="21"/>
        <w:szCs w:val="21"/>
      </w:rPr>
      <w:t xml:space="preserve">- </w:t>
    </w:r>
    <w:r>
      <w:rPr>
        <w:rFonts w:ascii="Times New Roman"/>
        <w:sz w:val="21"/>
        <w:szCs w:val="21"/>
      </w:rPr>
      <w:fldChar w:fldCharType="begin"/>
      <w:instrText xml:space="preserve">PAGE</w:instrText>
      <w:fldChar w:fldCharType="separate"/>
      <w:fldChar w:fldCharType="end"/>
    </w:r>
    <w:r>
      <w:rPr>
        <w:rFonts w:ascii="Times New Roman"/>
        <w:sz w:val="21"/>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sz w:val="21"/>
        <w:szCs w:val="21"/>
      </w:rPr>
      <w:t xml:space="preserve">- </w:t>
    </w:r>
    <w:r>
      <w:rPr>
        <w:rFonts w:ascii="Times New Roman"/>
        <w:sz w:val="21"/>
        <w:szCs w:val="21"/>
      </w:rPr>
      <w:fldChar w:fldCharType="begin"/>
      <w:instrText xml:space="preserve">PAGE</w:instrText>
      <w:fldChar w:fldCharType="separate"/>
      <w:fldChar w:fldCharType="end"/>
    </w:r>
    <w:r>
      <w:rPr>
        <w:rFonts w:ascii="Times New Roman"/>
        <w:sz w:val="21"/>
        <w:szCs w:val="21"/>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sz w:val="21"/>
        <w:szCs w:val="21"/>
      </w:rPr>
      <w:t xml:space="preserve">- </w:t>
    </w:r>
    <w:r>
      <w:rPr>
        <w:rFonts w:ascii="Times New Roman"/>
        <w:sz w:val="21"/>
        <w:szCs w:val="21"/>
      </w:rPr>
      <w:fldChar w:fldCharType="begin"/>
      <w:instrText xml:space="preserve">PAGE</w:instrText>
      <w:fldChar w:fldCharType="separate"/>
      <w:fldChar w:fldCharType="end"/>
    </w:r>
    <w:r>
      <w:rPr>
        <w:rFonts w:ascii="Times New Roman"/>
        <w:sz w:val="21"/>
        <w:szCs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pBdr>
      <w:spacing w:after="60"/>
      <w:jc w:val="center"/>
    </w:pPr>
    <w:r>
      <w:rPr>
        <w:rFonts w:ascii="Times New Roman" w:eastAsia="SimSun"/>
        <w:color w:val="444444"/>
        <w:sz w:val="18"/>
        <w:szCs w:val="18"/>
      </w:rPr>
      <w:t xml:space="preserve">基于分层双路径秩融合与最优传输的蛋白质功能预测方法</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pBdr>
      <w:spacing w:after="60"/>
      <w:jc w:val="center"/>
    </w:pPr>
    <w:r>
      <w:rPr>
        <w:rFonts w:ascii="Times New Roman" w:eastAsia="SimSun"/>
        <w:color w:val="444444"/>
        <w:sz w:val="18"/>
        <w:szCs w:val="18"/>
      </w:rPr>
      <w:t xml:space="preserve">基于分层双路径秩融合与最优传输的蛋白质功能预测方法</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pBdr>
      <w:spacing w:after="60"/>
      <w:jc w:val="center"/>
    </w:pPr>
    <w:r>
      <w:rPr>
        <w:rFonts w:ascii="Times New Roman" w:eastAsia="SimSun"/>
        <w:color w:val="444444"/>
        <w:sz w:val="18"/>
        <w:szCs w:val="18"/>
      </w:rPr>
      <w:t xml:space="preserve">基于分层双路径秩融合与最优传输的蛋白质功能预测方法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20" w:line="360"/>
      <w:outlineLvl w:val="0"/>
    </w:pPr>
    <w:rPr>
      <w:rFonts w:ascii="Times New Roman" w:eastAsia="SimHei"/>
      <w:b/>
      <w:bCs/>
      <w:color w:val="000000"/>
      <w:sz w:val="32"/>
      <w:szCs w:val="32"/>
    </w:rPr>
  </w:style>
  <w:style w:type="paragraph" w:styleId="Heading2">
    <w:name w:val="Heading 2"/>
    <w:basedOn w:val="Normal"/>
    <w:next w:val="Normal"/>
    <w:qFormat/>
    <w:pPr>
      <w:spacing w:after="140" w:before="320" w:line="360"/>
      <w:outlineLvl w:val="1"/>
    </w:pPr>
    <w:rPr>
      <w:rFonts w:ascii="Times New Roman" w:eastAsia="SimHei"/>
      <w:b/>
      <w:bCs/>
      <w:color w:val="000000"/>
      <w:sz w:val="28"/>
      <w:szCs w:val="28"/>
    </w:rPr>
  </w:style>
  <w:style w:type="paragraph" w:styleId="Heading3">
    <w:name w:val="Heading 3"/>
    <w:basedOn w:val="Normal"/>
    <w:next w:val="Normal"/>
    <w:qFormat/>
    <w:pPr>
      <w:spacing w:after="100" w:before="220" w:line="360"/>
      <w:outlineLvl w:val="2"/>
    </w:pPr>
    <w:rPr>
      <w:rFonts w:ascii="Times New Roman" w:eastAsia="SimHei"/>
      <w:b/>
      <w:bCs/>
      <w:color w:val="000000"/>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0720d0250e4768c99acfc89935cdadb1d2f1a42e.png"/><Relationship Id="rId14" Type="http://schemas.openxmlformats.org/officeDocument/2006/relationships/image" Target="media/339636525b8784a0b07f7d967214ba46104db108.png"/><Relationship Id="rId15" Type="http://schemas.openxmlformats.org/officeDocument/2006/relationships/image" Target="media/4a8ff3d54ef59083465d5d7d4dd5e4f2eca9a33d.png"/><Relationship Id="rId16" Type="http://schemas.openxmlformats.org/officeDocument/2006/relationships/image" Target="media/a66e0a11d9060981bc5e9f86a1d50544905cb072.png"/><Relationship Id="rId17" Type="http://schemas.openxmlformats.org/officeDocument/2006/relationships/image" Target="media/fe98da98684e7bde5b73836128a81a43bcedb2d1.png"/><Relationship Id="rId18" Type="http://schemas.openxmlformats.org/officeDocument/2006/relationships/image" Target="media/b9cdb9d85049bdc04bf3373aa4311fc61ef557d3.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2026-09-11T11:53:10.657Z</dcterms:created>
  <dcterms:modified xsi:type="dcterms:W3CDTF">2026-09-11T11:53:10.658Z</dcterms:modified>
</cp:coreProperties>
</file>

<file path=docProps/custom.xml><?xml version="1.0" encoding="utf-8"?>
<Properties xmlns="http://schemas.openxmlformats.org/officeDocument/2006/custom-properties" xmlns:vt="http://schemas.openxmlformats.org/officeDocument/2006/docPropsVTypes"/>
</file>