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5CF11" w14:textId="77777777" w:rsidR="00E30FFE" w:rsidRDefault="002B33A7">
      <w:pPr>
        <w:spacing w:before="1600" w:after="200" w:line="600" w:lineRule="exact"/>
        <w:jc w:val="center"/>
      </w:pPr>
      <w:r>
        <w:rPr>
          <w:rFonts w:eastAsia="楷体"/>
          <w:b/>
          <w:bCs/>
          <w:sz w:val="44"/>
          <w:szCs w:val="44"/>
        </w:rPr>
        <w:t>2026</w:t>
      </w:r>
      <w:r>
        <w:rPr>
          <w:rFonts w:eastAsia="楷体"/>
          <w:b/>
          <w:bCs/>
          <w:sz w:val="44"/>
          <w:szCs w:val="44"/>
        </w:rPr>
        <w:t>年全国大学生</w:t>
      </w:r>
      <w:r>
        <w:rPr>
          <w:rFonts w:eastAsia="楷体"/>
          <w:b/>
          <w:bCs/>
          <w:sz w:val="44"/>
          <w:szCs w:val="44"/>
        </w:rPr>
        <w:t>“</w:t>
      </w:r>
      <w:r>
        <w:rPr>
          <w:rFonts w:eastAsia="楷体"/>
          <w:b/>
          <w:bCs/>
          <w:sz w:val="44"/>
          <w:szCs w:val="44"/>
        </w:rPr>
        <w:t>海豚杯</w:t>
      </w:r>
      <w:r>
        <w:rPr>
          <w:rFonts w:eastAsia="楷体"/>
          <w:b/>
          <w:bCs/>
          <w:sz w:val="44"/>
          <w:szCs w:val="44"/>
        </w:rPr>
        <w:t>”</w:t>
      </w:r>
    </w:p>
    <w:p w14:paraId="2CE58FF3" w14:textId="77777777" w:rsidR="00E30FFE" w:rsidRDefault="002B33A7">
      <w:pPr>
        <w:spacing w:after="200" w:line="600" w:lineRule="exact"/>
        <w:jc w:val="center"/>
      </w:pPr>
      <w:r>
        <w:rPr>
          <w:rFonts w:eastAsia="楷体"/>
          <w:b/>
          <w:bCs/>
          <w:sz w:val="44"/>
          <w:szCs w:val="44"/>
        </w:rPr>
        <w:t>数智应用创新大赛</w:t>
      </w:r>
    </w:p>
    <w:p w14:paraId="7DD02FC5" w14:textId="77777777" w:rsidR="00E30FFE" w:rsidRDefault="002B33A7">
      <w:pPr>
        <w:spacing w:after="600" w:line="600" w:lineRule="exact"/>
        <w:jc w:val="center"/>
      </w:pPr>
      <w:r>
        <w:rPr>
          <w:rFonts w:eastAsia="楷体"/>
          <w:b/>
          <w:bCs/>
          <w:sz w:val="44"/>
          <w:szCs w:val="44"/>
        </w:rPr>
        <w:t>数智分析赛报告</w:t>
      </w:r>
    </w:p>
    <w:p w14:paraId="36C5983F" w14:textId="77777777" w:rsidR="00E30FFE" w:rsidRDefault="002B33A7">
      <w:pPr>
        <w:spacing w:before="400" w:after="500" w:line="500" w:lineRule="exact"/>
        <w:jc w:val="center"/>
      </w:pPr>
      <w:r>
        <w:rPr>
          <w:rFonts w:eastAsia="楷体"/>
          <w:b/>
          <w:bCs/>
          <w:sz w:val="36"/>
          <w:szCs w:val="36"/>
        </w:rPr>
        <w:t>融合预训练语言模型的分层双路径秩融合与最优传输蛋白质功能预测</w:t>
      </w:r>
    </w:p>
    <w:tbl>
      <w:tblPr>
        <w:tblW w:w="4000" w:type="pct"/>
        <w:jc w:val="center"/>
        <w:tblBorders>
          <w:top w:val="none" w:sz="0" w:space="0" w:color="FFFFFF"/>
          <w:left w:val="none" w:sz="0" w:space="0" w:color="FFFFFF"/>
          <w:bottom w:val="single" w:sz="4" w:space="0" w:color="444444"/>
          <w:right w:val="none" w:sz="0" w:space="0" w:color="FFFFFF"/>
          <w:insideH w:val="single" w:sz="4" w:space="0" w:color="444444"/>
          <w:insideV w:val="none" w:sz="0" w:space="0" w:color="FFFFFF"/>
        </w:tblBorders>
        <w:tblCellMar>
          <w:left w:w="10" w:type="dxa"/>
          <w:right w:w="10" w:type="dxa"/>
        </w:tblCellMar>
        <w:tblLook w:val="0000" w:firstRow="0" w:lastRow="0" w:firstColumn="0" w:lastColumn="0" w:noHBand="0" w:noVBand="0"/>
      </w:tblPr>
      <w:tblGrid>
        <w:gridCol w:w="2032"/>
        <w:gridCol w:w="5224"/>
      </w:tblGrid>
      <w:tr w:rsidR="00E30FFE" w14:paraId="56ABEE07" w14:textId="77777777">
        <w:tblPrEx>
          <w:tblCellMar>
            <w:top w:w="0" w:type="dxa"/>
            <w:bottom w:w="0" w:type="dxa"/>
          </w:tblCellMar>
        </w:tblPrEx>
        <w:trPr>
          <w:trHeight w:val="620"/>
          <w:jc w:val="center"/>
        </w:trPr>
        <w:tc>
          <w:tcPr>
            <w:tcW w:w="1400" w:type="pct"/>
            <w:vAlign w:val="bottom"/>
          </w:tcPr>
          <w:p w14:paraId="556E7024" w14:textId="77777777" w:rsidR="00E30FFE" w:rsidRDefault="002B33A7">
            <w:pPr>
              <w:jc w:val="right"/>
            </w:pPr>
            <w:r>
              <w:rPr>
                <w:sz w:val="28"/>
                <w:szCs w:val="28"/>
              </w:rPr>
              <w:t>团队名称：</w:t>
            </w:r>
          </w:p>
        </w:tc>
        <w:tc>
          <w:tcPr>
            <w:tcW w:w="3600" w:type="pct"/>
            <w:vAlign w:val="bottom"/>
          </w:tcPr>
          <w:p w14:paraId="08D10B52" w14:textId="77777777" w:rsidR="00E30FFE" w:rsidRDefault="00E30FFE">
            <w:pPr>
              <w:jc w:val="center"/>
            </w:pPr>
          </w:p>
        </w:tc>
      </w:tr>
      <w:tr w:rsidR="00E30FFE" w14:paraId="0E06C268" w14:textId="77777777">
        <w:tblPrEx>
          <w:tblCellMar>
            <w:top w:w="0" w:type="dxa"/>
            <w:bottom w:w="0" w:type="dxa"/>
          </w:tblCellMar>
        </w:tblPrEx>
        <w:trPr>
          <w:trHeight w:val="620"/>
          <w:jc w:val="center"/>
        </w:trPr>
        <w:tc>
          <w:tcPr>
            <w:tcW w:w="1400" w:type="pct"/>
            <w:vAlign w:val="bottom"/>
          </w:tcPr>
          <w:p w14:paraId="1CD766F3" w14:textId="77777777" w:rsidR="00E30FFE" w:rsidRDefault="002B33A7">
            <w:pPr>
              <w:jc w:val="right"/>
            </w:pPr>
            <w:r>
              <w:rPr>
                <w:sz w:val="28"/>
                <w:szCs w:val="28"/>
              </w:rPr>
              <w:t>参赛高校：</w:t>
            </w:r>
          </w:p>
        </w:tc>
        <w:tc>
          <w:tcPr>
            <w:tcW w:w="3600" w:type="pct"/>
            <w:vAlign w:val="bottom"/>
          </w:tcPr>
          <w:p w14:paraId="0E953B0B" w14:textId="77777777" w:rsidR="00E30FFE" w:rsidRDefault="00E30FFE">
            <w:pPr>
              <w:jc w:val="center"/>
            </w:pPr>
          </w:p>
        </w:tc>
      </w:tr>
      <w:tr w:rsidR="00E30FFE" w14:paraId="45834D8A" w14:textId="77777777">
        <w:tblPrEx>
          <w:tblCellMar>
            <w:top w:w="0" w:type="dxa"/>
            <w:bottom w:w="0" w:type="dxa"/>
          </w:tblCellMar>
        </w:tblPrEx>
        <w:trPr>
          <w:trHeight w:val="620"/>
          <w:jc w:val="center"/>
        </w:trPr>
        <w:tc>
          <w:tcPr>
            <w:tcW w:w="1400" w:type="pct"/>
            <w:vAlign w:val="bottom"/>
          </w:tcPr>
          <w:p w14:paraId="345CC61B" w14:textId="77777777" w:rsidR="00E30FFE" w:rsidRDefault="002B33A7">
            <w:pPr>
              <w:jc w:val="right"/>
            </w:pPr>
            <w:r>
              <w:rPr>
                <w:sz w:val="28"/>
                <w:szCs w:val="28"/>
              </w:rPr>
              <w:t>参赛队员：</w:t>
            </w:r>
          </w:p>
        </w:tc>
        <w:tc>
          <w:tcPr>
            <w:tcW w:w="3600" w:type="pct"/>
            <w:vAlign w:val="bottom"/>
          </w:tcPr>
          <w:p w14:paraId="6628C7BB" w14:textId="77777777" w:rsidR="00E30FFE" w:rsidRDefault="00E30FFE">
            <w:pPr>
              <w:jc w:val="center"/>
            </w:pPr>
          </w:p>
        </w:tc>
      </w:tr>
      <w:tr w:rsidR="00E30FFE" w14:paraId="2EAB1F8D" w14:textId="77777777">
        <w:tblPrEx>
          <w:tblCellMar>
            <w:top w:w="0" w:type="dxa"/>
            <w:bottom w:w="0" w:type="dxa"/>
          </w:tblCellMar>
        </w:tblPrEx>
        <w:trPr>
          <w:trHeight w:val="620"/>
          <w:jc w:val="center"/>
        </w:trPr>
        <w:tc>
          <w:tcPr>
            <w:tcW w:w="1400" w:type="pct"/>
            <w:vAlign w:val="bottom"/>
          </w:tcPr>
          <w:p w14:paraId="59428398" w14:textId="77777777" w:rsidR="00E30FFE" w:rsidRDefault="002B33A7">
            <w:pPr>
              <w:jc w:val="right"/>
            </w:pPr>
            <w:r>
              <w:rPr>
                <w:sz w:val="28"/>
                <w:szCs w:val="28"/>
              </w:rPr>
              <w:t>指导教师：</w:t>
            </w:r>
          </w:p>
        </w:tc>
        <w:tc>
          <w:tcPr>
            <w:tcW w:w="3600" w:type="pct"/>
            <w:vAlign w:val="bottom"/>
          </w:tcPr>
          <w:p w14:paraId="67BF3D9A" w14:textId="77777777" w:rsidR="00E30FFE" w:rsidRDefault="00E30FFE">
            <w:pPr>
              <w:jc w:val="center"/>
            </w:pPr>
          </w:p>
        </w:tc>
      </w:tr>
    </w:tbl>
    <w:p w14:paraId="75E63F8F" w14:textId="77777777" w:rsidR="00E30FFE" w:rsidRDefault="002B33A7">
      <w:pPr>
        <w:spacing w:before="1400"/>
        <w:jc w:val="center"/>
      </w:pPr>
      <w:r>
        <w:rPr>
          <w:sz w:val="32"/>
          <w:szCs w:val="32"/>
        </w:rPr>
        <w:t xml:space="preserve">2026 </w:t>
      </w:r>
      <w:r>
        <w:rPr>
          <w:sz w:val="32"/>
          <w:szCs w:val="32"/>
        </w:rPr>
        <w:t>年</w:t>
      </w:r>
      <w:r>
        <w:rPr>
          <w:sz w:val="32"/>
          <w:szCs w:val="32"/>
        </w:rPr>
        <w:t xml:space="preserve"> 9 </w:t>
      </w:r>
      <w:r>
        <w:rPr>
          <w:sz w:val="32"/>
          <w:szCs w:val="32"/>
        </w:rPr>
        <w:t>月</w:t>
      </w:r>
    </w:p>
    <w:p w14:paraId="1D213AE6" w14:textId="77777777" w:rsidR="00E30FFE" w:rsidRDefault="00E30FFE">
      <w:pPr>
        <w:sectPr w:rsidR="00E30FFE">
          <w:pgSz w:w="11906" w:h="16838"/>
          <w:pgMar w:top="2098" w:right="1418" w:bottom="2268" w:left="1418" w:header="1531" w:footer="1701" w:gutter="0"/>
          <w:cols w:space="720"/>
          <w:docGrid w:linePitch="360"/>
        </w:sectPr>
      </w:pPr>
    </w:p>
    <w:p w14:paraId="1EDD5D67" w14:textId="77777777" w:rsidR="00E30FFE" w:rsidRDefault="002B33A7">
      <w:pPr>
        <w:spacing w:before="200" w:after="240"/>
        <w:jc w:val="center"/>
      </w:pPr>
      <w:r>
        <w:rPr>
          <w:rFonts w:eastAsia="黑体"/>
          <w:b/>
          <w:bCs/>
          <w:sz w:val="32"/>
          <w:szCs w:val="32"/>
        </w:rPr>
        <w:lastRenderedPageBreak/>
        <w:t>分析结果概要</w:t>
      </w:r>
    </w:p>
    <w:p w14:paraId="2D54F5B6" w14:textId="77777777" w:rsidR="00E30FFE" w:rsidRDefault="002B33A7">
      <w:pPr>
        <w:ind w:firstLine="480"/>
        <w:jc w:val="both"/>
      </w:pPr>
      <w:r>
        <w:t>本报告面向</w:t>
      </w:r>
      <w:r>
        <w:t xml:space="preserve"> 2026 </w:t>
      </w:r>
      <w:r>
        <w:t>年海豚杯数智分析赛的分析任务：从氨基酸序列预测</w:t>
      </w:r>
      <w:r>
        <w:t xml:space="preserve"> 500 </w:t>
      </w:r>
      <w:r>
        <w:t>个匿名功能标签，以宏平均</w:t>
      </w:r>
      <w:r>
        <w:t xml:space="preserve"> F1 </w:t>
      </w:r>
      <w:r>
        <w:t>为核心指标。按赛事要求的八部分内容概要如下。</w:t>
      </w:r>
    </w:p>
    <w:p w14:paraId="2F6310EC" w14:textId="77777777" w:rsidR="00E30FFE" w:rsidRDefault="002B33A7">
      <w:pPr>
        <w:ind w:firstLine="480"/>
        <w:jc w:val="both"/>
      </w:pPr>
      <w:r>
        <w:rPr>
          <w:b/>
          <w:bCs/>
        </w:rPr>
        <w:t>（</w:t>
      </w:r>
      <w:r>
        <w:rPr>
          <w:b/>
          <w:bCs/>
        </w:rPr>
        <w:t>1</w:t>
      </w:r>
      <w:r>
        <w:rPr>
          <w:b/>
          <w:bCs/>
        </w:rPr>
        <w:t>）分析目标与问题：</w:t>
      </w:r>
      <w:r>
        <w:t>在禁用基因本体先验与外部注释库的封闭设定下，构建从序列到</w:t>
      </w:r>
      <w:r>
        <w:t xml:space="preserve"> 500 </w:t>
      </w:r>
      <w:r>
        <w:t>维多标签的预测系统，并定量诊断与榜单强基线的差距（第</w:t>
      </w:r>
      <w:r>
        <w:t>1</w:t>
      </w:r>
      <w:r>
        <w:t>章）。</w:t>
      </w:r>
    </w:p>
    <w:p w14:paraId="068D045B" w14:textId="77777777" w:rsidR="00E30FFE" w:rsidRDefault="002B33A7">
      <w:pPr>
        <w:ind w:firstLine="480"/>
        <w:jc w:val="both"/>
      </w:pPr>
      <w:r>
        <w:rPr>
          <w:b/>
          <w:bCs/>
        </w:rPr>
        <w:t>（</w:t>
      </w:r>
      <w:r>
        <w:rPr>
          <w:b/>
          <w:bCs/>
        </w:rPr>
        <w:t>2</w:t>
      </w:r>
      <w:r>
        <w:rPr>
          <w:b/>
          <w:bCs/>
        </w:rPr>
        <w:t>）相关理论综述：</w:t>
      </w:r>
      <w:r>
        <w:t>覆盖同源迁移、深度序列模型、预训练语言模型与多标签融合四条技术线的代表性工作与已知边界（</w:t>
      </w:r>
      <w:r>
        <w:t xml:space="preserve">1.2 </w:t>
      </w:r>
      <w:r>
        <w:t>节）。</w:t>
      </w:r>
    </w:p>
    <w:p w14:paraId="6AECC9A2" w14:textId="77777777" w:rsidR="00E30FFE" w:rsidRDefault="002B33A7">
      <w:pPr>
        <w:ind w:firstLine="480"/>
        <w:jc w:val="both"/>
      </w:pPr>
      <w:r>
        <w:rPr>
          <w:b/>
          <w:bCs/>
        </w:rPr>
        <w:t>（</w:t>
      </w:r>
      <w:r>
        <w:rPr>
          <w:b/>
          <w:bCs/>
        </w:rPr>
        <w:t>3</w:t>
      </w:r>
      <w:r>
        <w:rPr>
          <w:b/>
          <w:bCs/>
        </w:rPr>
        <w:t>）分析方案设计：</w:t>
      </w:r>
      <w:r>
        <w:t>提出三路径框架</w:t>
      </w:r>
      <w:r>
        <w:t xml:space="preserve"> HDMR-Sinkhorn</w:t>
      </w:r>
      <w:r>
        <w:t>：深度序列感知、同源迁移、语言模型表征三路证据经无参数互惠秩融合对齐序数关系，再由双边际熵正则化最优传输完成全局频数校准（第</w:t>
      </w:r>
      <w:r>
        <w:t>3</w:t>
      </w:r>
      <w:r>
        <w:t>章）。</w:t>
      </w:r>
    </w:p>
    <w:p w14:paraId="19003CFF" w14:textId="77777777" w:rsidR="00E30FFE" w:rsidRDefault="002B33A7">
      <w:pPr>
        <w:ind w:firstLine="480"/>
        <w:jc w:val="both"/>
      </w:pPr>
      <w:r>
        <w:rPr>
          <w:b/>
          <w:bCs/>
        </w:rPr>
        <w:t>（</w:t>
      </w:r>
      <w:r>
        <w:rPr>
          <w:b/>
          <w:bCs/>
        </w:rPr>
        <w:t>4</w:t>
      </w:r>
      <w:r>
        <w:rPr>
          <w:b/>
          <w:bCs/>
        </w:rPr>
        <w:t>）特征变量与分析方法：</w:t>
      </w:r>
      <w:r>
        <w:t>特征侧包括</w:t>
      </w:r>
      <w:r>
        <w:t xml:space="preserve"> 21 </w:t>
      </w:r>
      <w:r>
        <w:t>通道独热编码、</w:t>
      </w:r>
      <w:r>
        <w:t xml:space="preserve">640+1024 </w:t>
      </w:r>
      <w:r>
        <w:t>维冻结语言模型嵌入、多尺度</w:t>
      </w:r>
      <w:r>
        <w:t xml:space="preserve"> k-mer </w:t>
      </w:r>
      <w:r>
        <w:t>频数谱与比对</w:t>
      </w:r>
      <w:r>
        <w:t xml:space="preserve"> bitscore </w:t>
      </w:r>
      <w:r>
        <w:t>证据；方法侧为膨胀残差卷积、类别特异性注意力、</w:t>
      </w:r>
      <w:r>
        <w:t>RoFormer</w:t>
      </w:r>
      <w:r>
        <w:t>、多种子残差多层感知机与最优传输决策层（</w:t>
      </w:r>
      <w:r>
        <w:t xml:space="preserve">3.1–3.5 </w:t>
      </w:r>
      <w:r>
        <w:t>节）。</w:t>
      </w:r>
    </w:p>
    <w:p w14:paraId="3930C0E7" w14:textId="77777777" w:rsidR="00E30FFE" w:rsidRDefault="002B33A7">
      <w:pPr>
        <w:ind w:firstLine="480"/>
        <w:jc w:val="both"/>
      </w:pPr>
      <w:r>
        <w:rPr>
          <w:b/>
          <w:bCs/>
        </w:rPr>
        <w:t>（</w:t>
      </w:r>
      <w:r>
        <w:rPr>
          <w:b/>
          <w:bCs/>
        </w:rPr>
        <w:t>5</w:t>
      </w:r>
      <w:r>
        <w:rPr>
          <w:b/>
          <w:bCs/>
        </w:rPr>
        <w:t>）数据整理：</w:t>
      </w:r>
      <w:r>
        <w:t>完成长度截断（</w:t>
      </w:r>
      <w:r>
        <w:t xml:space="preserve">1,022 </w:t>
      </w:r>
      <w:r>
        <w:t>残基上限覆盖</w:t>
      </w:r>
      <w:r>
        <w:t xml:space="preserve"> 89.3% </w:t>
      </w:r>
      <w:r>
        <w:t>序列，被截断的</w:t>
      </w:r>
      <w:r>
        <w:t xml:space="preserve"> 10.7% </w:t>
      </w:r>
      <w:r>
        <w:t>长链合计损失</w:t>
      </w:r>
      <w:r>
        <w:t xml:space="preserve"> 14.1% </w:t>
      </w:r>
      <w:r>
        <w:t>残基）、三路特征化、比对证据清洗（</w:t>
      </w:r>
      <w:r>
        <w:t>E-value ≤ 0.001</w:t>
      </w:r>
      <w:r>
        <w:t>，缓存</w:t>
      </w:r>
      <w:r>
        <w:t xml:space="preserve"> bitscore top-5</w:t>
      </w:r>
      <w:r>
        <w:t>、聚合</w:t>
      </w:r>
      <w:r>
        <w:t xml:space="preserve"> top-3</w:t>
      </w:r>
      <w:r>
        <w:t>）与</w:t>
      </w:r>
      <w:r>
        <w:t xml:space="preserve"> 8:2 </w:t>
      </w:r>
      <w:r>
        <w:t>划分防泄漏隔离（</w:t>
      </w:r>
      <w:r>
        <w:t xml:space="preserve">2.1 </w:t>
      </w:r>
      <w:r>
        <w:t>节、</w:t>
      </w:r>
      <w:r>
        <w:t xml:space="preserve">4.1 </w:t>
      </w:r>
      <w:r>
        <w:t>节）。</w:t>
      </w:r>
    </w:p>
    <w:p w14:paraId="1E653596" w14:textId="77777777" w:rsidR="00E30FFE" w:rsidRDefault="002B33A7">
      <w:pPr>
        <w:ind w:firstLine="480"/>
        <w:jc w:val="both"/>
      </w:pPr>
      <w:r>
        <w:rPr>
          <w:b/>
          <w:bCs/>
        </w:rPr>
        <w:t>（</w:t>
      </w:r>
      <w:r>
        <w:rPr>
          <w:b/>
          <w:bCs/>
        </w:rPr>
        <w:t>6</w:t>
      </w:r>
      <w:r>
        <w:rPr>
          <w:b/>
          <w:bCs/>
        </w:rPr>
        <w:t>）探索性分析：</w:t>
      </w:r>
      <w:r>
        <w:t>刻画序列长度对数正态偏态、每蛋白</w:t>
      </w:r>
      <w:r>
        <w:t xml:space="preserve"> 1–273 </w:t>
      </w:r>
      <w:r>
        <w:t>的基数波动与</w:t>
      </w:r>
      <w:r>
        <w:t xml:space="preserve"> 60 </w:t>
      </w:r>
      <w:r>
        <w:t>倍频差的标签不平衡结构，核实</w:t>
      </w:r>
      <w:r>
        <w:t xml:space="preserve"> 500 </w:t>
      </w:r>
      <w:r>
        <w:t>个标签全部稠密，将任务定位于中重度不平衡（第</w:t>
      </w:r>
      <w:r>
        <w:t>2</w:t>
      </w:r>
      <w:r>
        <w:t>章）。</w:t>
      </w:r>
    </w:p>
    <w:p w14:paraId="2BC582E7" w14:textId="77777777" w:rsidR="00E30FFE" w:rsidRDefault="002B33A7">
      <w:pPr>
        <w:ind w:firstLine="480"/>
        <w:jc w:val="both"/>
      </w:pPr>
      <w:r>
        <w:rPr>
          <w:b/>
          <w:bCs/>
        </w:rPr>
        <w:t>（</w:t>
      </w:r>
      <w:r>
        <w:rPr>
          <w:b/>
          <w:bCs/>
        </w:rPr>
        <w:t>7</w:t>
      </w:r>
      <w:r>
        <w:rPr>
          <w:b/>
          <w:bCs/>
        </w:rPr>
        <w:t>）模型构建与评估：</w:t>
      </w:r>
      <w:r>
        <w:t xml:space="preserve">13 </w:t>
      </w:r>
      <w:r>
        <w:t>组消融逐级确认最优配置；验证宏</w:t>
      </w:r>
      <w:r>
        <w:t xml:space="preserve"> F1 0.4475</w:t>
      </w:r>
      <w:r>
        <w:t>、宏</w:t>
      </w:r>
      <w:r>
        <w:t xml:space="preserve"> AUC 0.8647</w:t>
      </w:r>
      <w:r>
        <w:t>，双边际版本于双盲平台锁定</w:t>
      </w:r>
      <w:r>
        <w:t xml:space="preserve"> 45.7665 </w:t>
      </w:r>
      <w:r>
        <w:t>分；排序头部诊断与孤儿蛋白切片（相对增益约</w:t>
      </w:r>
      <w:r>
        <w:t xml:space="preserve"> 32%</w:t>
      </w:r>
      <w:r>
        <w:t>）见</w:t>
      </w:r>
      <w:r>
        <w:t xml:space="preserve"> 4.2 </w:t>
      </w:r>
      <w:r>
        <w:t>节与第</w:t>
      </w:r>
      <w:r>
        <w:t>5</w:t>
      </w:r>
      <w:r>
        <w:t>章。</w:t>
      </w:r>
    </w:p>
    <w:p w14:paraId="533B8F5D" w14:textId="77777777" w:rsidR="00E30FFE" w:rsidRDefault="002B33A7">
      <w:pPr>
        <w:ind w:firstLine="480"/>
        <w:jc w:val="both"/>
      </w:pPr>
      <w:r>
        <w:rPr>
          <w:b/>
          <w:bCs/>
        </w:rPr>
        <w:t>（</w:t>
      </w:r>
      <w:r>
        <w:rPr>
          <w:b/>
          <w:bCs/>
        </w:rPr>
        <w:t>8</w:t>
      </w:r>
      <w:r>
        <w:rPr>
          <w:b/>
          <w:bCs/>
        </w:rPr>
        <w:t>）数据发现：</w:t>
      </w:r>
      <w:r>
        <w:t>排序头部召回由同源分支主导（融合</w:t>
      </w:r>
      <w:r>
        <w:t xml:space="preserve"> 0.6026 </w:t>
      </w:r>
      <w:r>
        <w:t>对领先者约</w:t>
      </w:r>
      <w:r>
        <w:t xml:space="preserve"> 0.82</w:t>
      </w:r>
      <w:r>
        <w:t>）；四组受控实验证实单分支独立增益不必然传导为融合增益；</w:t>
      </w:r>
      <w:r>
        <w:t xml:space="preserve">12 </w:t>
      </w:r>
      <w:r>
        <w:t>条候选策略轴实测关闭，划定当前信息闭包内的迭代边界（第</w:t>
      </w:r>
      <w:r>
        <w:t>6</w:t>
      </w:r>
      <w:r>
        <w:t>章、表</w:t>
      </w:r>
      <w:r>
        <w:t>5.3</w:t>
      </w:r>
      <w:r>
        <w:t>）。</w:t>
      </w:r>
    </w:p>
    <w:p w14:paraId="2EF7CC83" w14:textId="77777777" w:rsidR="00E30FFE" w:rsidRDefault="002B33A7">
      <w:pPr>
        <w:pageBreakBefore/>
        <w:spacing w:before="160" w:after="200"/>
        <w:jc w:val="center"/>
      </w:pPr>
      <w:r>
        <w:rPr>
          <w:rFonts w:eastAsia="黑体"/>
          <w:b/>
          <w:bCs/>
          <w:sz w:val="32"/>
          <w:szCs w:val="32"/>
        </w:rPr>
        <w:t>目　录</w:t>
      </w:r>
    </w:p>
    <w:sdt>
      <w:sdtPr>
        <w:alias w:val="Table of Contents"/>
        <w:id w:val="887305831"/>
      </w:sdtPr>
      <w:sdtEndPr/>
      <w:sdtContent>
        <w:p w14:paraId="7D208D4C" w14:textId="269B3E92" w:rsidR="007E1C5A" w:rsidRDefault="002B33A7">
          <w:pPr>
            <w:pStyle w:val="TOC1"/>
            <w:tabs>
              <w:tab w:val="right" w:leader="dot" w:pos="9060"/>
            </w:tabs>
            <w:rPr>
              <w:rFonts w:asciiTheme="minorHAnsi" w:eastAsiaTheme="minorEastAsia" w:hAnsiTheme="minorHAnsi" w:cstheme="minorBidi" w:hint="eastAsia"/>
              <w:noProof/>
              <w:color w:val="auto"/>
              <w:kern w:val="2"/>
              <w:sz w:val="22"/>
              <w14:ligatures w14:val="standardContextual"/>
            </w:rPr>
          </w:pPr>
          <w:r>
            <w:fldChar w:fldCharType="begin"/>
          </w:r>
          <w:r>
            <w:instrText>TOC \h \o "1-3"</w:instrText>
          </w:r>
          <w:r>
            <w:fldChar w:fldCharType="separate"/>
          </w:r>
          <w:hyperlink w:anchor="_Toc241140349" w:history="1">
            <w:r w:rsidR="007E1C5A" w:rsidRPr="00256DCA">
              <w:rPr>
                <w:rStyle w:val="a5"/>
                <w:noProof/>
              </w:rPr>
              <w:t>第</w:t>
            </w:r>
            <w:r w:rsidR="007E1C5A" w:rsidRPr="00256DCA">
              <w:rPr>
                <w:rStyle w:val="a5"/>
                <w:noProof/>
              </w:rPr>
              <w:t>1</w:t>
            </w:r>
            <w:r w:rsidR="007E1C5A" w:rsidRPr="00256DCA">
              <w:rPr>
                <w:rStyle w:val="a5"/>
                <w:noProof/>
              </w:rPr>
              <w:t>章　引言</w:t>
            </w:r>
            <w:r w:rsidR="007E1C5A">
              <w:rPr>
                <w:rFonts w:hint="eastAsia"/>
                <w:noProof/>
              </w:rPr>
              <w:tab/>
            </w:r>
            <w:r w:rsidR="007E1C5A">
              <w:rPr>
                <w:rFonts w:hint="eastAsia"/>
                <w:noProof/>
              </w:rPr>
              <w:fldChar w:fldCharType="begin"/>
            </w:r>
            <w:r w:rsidR="007E1C5A">
              <w:rPr>
                <w:rFonts w:hint="eastAsia"/>
                <w:noProof/>
              </w:rPr>
              <w:instrText xml:space="preserve"> </w:instrText>
            </w:r>
            <w:r w:rsidR="007E1C5A">
              <w:rPr>
                <w:noProof/>
              </w:rPr>
              <w:instrText>PAGEREF _Toc241140349 \h</w:instrText>
            </w:r>
            <w:r w:rsidR="007E1C5A">
              <w:rPr>
                <w:rFonts w:hint="eastAsia"/>
                <w:noProof/>
              </w:rPr>
              <w:instrText xml:space="preserve"> </w:instrText>
            </w:r>
            <w:r w:rsidR="007E1C5A">
              <w:rPr>
                <w:rFonts w:hint="eastAsia"/>
                <w:noProof/>
              </w:rPr>
            </w:r>
            <w:r w:rsidR="007E1C5A">
              <w:rPr>
                <w:rFonts w:hint="eastAsia"/>
                <w:noProof/>
              </w:rPr>
              <w:fldChar w:fldCharType="separate"/>
            </w:r>
            <w:r w:rsidR="007E1C5A">
              <w:rPr>
                <w:noProof/>
              </w:rPr>
              <w:t>1</w:t>
            </w:r>
            <w:r w:rsidR="007E1C5A">
              <w:rPr>
                <w:rFonts w:hint="eastAsia"/>
                <w:noProof/>
              </w:rPr>
              <w:fldChar w:fldCharType="end"/>
            </w:r>
          </w:hyperlink>
        </w:p>
        <w:p w14:paraId="64D9928C" w14:textId="4C205446"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50" w:history="1">
            <w:r w:rsidRPr="00256DCA">
              <w:rPr>
                <w:rStyle w:val="a5"/>
                <w:noProof/>
              </w:rPr>
              <w:t>1.1</w:t>
            </w:r>
            <w:r w:rsidRPr="00256DCA">
              <w:rPr>
                <w:rStyle w:val="a5"/>
                <w:noProof/>
              </w:rPr>
              <w:t xml:space="preserve">　分析背景与分析目标</w:t>
            </w:r>
            <w:r>
              <w:rPr>
                <w:rFonts w:hint="eastAsia"/>
                <w:noProof/>
              </w:rPr>
              <w:tab/>
            </w:r>
            <w:r>
              <w:rPr>
                <w:rFonts w:hint="eastAsia"/>
                <w:noProof/>
              </w:rPr>
              <w:fldChar w:fldCharType="begin"/>
            </w:r>
            <w:r>
              <w:rPr>
                <w:rFonts w:hint="eastAsia"/>
                <w:noProof/>
              </w:rPr>
              <w:instrText xml:space="preserve"> </w:instrText>
            </w:r>
            <w:r>
              <w:rPr>
                <w:noProof/>
              </w:rPr>
              <w:instrText>PAGEREF _Toc241140350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9D7F209" w14:textId="38F2F6F7"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51" w:history="1">
            <w:r w:rsidRPr="00256DCA">
              <w:rPr>
                <w:rStyle w:val="a5"/>
                <w:noProof/>
              </w:rPr>
              <w:t>1.2</w:t>
            </w:r>
            <w:r w:rsidRPr="00256DCA">
              <w:rPr>
                <w:rStyle w:val="a5"/>
                <w:noProof/>
              </w:rPr>
              <w:t xml:space="preserve">　相关理论综述</w:t>
            </w:r>
            <w:r>
              <w:rPr>
                <w:rFonts w:hint="eastAsia"/>
                <w:noProof/>
              </w:rPr>
              <w:tab/>
            </w:r>
            <w:r>
              <w:rPr>
                <w:rFonts w:hint="eastAsia"/>
                <w:noProof/>
              </w:rPr>
              <w:fldChar w:fldCharType="begin"/>
            </w:r>
            <w:r>
              <w:rPr>
                <w:rFonts w:hint="eastAsia"/>
                <w:noProof/>
              </w:rPr>
              <w:instrText xml:space="preserve"> </w:instrText>
            </w:r>
            <w:r>
              <w:rPr>
                <w:noProof/>
              </w:rPr>
              <w:instrText>PAGEREF _Toc241140351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3C6CE955" w14:textId="7FA94D29" w:rsidR="007E1C5A" w:rsidRDefault="007E1C5A">
          <w:pPr>
            <w:pStyle w:val="TOC1"/>
            <w:tabs>
              <w:tab w:val="right" w:leader="dot" w:pos="9060"/>
            </w:tabs>
            <w:rPr>
              <w:rFonts w:asciiTheme="minorHAnsi" w:eastAsiaTheme="minorEastAsia" w:hAnsiTheme="minorHAnsi" w:cstheme="minorBidi" w:hint="eastAsia"/>
              <w:noProof/>
              <w:color w:val="auto"/>
              <w:kern w:val="2"/>
              <w:sz w:val="22"/>
              <w14:ligatures w14:val="standardContextual"/>
            </w:rPr>
          </w:pPr>
          <w:hyperlink w:anchor="_Toc241140352" w:history="1">
            <w:r w:rsidRPr="00256DCA">
              <w:rPr>
                <w:rStyle w:val="a5"/>
                <w:noProof/>
              </w:rPr>
              <w:t>第</w:t>
            </w:r>
            <w:r w:rsidRPr="00256DCA">
              <w:rPr>
                <w:rStyle w:val="a5"/>
                <w:noProof/>
              </w:rPr>
              <w:t>2</w:t>
            </w:r>
            <w:r w:rsidRPr="00256DCA">
              <w:rPr>
                <w:rStyle w:val="a5"/>
                <w:noProof/>
              </w:rPr>
              <w:t>章　数据整理与探索性分析</w:t>
            </w:r>
            <w:r>
              <w:rPr>
                <w:rFonts w:hint="eastAsia"/>
                <w:noProof/>
              </w:rPr>
              <w:tab/>
            </w:r>
            <w:r>
              <w:rPr>
                <w:rFonts w:hint="eastAsia"/>
                <w:noProof/>
              </w:rPr>
              <w:fldChar w:fldCharType="begin"/>
            </w:r>
            <w:r>
              <w:rPr>
                <w:rFonts w:hint="eastAsia"/>
                <w:noProof/>
              </w:rPr>
              <w:instrText xml:space="preserve"> </w:instrText>
            </w:r>
            <w:r>
              <w:rPr>
                <w:noProof/>
              </w:rPr>
              <w:instrText>PAGEREF _Toc241140352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39404635" w14:textId="75C23165"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53" w:history="1">
            <w:r w:rsidRPr="00256DCA">
              <w:rPr>
                <w:rStyle w:val="a5"/>
                <w:noProof/>
              </w:rPr>
              <w:t>2.1</w:t>
            </w:r>
            <w:r w:rsidRPr="00256DCA">
              <w:rPr>
                <w:rStyle w:val="a5"/>
                <w:noProof/>
              </w:rPr>
              <w:t xml:space="preserve">　数据整理与预处理</w:t>
            </w:r>
            <w:r>
              <w:rPr>
                <w:rFonts w:hint="eastAsia"/>
                <w:noProof/>
              </w:rPr>
              <w:tab/>
            </w:r>
            <w:r>
              <w:rPr>
                <w:rFonts w:hint="eastAsia"/>
                <w:noProof/>
              </w:rPr>
              <w:fldChar w:fldCharType="begin"/>
            </w:r>
            <w:r>
              <w:rPr>
                <w:rFonts w:hint="eastAsia"/>
                <w:noProof/>
              </w:rPr>
              <w:instrText xml:space="preserve"> </w:instrText>
            </w:r>
            <w:r>
              <w:rPr>
                <w:noProof/>
              </w:rPr>
              <w:instrText>PAGEREF _Toc241140353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71D24168" w14:textId="0221EC80"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54" w:history="1">
            <w:r w:rsidRPr="00256DCA">
              <w:rPr>
                <w:rStyle w:val="a5"/>
                <w:noProof/>
              </w:rPr>
              <w:t>2.2</w:t>
            </w:r>
            <w:r w:rsidRPr="00256DCA">
              <w:rPr>
                <w:rStyle w:val="a5"/>
                <w:noProof/>
              </w:rPr>
              <w:t xml:space="preserve">　探索性分析总览</w:t>
            </w:r>
            <w:r>
              <w:rPr>
                <w:rFonts w:hint="eastAsia"/>
                <w:noProof/>
              </w:rPr>
              <w:tab/>
            </w:r>
            <w:r>
              <w:rPr>
                <w:rFonts w:hint="eastAsia"/>
                <w:noProof/>
              </w:rPr>
              <w:fldChar w:fldCharType="begin"/>
            </w:r>
            <w:r>
              <w:rPr>
                <w:rFonts w:hint="eastAsia"/>
                <w:noProof/>
              </w:rPr>
              <w:instrText xml:space="preserve"> </w:instrText>
            </w:r>
            <w:r>
              <w:rPr>
                <w:noProof/>
              </w:rPr>
              <w:instrText>PAGEREF _Toc241140354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A243109" w14:textId="7BD1FF96"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55" w:history="1">
            <w:r w:rsidRPr="00256DCA">
              <w:rPr>
                <w:rStyle w:val="a5"/>
                <w:noProof/>
              </w:rPr>
              <w:t>2.3</w:t>
            </w:r>
            <w:r w:rsidRPr="00256DCA">
              <w:rPr>
                <w:rStyle w:val="a5"/>
                <w:noProof/>
              </w:rPr>
              <w:t xml:space="preserve">　蛋白质序列长度的偏态特征</w:t>
            </w:r>
            <w:r>
              <w:rPr>
                <w:rFonts w:hint="eastAsia"/>
                <w:noProof/>
              </w:rPr>
              <w:tab/>
            </w:r>
            <w:r>
              <w:rPr>
                <w:rFonts w:hint="eastAsia"/>
                <w:noProof/>
              </w:rPr>
              <w:fldChar w:fldCharType="begin"/>
            </w:r>
            <w:r>
              <w:rPr>
                <w:rFonts w:hint="eastAsia"/>
                <w:noProof/>
              </w:rPr>
              <w:instrText xml:space="preserve"> </w:instrText>
            </w:r>
            <w:r>
              <w:rPr>
                <w:noProof/>
              </w:rPr>
              <w:instrText>PAGEREF _Toc241140355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97A02A8" w14:textId="3EFFF3C1"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56" w:history="1">
            <w:r w:rsidRPr="00256DCA">
              <w:rPr>
                <w:rStyle w:val="a5"/>
                <w:noProof/>
              </w:rPr>
              <w:t>2.4</w:t>
            </w:r>
            <w:r w:rsidRPr="00256DCA">
              <w:rPr>
                <w:rStyle w:val="a5"/>
                <w:noProof/>
              </w:rPr>
              <w:t xml:space="preserve">　单蛋白质功能标签激活基数分布</w:t>
            </w:r>
            <w:r>
              <w:rPr>
                <w:rFonts w:hint="eastAsia"/>
                <w:noProof/>
              </w:rPr>
              <w:tab/>
            </w:r>
            <w:r>
              <w:rPr>
                <w:rFonts w:hint="eastAsia"/>
                <w:noProof/>
              </w:rPr>
              <w:fldChar w:fldCharType="begin"/>
            </w:r>
            <w:r>
              <w:rPr>
                <w:rFonts w:hint="eastAsia"/>
                <w:noProof/>
              </w:rPr>
              <w:instrText xml:space="preserve"> </w:instrText>
            </w:r>
            <w:r>
              <w:rPr>
                <w:noProof/>
              </w:rPr>
              <w:instrText>PAGEREF _Toc241140356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8C4BF72" w14:textId="660FE8C9"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57" w:history="1">
            <w:r w:rsidRPr="00256DCA">
              <w:rPr>
                <w:rStyle w:val="a5"/>
                <w:noProof/>
              </w:rPr>
              <w:t>2.5</w:t>
            </w:r>
            <w:r w:rsidRPr="00256DCA">
              <w:rPr>
                <w:rStyle w:val="a5"/>
                <w:noProof/>
              </w:rPr>
              <w:t xml:space="preserve">　功能标签频次分布：中重度不平衡而非稀疏长尾</w:t>
            </w:r>
            <w:r>
              <w:rPr>
                <w:rFonts w:hint="eastAsia"/>
                <w:noProof/>
              </w:rPr>
              <w:tab/>
            </w:r>
            <w:r>
              <w:rPr>
                <w:rFonts w:hint="eastAsia"/>
                <w:noProof/>
              </w:rPr>
              <w:fldChar w:fldCharType="begin"/>
            </w:r>
            <w:r>
              <w:rPr>
                <w:rFonts w:hint="eastAsia"/>
                <w:noProof/>
              </w:rPr>
              <w:instrText xml:space="preserve"> </w:instrText>
            </w:r>
            <w:r>
              <w:rPr>
                <w:noProof/>
              </w:rPr>
              <w:instrText>PAGEREF _Toc241140357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EF15F24" w14:textId="57589BD0" w:rsidR="007E1C5A" w:rsidRDefault="007E1C5A">
          <w:pPr>
            <w:pStyle w:val="TOC1"/>
            <w:tabs>
              <w:tab w:val="right" w:leader="dot" w:pos="9060"/>
            </w:tabs>
            <w:rPr>
              <w:rFonts w:asciiTheme="minorHAnsi" w:eastAsiaTheme="minorEastAsia" w:hAnsiTheme="minorHAnsi" w:cstheme="minorBidi" w:hint="eastAsia"/>
              <w:noProof/>
              <w:color w:val="auto"/>
              <w:kern w:val="2"/>
              <w:sz w:val="22"/>
              <w14:ligatures w14:val="standardContextual"/>
            </w:rPr>
          </w:pPr>
          <w:hyperlink w:anchor="_Toc241140358" w:history="1">
            <w:r w:rsidRPr="00256DCA">
              <w:rPr>
                <w:rStyle w:val="a5"/>
                <w:noProof/>
              </w:rPr>
              <w:t>第</w:t>
            </w:r>
            <w:r w:rsidRPr="00256DCA">
              <w:rPr>
                <w:rStyle w:val="a5"/>
                <w:noProof/>
              </w:rPr>
              <w:t>3</w:t>
            </w:r>
            <w:r w:rsidRPr="00256DCA">
              <w:rPr>
                <w:rStyle w:val="a5"/>
                <w:noProof/>
              </w:rPr>
              <w:t>章　分析方案设计</w:t>
            </w:r>
            <w:r>
              <w:rPr>
                <w:rFonts w:hint="eastAsia"/>
                <w:noProof/>
              </w:rPr>
              <w:tab/>
            </w:r>
            <w:r>
              <w:rPr>
                <w:rFonts w:hint="eastAsia"/>
                <w:noProof/>
              </w:rPr>
              <w:fldChar w:fldCharType="begin"/>
            </w:r>
            <w:r>
              <w:rPr>
                <w:rFonts w:hint="eastAsia"/>
                <w:noProof/>
              </w:rPr>
              <w:instrText xml:space="preserve"> </w:instrText>
            </w:r>
            <w:r>
              <w:rPr>
                <w:noProof/>
              </w:rPr>
              <w:instrText>PAGEREF _Toc241140358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CDBC30A" w14:textId="269F47AE"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59" w:history="1">
            <w:r w:rsidRPr="00256DCA">
              <w:rPr>
                <w:rStyle w:val="a5"/>
                <w:noProof/>
              </w:rPr>
              <w:t>3.1</w:t>
            </w:r>
            <w:r w:rsidRPr="00256DCA">
              <w:rPr>
                <w:rStyle w:val="a5"/>
                <w:noProof/>
              </w:rPr>
              <w:t xml:space="preserve">　分支</w:t>
            </w:r>
            <w:r w:rsidRPr="00256DCA">
              <w:rPr>
                <w:rStyle w:val="a5"/>
                <w:noProof/>
              </w:rPr>
              <w:t xml:space="preserve"> I</w:t>
            </w:r>
            <w:r w:rsidRPr="00256DCA">
              <w:rPr>
                <w:rStyle w:val="a5"/>
                <w:noProof/>
              </w:rPr>
              <w:t>：多尺度深度序列感知网络</w:t>
            </w:r>
            <w:r>
              <w:rPr>
                <w:rFonts w:hint="eastAsia"/>
                <w:noProof/>
              </w:rPr>
              <w:tab/>
            </w:r>
            <w:r>
              <w:rPr>
                <w:rFonts w:hint="eastAsia"/>
                <w:noProof/>
              </w:rPr>
              <w:fldChar w:fldCharType="begin"/>
            </w:r>
            <w:r>
              <w:rPr>
                <w:rFonts w:hint="eastAsia"/>
                <w:noProof/>
              </w:rPr>
              <w:instrText xml:space="preserve"> </w:instrText>
            </w:r>
            <w:r>
              <w:rPr>
                <w:noProof/>
              </w:rPr>
              <w:instrText>PAGEREF _Toc241140359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5D6441A" w14:textId="1DE9D54D"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60" w:history="1">
            <w:r w:rsidRPr="00256DCA">
              <w:rPr>
                <w:rStyle w:val="a5"/>
                <w:noProof/>
              </w:rPr>
              <w:t>3.2</w:t>
            </w:r>
            <w:r w:rsidRPr="00256DCA">
              <w:rPr>
                <w:rStyle w:val="a5"/>
                <w:noProof/>
              </w:rPr>
              <w:t xml:space="preserve">　分支</w:t>
            </w:r>
            <w:r w:rsidRPr="00256DCA">
              <w:rPr>
                <w:rStyle w:val="a5"/>
                <w:noProof/>
              </w:rPr>
              <w:t xml:space="preserve"> II</w:t>
            </w:r>
            <w:r w:rsidRPr="00256DCA">
              <w:rPr>
                <w:rStyle w:val="a5"/>
                <w:noProof/>
              </w:rPr>
              <w:t>：进化比对与局部频数流形转移</w:t>
            </w:r>
            <w:r>
              <w:rPr>
                <w:rFonts w:hint="eastAsia"/>
                <w:noProof/>
              </w:rPr>
              <w:tab/>
            </w:r>
            <w:r>
              <w:rPr>
                <w:rFonts w:hint="eastAsia"/>
                <w:noProof/>
              </w:rPr>
              <w:fldChar w:fldCharType="begin"/>
            </w:r>
            <w:r>
              <w:rPr>
                <w:rFonts w:hint="eastAsia"/>
                <w:noProof/>
              </w:rPr>
              <w:instrText xml:space="preserve"> </w:instrText>
            </w:r>
            <w:r>
              <w:rPr>
                <w:noProof/>
              </w:rPr>
              <w:instrText>PAGEREF _Toc241140360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7FF81D2" w14:textId="174922A4"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61" w:history="1">
            <w:r w:rsidRPr="00256DCA">
              <w:rPr>
                <w:rStyle w:val="a5"/>
                <w:noProof/>
              </w:rPr>
              <w:t>3.3</w:t>
            </w:r>
            <w:r w:rsidRPr="00256DCA">
              <w:rPr>
                <w:rStyle w:val="a5"/>
                <w:noProof/>
              </w:rPr>
              <w:t xml:space="preserve">　分支</w:t>
            </w:r>
            <w:r w:rsidRPr="00256DCA">
              <w:rPr>
                <w:rStyle w:val="a5"/>
                <w:noProof/>
              </w:rPr>
              <w:t xml:space="preserve"> III</w:t>
            </w:r>
            <w:r w:rsidRPr="00256DCA">
              <w:rPr>
                <w:rStyle w:val="a5"/>
                <w:noProof/>
              </w:rPr>
              <w:t>：预训练语言模型表征与线性注入</w:t>
            </w:r>
            <w:r>
              <w:rPr>
                <w:rFonts w:hint="eastAsia"/>
                <w:noProof/>
              </w:rPr>
              <w:tab/>
            </w:r>
            <w:r>
              <w:rPr>
                <w:rFonts w:hint="eastAsia"/>
                <w:noProof/>
              </w:rPr>
              <w:fldChar w:fldCharType="begin"/>
            </w:r>
            <w:r>
              <w:rPr>
                <w:rFonts w:hint="eastAsia"/>
                <w:noProof/>
              </w:rPr>
              <w:instrText xml:space="preserve"> </w:instrText>
            </w:r>
            <w:r>
              <w:rPr>
                <w:noProof/>
              </w:rPr>
              <w:instrText>PAGEREF _Toc241140361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024301A" w14:textId="24CBE635"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62" w:history="1">
            <w:r w:rsidRPr="00256DCA">
              <w:rPr>
                <w:rStyle w:val="a5"/>
                <w:noProof/>
              </w:rPr>
              <w:t>3.4</w:t>
            </w:r>
            <w:r w:rsidRPr="00256DCA">
              <w:rPr>
                <w:rStyle w:val="a5"/>
                <w:noProof/>
              </w:rPr>
              <w:t xml:space="preserve">　无参数互惠秩融合（</w:t>
            </w:r>
            <w:r w:rsidRPr="00256DCA">
              <w:rPr>
                <w:rStyle w:val="a5"/>
                <w:noProof/>
              </w:rPr>
              <w:t>Reciprocal Rank Fusion, RRF</w:t>
            </w:r>
            <w:r w:rsidRPr="00256DCA">
              <w:rPr>
                <w:rStyle w:val="a5"/>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_Toc241140362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75634FA" w14:textId="0CF0D30D"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63" w:history="1">
            <w:r w:rsidRPr="00256DCA">
              <w:rPr>
                <w:rStyle w:val="a5"/>
                <w:noProof/>
              </w:rPr>
              <w:t>3.5</w:t>
            </w:r>
            <w:r w:rsidRPr="00256DCA">
              <w:rPr>
                <w:rStyle w:val="a5"/>
                <w:noProof/>
              </w:rPr>
              <w:t xml:space="preserve">　双边际约束的最优传输（</w:t>
            </w:r>
            <w:r w:rsidRPr="00256DCA">
              <w:rPr>
                <w:rStyle w:val="a5"/>
                <w:noProof/>
              </w:rPr>
              <w:t>Sinkhorn-Knopp</w:t>
            </w:r>
            <w:r w:rsidRPr="00256DCA">
              <w:rPr>
                <w:rStyle w:val="a5"/>
                <w:noProof/>
              </w:rPr>
              <w:t>）正则化</w:t>
            </w:r>
            <w:r>
              <w:rPr>
                <w:rFonts w:hint="eastAsia"/>
                <w:noProof/>
              </w:rPr>
              <w:tab/>
            </w:r>
            <w:r>
              <w:rPr>
                <w:rFonts w:hint="eastAsia"/>
                <w:noProof/>
              </w:rPr>
              <w:fldChar w:fldCharType="begin"/>
            </w:r>
            <w:r>
              <w:rPr>
                <w:rFonts w:hint="eastAsia"/>
                <w:noProof/>
              </w:rPr>
              <w:instrText xml:space="preserve"> </w:instrText>
            </w:r>
            <w:r>
              <w:rPr>
                <w:noProof/>
              </w:rPr>
              <w:instrText>PAGEREF _Toc241140363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13B4B5D" w14:textId="7FB91A3F" w:rsidR="007E1C5A" w:rsidRDefault="007E1C5A">
          <w:pPr>
            <w:pStyle w:val="TOC1"/>
            <w:tabs>
              <w:tab w:val="right" w:leader="dot" w:pos="9060"/>
            </w:tabs>
            <w:rPr>
              <w:rFonts w:asciiTheme="minorHAnsi" w:eastAsiaTheme="minorEastAsia" w:hAnsiTheme="minorHAnsi" w:cstheme="minorBidi" w:hint="eastAsia"/>
              <w:noProof/>
              <w:color w:val="auto"/>
              <w:kern w:val="2"/>
              <w:sz w:val="22"/>
              <w14:ligatures w14:val="standardContextual"/>
            </w:rPr>
          </w:pPr>
          <w:hyperlink w:anchor="_Toc241140364" w:history="1">
            <w:r w:rsidRPr="00256DCA">
              <w:rPr>
                <w:rStyle w:val="a5"/>
                <w:noProof/>
              </w:rPr>
              <w:t>第</w:t>
            </w:r>
            <w:r w:rsidRPr="00256DCA">
              <w:rPr>
                <w:rStyle w:val="a5"/>
                <w:noProof/>
              </w:rPr>
              <w:t>4</w:t>
            </w:r>
            <w:r w:rsidRPr="00256DCA">
              <w:rPr>
                <w:rStyle w:val="a5"/>
                <w:noProof/>
              </w:rPr>
              <w:t>章　实验设计与评测协议</w:t>
            </w:r>
            <w:r>
              <w:rPr>
                <w:rFonts w:hint="eastAsia"/>
                <w:noProof/>
              </w:rPr>
              <w:tab/>
            </w:r>
            <w:r>
              <w:rPr>
                <w:rFonts w:hint="eastAsia"/>
                <w:noProof/>
              </w:rPr>
              <w:fldChar w:fldCharType="begin"/>
            </w:r>
            <w:r>
              <w:rPr>
                <w:rFonts w:hint="eastAsia"/>
                <w:noProof/>
              </w:rPr>
              <w:instrText xml:space="preserve"> </w:instrText>
            </w:r>
            <w:r>
              <w:rPr>
                <w:noProof/>
              </w:rPr>
              <w:instrText>PAGEREF _Toc241140364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AC70208" w14:textId="1B235686"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65" w:history="1">
            <w:r w:rsidRPr="00256DCA">
              <w:rPr>
                <w:rStyle w:val="a5"/>
                <w:noProof/>
              </w:rPr>
              <w:t>4.1</w:t>
            </w:r>
            <w:r w:rsidRPr="00256DCA">
              <w:rPr>
                <w:rStyle w:val="a5"/>
                <w:noProof/>
              </w:rPr>
              <w:t xml:space="preserve">　数据集切分与防泄漏隔离</w:t>
            </w:r>
            <w:r>
              <w:rPr>
                <w:rFonts w:hint="eastAsia"/>
                <w:noProof/>
              </w:rPr>
              <w:tab/>
            </w:r>
            <w:r>
              <w:rPr>
                <w:rFonts w:hint="eastAsia"/>
                <w:noProof/>
              </w:rPr>
              <w:fldChar w:fldCharType="begin"/>
            </w:r>
            <w:r>
              <w:rPr>
                <w:rFonts w:hint="eastAsia"/>
                <w:noProof/>
              </w:rPr>
              <w:instrText xml:space="preserve"> </w:instrText>
            </w:r>
            <w:r>
              <w:rPr>
                <w:noProof/>
              </w:rPr>
              <w:instrText>PAGEREF _Toc241140365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FA5BF2D" w14:textId="629781D3"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66" w:history="1">
            <w:r w:rsidRPr="00256DCA">
              <w:rPr>
                <w:rStyle w:val="a5"/>
                <w:noProof/>
              </w:rPr>
              <w:t>4.2</w:t>
            </w:r>
            <w:r w:rsidRPr="00256DCA">
              <w:rPr>
                <w:rStyle w:val="a5"/>
                <w:noProof/>
              </w:rPr>
              <w:t xml:space="preserve">　评测指标定义</w:t>
            </w:r>
            <w:r>
              <w:rPr>
                <w:rFonts w:hint="eastAsia"/>
                <w:noProof/>
              </w:rPr>
              <w:tab/>
            </w:r>
            <w:r>
              <w:rPr>
                <w:rFonts w:hint="eastAsia"/>
                <w:noProof/>
              </w:rPr>
              <w:fldChar w:fldCharType="begin"/>
            </w:r>
            <w:r>
              <w:rPr>
                <w:rFonts w:hint="eastAsia"/>
                <w:noProof/>
              </w:rPr>
              <w:instrText xml:space="preserve"> </w:instrText>
            </w:r>
            <w:r>
              <w:rPr>
                <w:noProof/>
              </w:rPr>
              <w:instrText>PAGEREF _Toc241140366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4A40C1E" w14:textId="1642D4B5" w:rsidR="007E1C5A" w:rsidRDefault="007E1C5A">
          <w:pPr>
            <w:pStyle w:val="TOC1"/>
            <w:tabs>
              <w:tab w:val="right" w:leader="dot" w:pos="9060"/>
            </w:tabs>
            <w:rPr>
              <w:rFonts w:asciiTheme="minorHAnsi" w:eastAsiaTheme="minorEastAsia" w:hAnsiTheme="minorHAnsi" w:cstheme="minorBidi" w:hint="eastAsia"/>
              <w:noProof/>
              <w:color w:val="auto"/>
              <w:kern w:val="2"/>
              <w:sz w:val="22"/>
              <w14:ligatures w14:val="standardContextual"/>
            </w:rPr>
          </w:pPr>
          <w:hyperlink w:anchor="_Toc241140367" w:history="1">
            <w:r w:rsidRPr="00256DCA">
              <w:rPr>
                <w:rStyle w:val="a5"/>
                <w:noProof/>
              </w:rPr>
              <w:t>第</w:t>
            </w:r>
            <w:r w:rsidRPr="00256DCA">
              <w:rPr>
                <w:rStyle w:val="a5"/>
                <w:noProof/>
              </w:rPr>
              <w:t>5</w:t>
            </w:r>
            <w:r w:rsidRPr="00256DCA">
              <w:rPr>
                <w:rStyle w:val="a5"/>
                <w:noProof/>
              </w:rPr>
              <w:t>章　模型构建、评估与系统级分析</w:t>
            </w:r>
            <w:r>
              <w:rPr>
                <w:rFonts w:hint="eastAsia"/>
                <w:noProof/>
              </w:rPr>
              <w:tab/>
            </w:r>
            <w:r>
              <w:rPr>
                <w:rFonts w:hint="eastAsia"/>
                <w:noProof/>
              </w:rPr>
              <w:fldChar w:fldCharType="begin"/>
            </w:r>
            <w:r>
              <w:rPr>
                <w:rFonts w:hint="eastAsia"/>
                <w:noProof/>
              </w:rPr>
              <w:instrText xml:space="preserve"> </w:instrText>
            </w:r>
            <w:r>
              <w:rPr>
                <w:noProof/>
              </w:rPr>
              <w:instrText>PAGEREF _Toc241140367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471D4E1" w14:textId="6006B6A7"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68" w:history="1">
            <w:r w:rsidRPr="00256DCA">
              <w:rPr>
                <w:rStyle w:val="a5"/>
                <w:noProof/>
              </w:rPr>
              <w:t>5.1</w:t>
            </w:r>
            <w:r w:rsidRPr="00256DCA">
              <w:rPr>
                <w:rStyle w:val="a5"/>
                <w:noProof/>
              </w:rPr>
              <w:t xml:space="preserve">　端到端逐级消融对比分析</w:t>
            </w:r>
            <w:r>
              <w:rPr>
                <w:rFonts w:hint="eastAsia"/>
                <w:noProof/>
              </w:rPr>
              <w:tab/>
            </w:r>
            <w:r>
              <w:rPr>
                <w:rFonts w:hint="eastAsia"/>
                <w:noProof/>
              </w:rPr>
              <w:fldChar w:fldCharType="begin"/>
            </w:r>
            <w:r>
              <w:rPr>
                <w:rFonts w:hint="eastAsia"/>
                <w:noProof/>
              </w:rPr>
              <w:instrText xml:space="preserve"> </w:instrText>
            </w:r>
            <w:r>
              <w:rPr>
                <w:noProof/>
              </w:rPr>
              <w:instrText>PAGEREF _Toc241140368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E00B0DA" w14:textId="3F771CD7"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69" w:history="1">
            <w:r w:rsidRPr="00256DCA">
              <w:rPr>
                <w:rStyle w:val="a5"/>
                <w:noProof/>
              </w:rPr>
              <w:t>5.2</w:t>
            </w:r>
            <w:r w:rsidRPr="00256DCA">
              <w:rPr>
                <w:rStyle w:val="a5"/>
                <w:noProof/>
              </w:rPr>
              <w:t xml:space="preserve">　同源命中与无命中极端切片互补机理</w:t>
            </w:r>
            <w:r>
              <w:rPr>
                <w:rFonts w:hint="eastAsia"/>
                <w:noProof/>
              </w:rPr>
              <w:tab/>
            </w:r>
            <w:r>
              <w:rPr>
                <w:rFonts w:hint="eastAsia"/>
                <w:noProof/>
              </w:rPr>
              <w:fldChar w:fldCharType="begin"/>
            </w:r>
            <w:r>
              <w:rPr>
                <w:rFonts w:hint="eastAsia"/>
                <w:noProof/>
              </w:rPr>
              <w:instrText xml:space="preserve"> </w:instrText>
            </w:r>
            <w:r>
              <w:rPr>
                <w:noProof/>
              </w:rPr>
              <w:instrText>PAGEREF _Toc241140369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B8D715C" w14:textId="53C5B8E5"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70" w:history="1">
            <w:r w:rsidRPr="00256DCA">
              <w:rPr>
                <w:rStyle w:val="a5"/>
                <w:noProof/>
              </w:rPr>
              <w:t>5.3</w:t>
            </w:r>
            <w:r w:rsidRPr="00256DCA">
              <w:rPr>
                <w:rStyle w:val="a5"/>
                <w:noProof/>
              </w:rPr>
              <w:t xml:space="preserve">　超参数响应曲面与稳定性分析</w:t>
            </w:r>
            <w:r>
              <w:rPr>
                <w:rFonts w:hint="eastAsia"/>
                <w:noProof/>
              </w:rPr>
              <w:tab/>
            </w:r>
            <w:r>
              <w:rPr>
                <w:rFonts w:hint="eastAsia"/>
                <w:noProof/>
              </w:rPr>
              <w:fldChar w:fldCharType="begin"/>
            </w:r>
            <w:r>
              <w:rPr>
                <w:rFonts w:hint="eastAsia"/>
                <w:noProof/>
              </w:rPr>
              <w:instrText xml:space="preserve"> </w:instrText>
            </w:r>
            <w:r>
              <w:rPr>
                <w:noProof/>
              </w:rPr>
              <w:instrText>PAGEREF _Toc241140370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C42D248" w14:textId="04294A41"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71" w:history="1">
            <w:r w:rsidRPr="00256DCA">
              <w:rPr>
                <w:rStyle w:val="a5"/>
                <w:noProof/>
              </w:rPr>
              <w:t>5.4</w:t>
            </w:r>
            <w:r w:rsidRPr="00256DCA">
              <w:rPr>
                <w:rStyle w:val="a5"/>
                <w:noProof/>
              </w:rPr>
              <w:t xml:space="preserve">　功能标签长尾分层消融验证</w:t>
            </w:r>
            <w:r>
              <w:rPr>
                <w:rFonts w:hint="eastAsia"/>
                <w:noProof/>
              </w:rPr>
              <w:tab/>
            </w:r>
            <w:r>
              <w:rPr>
                <w:rFonts w:hint="eastAsia"/>
                <w:noProof/>
              </w:rPr>
              <w:fldChar w:fldCharType="begin"/>
            </w:r>
            <w:r>
              <w:rPr>
                <w:rFonts w:hint="eastAsia"/>
                <w:noProof/>
              </w:rPr>
              <w:instrText xml:space="preserve"> </w:instrText>
            </w:r>
            <w:r>
              <w:rPr>
                <w:noProof/>
              </w:rPr>
              <w:instrText>PAGEREF _Toc241140371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A89D160" w14:textId="3AB485EE"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72" w:history="1">
            <w:r w:rsidRPr="00256DCA">
              <w:rPr>
                <w:rStyle w:val="a5"/>
                <w:noProof/>
              </w:rPr>
              <w:t>5.5</w:t>
            </w:r>
            <w:r w:rsidRPr="00256DCA">
              <w:rPr>
                <w:rStyle w:val="a5"/>
                <w:noProof/>
              </w:rPr>
              <w:t xml:space="preserve">　对比讨论：复杂参数化元学习（</w:t>
            </w:r>
            <w:r w:rsidRPr="00256DCA">
              <w:rPr>
                <w:rStyle w:val="a5"/>
                <w:noProof/>
              </w:rPr>
              <w:t>Stacking</w:t>
            </w:r>
            <w:r w:rsidRPr="00256DCA">
              <w:rPr>
                <w:rStyle w:val="a5"/>
                <w:noProof/>
              </w:rPr>
              <w:t>）的失效机理</w:t>
            </w:r>
            <w:r>
              <w:rPr>
                <w:rFonts w:hint="eastAsia"/>
                <w:noProof/>
              </w:rPr>
              <w:tab/>
            </w:r>
            <w:r>
              <w:rPr>
                <w:rFonts w:hint="eastAsia"/>
                <w:noProof/>
              </w:rPr>
              <w:fldChar w:fldCharType="begin"/>
            </w:r>
            <w:r>
              <w:rPr>
                <w:rFonts w:hint="eastAsia"/>
                <w:noProof/>
              </w:rPr>
              <w:instrText xml:space="preserve"> </w:instrText>
            </w:r>
            <w:r>
              <w:rPr>
                <w:noProof/>
              </w:rPr>
              <w:instrText>PAGEREF _Toc241140372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43212B6" w14:textId="4466A8E0"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73" w:history="1">
            <w:r w:rsidRPr="00256DCA">
              <w:rPr>
                <w:rStyle w:val="a5"/>
                <w:noProof/>
              </w:rPr>
              <w:t>5.6</w:t>
            </w:r>
            <w:r w:rsidRPr="00256DCA">
              <w:rPr>
                <w:rStyle w:val="a5"/>
                <w:noProof/>
              </w:rPr>
              <w:t xml:space="preserve">　预训练语言模型分支的消融与注入方式</w:t>
            </w:r>
            <w:r>
              <w:rPr>
                <w:rFonts w:hint="eastAsia"/>
                <w:noProof/>
              </w:rPr>
              <w:tab/>
            </w:r>
            <w:r>
              <w:rPr>
                <w:rFonts w:hint="eastAsia"/>
                <w:noProof/>
              </w:rPr>
              <w:fldChar w:fldCharType="begin"/>
            </w:r>
            <w:r>
              <w:rPr>
                <w:rFonts w:hint="eastAsia"/>
                <w:noProof/>
              </w:rPr>
              <w:instrText xml:space="preserve"> </w:instrText>
            </w:r>
            <w:r>
              <w:rPr>
                <w:noProof/>
              </w:rPr>
              <w:instrText>PAGEREF _Toc241140373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004AADC" w14:textId="33E368C2"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74" w:history="1">
            <w:r w:rsidRPr="00256DCA">
              <w:rPr>
                <w:rStyle w:val="a5"/>
                <w:noProof/>
              </w:rPr>
              <w:t>5.7</w:t>
            </w:r>
            <w:r w:rsidRPr="00256DCA">
              <w:rPr>
                <w:rStyle w:val="a5"/>
                <w:noProof/>
              </w:rPr>
              <w:t xml:space="preserve">　排序头部诊断：低假阳性率区谁在贡献</w:t>
            </w:r>
            <w:r>
              <w:rPr>
                <w:rFonts w:hint="eastAsia"/>
                <w:noProof/>
              </w:rPr>
              <w:tab/>
            </w:r>
            <w:r>
              <w:rPr>
                <w:rFonts w:hint="eastAsia"/>
                <w:noProof/>
              </w:rPr>
              <w:fldChar w:fldCharType="begin"/>
            </w:r>
            <w:r>
              <w:rPr>
                <w:rFonts w:hint="eastAsia"/>
                <w:noProof/>
              </w:rPr>
              <w:instrText xml:space="preserve"> </w:instrText>
            </w:r>
            <w:r>
              <w:rPr>
                <w:noProof/>
              </w:rPr>
              <w:instrText>PAGEREF _Toc241140374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4E1B6C20" w14:textId="6BD89749"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75" w:history="1">
            <w:r w:rsidRPr="00256DCA">
              <w:rPr>
                <w:rStyle w:val="a5"/>
                <w:noProof/>
              </w:rPr>
              <w:t>5.8</w:t>
            </w:r>
            <w:r w:rsidRPr="00256DCA">
              <w:rPr>
                <w:rStyle w:val="a5"/>
                <w:noProof/>
              </w:rPr>
              <w:t xml:space="preserve">　设计法则：独立增益不必然传导为融合增益</w:t>
            </w:r>
            <w:r>
              <w:rPr>
                <w:rFonts w:hint="eastAsia"/>
                <w:noProof/>
              </w:rPr>
              <w:tab/>
            </w:r>
            <w:r>
              <w:rPr>
                <w:rFonts w:hint="eastAsia"/>
                <w:noProof/>
              </w:rPr>
              <w:fldChar w:fldCharType="begin"/>
            </w:r>
            <w:r>
              <w:rPr>
                <w:rFonts w:hint="eastAsia"/>
                <w:noProof/>
              </w:rPr>
              <w:instrText xml:space="preserve"> </w:instrText>
            </w:r>
            <w:r>
              <w:rPr>
                <w:noProof/>
              </w:rPr>
              <w:instrText>PAGEREF _Toc241140375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D0FD5EE" w14:textId="3B0D6C19"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76" w:history="1">
            <w:r w:rsidRPr="00256DCA">
              <w:rPr>
                <w:rStyle w:val="a5"/>
                <w:noProof/>
              </w:rPr>
              <w:t>5.9</w:t>
            </w:r>
            <w:r w:rsidRPr="00256DCA">
              <w:rPr>
                <w:rStyle w:val="a5"/>
                <w:noProof/>
              </w:rPr>
              <w:t xml:space="preserve">　系统级算子消融与策略全景</w:t>
            </w:r>
            <w:r>
              <w:rPr>
                <w:rFonts w:hint="eastAsia"/>
                <w:noProof/>
              </w:rPr>
              <w:tab/>
            </w:r>
            <w:r>
              <w:rPr>
                <w:rFonts w:hint="eastAsia"/>
                <w:noProof/>
              </w:rPr>
              <w:fldChar w:fldCharType="begin"/>
            </w:r>
            <w:r>
              <w:rPr>
                <w:rFonts w:hint="eastAsia"/>
                <w:noProof/>
              </w:rPr>
              <w:instrText xml:space="preserve"> </w:instrText>
            </w:r>
            <w:r>
              <w:rPr>
                <w:noProof/>
              </w:rPr>
              <w:instrText>PAGEREF _Toc241140376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38EC5AE" w14:textId="3E5B5272" w:rsidR="007E1C5A" w:rsidRDefault="007E1C5A">
          <w:pPr>
            <w:pStyle w:val="TOC1"/>
            <w:tabs>
              <w:tab w:val="right" w:leader="dot" w:pos="9060"/>
            </w:tabs>
            <w:rPr>
              <w:rFonts w:asciiTheme="minorHAnsi" w:eastAsiaTheme="minorEastAsia" w:hAnsiTheme="minorHAnsi" w:cstheme="minorBidi" w:hint="eastAsia"/>
              <w:noProof/>
              <w:color w:val="auto"/>
              <w:kern w:val="2"/>
              <w:sz w:val="22"/>
              <w14:ligatures w14:val="standardContextual"/>
            </w:rPr>
          </w:pPr>
          <w:hyperlink w:anchor="_Toc241140377" w:history="1">
            <w:r w:rsidRPr="00256DCA">
              <w:rPr>
                <w:rStyle w:val="a5"/>
                <w:noProof/>
              </w:rPr>
              <w:t>第</w:t>
            </w:r>
            <w:r w:rsidRPr="00256DCA">
              <w:rPr>
                <w:rStyle w:val="a5"/>
                <w:noProof/>
              </w:rPr>
              <w:t>6</w:t>
            </w:r>
            <w:r w:rsidRPr="00256DCA">
              <w:rPr>
                <w:rStyle w:val="a5"/>
                <w:noProof/>
              </w:rPr>
              <w:t>章　分析结果与数据发现</w:t>
            </w:r>
            <w:r>
              <w:rPr>
                <w:rFonts w:hint="eastAsia"/>
                <w:noProof/>
              </w:rPr>
              <w:tab/>
            </w:r>
            <w:r>
              <w:rPr>
                <w:rFonts w:hint="eastAsia"/>
                <w:noProof/>
              </w:rPr>
              <w:fldChar w:fldCharType="begin"/>
            </w:r>
            <w:r>
              <w:rPr>
                <w:rFonts w:hint="eastAsia"/>
                <w:noProof/>
              </w:rPr>
              <w:instrText xml:space="preserve"> </w:instrText>
            </w:r>
            <w:r>
              <w:rPr>
                <w:noProof/>
              </w:rPr>
              <w:instrText>PAGEREF _Toc241140377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7428339" w14:textId="745A938B"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78" w:history="1">
            <w:r w:rsidRPr="00256DCA">
              <w:rPr>
                <w:rStyle w:val="a5"/>
                <w:noProof/>
              </w:rPr>
              <w:t>6.1</w:t>
            </w:r>
            <w:r w:rsidRPr="00256DCA">
              <w:rPr>
                <w:rStyle w:val="a5"/>
                <w:noProof/>
              </w:rPr>
              <w:t xml:space="preserve">　主要结果与平台成绩</w:t>
            </w:r>
            <w:r>
              <w:rPr>
                <w:rFonts w:hint="eastAsia"/>
                <w:noProof/>
              </w:rPr>
              <w:tab/>
            </w:r>
            <w:r>
              <w:rPr>
                <w:rFonts w:hint="eastAsia"/>
                <w:noProof/>
              </w:rPr>
              <w:fldChar w:fldCharType="begin"/>
            </w:r>
            <w:r>
              <w:rPr>
                <w:rFonts w:hint="eastAsia"/>
                <w:noProof/>
              </w:rPr>
              <w:instrText xml:space="preserve"> </w:instrText>
            </w:r>
            <w:r>
              <w:rPr>
                <w:noProof/>
              </w:rPr>
              <w:instrText>PAGEREF _Toc241140378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1DB0E179" w14:textId="609FAA04"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79" w:history="1">
            <w:r w:rsidRPr="00256DCA">
              <w:rPr>
                <w:rStyle w:val="a5"/>
                <w:noProof/>
              </w:rPr>
              <w:t>6.2</w:t>
            </w:r>
            <w:r w:rsidRPr="00256DCA">
              <w:rPr>
                <w:rStyle w:val="a5"/>
                <w:noProof/>
              </w:rPr>
              <w:t xml:space="preserve">　数据发现</w:t>
            </w:r>
            <w:r>
              <w:rPr>
                <w:rFonts w:hint="eastAsia"/>
                <w:noProof/>
              </w:rPr>
              <w:tab/>
            </w:r>
            <w:r>
              <w:rPr>
                <w:rFonts w:hint="eastAsia"/>
                <w:noProof/>
              </w:rPr>
              <w:fldChar w:fldCharType="begin"/>
            </w:r>
            <w:r>
              <w:rPr>
                <w:rFonts w:hint="eastAsia"/>
                <w:noProof/>
              </w:rPr>
              <w:instrText xml:space="preserve"> </w:instrText>
            </w:r>
            <w:r>
              <w:rPr>
                <w:noProof/>
              </w:rPr>
              <w:instrText>PAGEREF _Toc241140379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5C6A88A" w14:textId="05A2C51D" w:rsidR="007E1C5A" w:rsidRDefault="007E1C5A">
          <w:pPr>
            <w:pStyle w:val="TOC2"/>
            <w:tabs>
              <w:tab w:val="right" w:leader="dot" w:pos="9060"/>
            </w:tabs>
            <w:ind w:left="480"/>
            <w:rPr>
              <w:rFonts w:asciiTheme="minorHAnsi" w:eastAsiaTheme="minorEastAsia" w:hAnsiTheme="minorHAnsi" w:cstheme="minorBidi" w:hint="eastAsia"/>
              <w:noProof/>
              <w:color w:val="auto"/>
              <w:kern w:val="2"/>
              <w:sz w:val="22"/>
              <w14:ligatures w14:val="standardContextual"/>
            </w:rPr>
          </w:pPr>
          <w:hyperlink w:anchor="_Toc241140380" w:history="1">
            <w:r w:rsidRPr="00256DCA">
              <w:rPr>
                <w:rStyle w:val="a5"/>
                <w:noProof/>
              </w:rPr>
              <w:t>6.3</w:t>
            </w:r>
            <w:r w:rsidRPr="00256DCA">
              <w:rPr>
                <w:rStyle w:val="a5"/>
                <w:noProof/>
              </w:rPr>
              <w:t xml:space="preserve">　局限与下一步</w:t>
            </w:r>
            <w:r>
              <w:rPr>
                <w:rFonts w:hint="eastAsia"/>
                <w:noProof/>
              </w:rPr>
              <w:tab/>
            </w:r>
            <w:r>
              <w:rPr>
                <w:rFonts w:hint="eastAsia"/>
                <w:noProof/>
              </w:rPr>
              <w:fldChar w:fldCharType="begin"/>
            </w:r>
            <w:r>
              <w:rPr>
                <w:rFonts w:hint="eastAsia"/>
                <w:noProof/>
              </w:rPr>
              <w:instrText xml:space="preserve"> </w:instrText>
            </w:r>
            <w:r>
              <w:rPr>
                <w:noProof/>
              </w:rPr>
              <w:instrText>PAGEREF _Toc241140380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513C77D8" w14:textId="0DBF912F" w:rsidR="007E1C5A" w:rsidRDefault="007E1C5A">
          <w:pPr>
            <w:pStyle w:val="TOC1"/>
            <w:tabs>
              <w:tab w:val="right" w:leader="dot" w:pos="9060"/>
            </w:tabs>
            <w:rPr>
              <w:rFonts w:asciiTheme="minorHAnsi" w:eastAsiaTheme="minorEastAsia" w:hAnsiTheme="minorHAnsi" w:cstheme="minorBidi" w:hint="eastAsia"/>
              <w:noProof/>
              <w:color w:val="auto"/>
              <w:kern w:val="2"/>
              <w:sz w:val="22"/>
              <w14:ligatures w14:val="standardContextual"/>
            </w:rPr>
          </w:pPr>
          <w:hyperlink w:anchor="_Toc241140381" w:history="1">
            <w:r w:rsidRPr="00256DCA">
              <w:rPr>
                <w:rStyle w:val="a5"/>
                <w:noProof/>
              </w:rPr>
              <w:t>参</w:t>
            </w:r>
            <w:r w:rsidRPr="00256DCA">
              <w:rPr>
                <w:rStyle w:val="a5"/>
                <w:noProof/>
              </w:rPr>
              <w:t xml:space="preserve"> </w:t>
            </w:r>
            <w:r w:rsidRPr="00256DCA">
              <w:rPr>
                <w:rStyle w:val="a5"/>
                <w:noProof/>
              </w:rPr>
              <w:t>考</w:t>
            </w:r>
            <w:r w:rsidRPr="00256DCA">
              <w:rPr>
                <w:rStyle w:val="a5"/>
                <w:noProof/>
              </w:rPr>
              <w:t xml:space="preserve"> </w:t>
            </w:r>
            <w:r w:rsidRPr="00256DCA">
              <w:rPr>
                <w:rStyle w:val="a5"/>
                <w:noProof/>
              </w:rPr>
              <w:t>文</w:t>
            </w:r>
            <w:r w:rsidRPr="00256DCA">
              <w:rPr>
                <w:rStyle w:val="a5"/>
                <w:noProof/>
              </w:rPr>
              <w:t xml:space="preserve"> </w:t>
            </w:r>
            <w:r w:rsidRPr="00256DCA">
              <w:rPr>
                <w:rStyle w:val="a5"/>
                <w:noProof/>
              </w:rPr>
              <w:t>献</w:t>
            </w:r>
            <w:r>
              <w:rPr>
                <w:rFonts w:hint="eastAsia"/>
                <w:noProof/>
              </w:rPr>
              <w:tab/>
            </w:r>
            <w:r>
              <w:rPr>
                <w:rFonts w:hint="eastAsia"/>
                <w:noProof/>
              </w:rPr>
              <w:fldChar w:fldCharType="begin"/>
            </w:r>
            <w:r>
              <w:rPr>
                <w:rFonts w:hint="eastAsia"/>
                <w:noProof/>
              </w:rPr>
              <w:instrText xml:space="preserve"> </w:instrText>
            </w:r>
            <w:r>
              <w:rPr>
                <w:noProof/>
              </w:rPr>
              <w:instrText>PAGEREF _Toc241140381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7CE7EC6" w14:textId="4964E178" w:rsidR="007E1C5A" w:rsidRDefault="007E1C5A">
          <w:pPr>
            <w:pStyle w:val="TOC1"/>
            <w:tabs>
              <w:tab w:val="right" w:leader="dot" w:pos="9060"/>
            </w:tabs>
            <w:rPr>
              <w:rFonts w:asciiTheme="minorHAnsi" w:eastAsiaTheme="minorEastAsia" w:hAnsiTheme="minorHAnsi" w:cstheme="minorBidi" w:hint="eastAsia"/>
              <w:noProof/>
              <w:color w:val="auto"/>
              <w:kern w:val="2"/>
              <w:sz w:val="22"/>
              <w14:ligatures w14:val="standardContextual"/>
            </w:rPr>
          </w:pPr>
          <w:hyperlink w:anchor="_Toc241140382" w:history="1">
            <w:r w:rsidRPr="00256DCA">
              <w:rPr>
                <w:rStyle w:val="a5"/>
                <w:noProof/>
              </w:rPr>
              <w:t>附录</w:t>
            </w:r>
            <w:r w:rsidRPr="00256DCA">
              <w:rPr>
                <w:rStyle w:val="a5"/>
                <w:noProof/>
              </w:rPr>
              <w:t>A</w:t>
            </w:r>
            <w:r w:rsidRPr="00256DCA">
              <w:rPr>
                <w:rStyle w:val="a5"/>
                <w:noProof/>
              </w:rPr>
              <w:t xml:space="preserve">　核心代码与复现说明</w:t>
            </w:r>
            <w:r>
              <w:rPr>
                <w:rFonts w:hint="eastAsia"/>
                <w:noProof/>
              </w:rPr>
              <w:tab/>
            </w:r>
            <w:r>
              <w:rPr>
                <w:rFonts w:hint="eastAsia"/>
                <w:noProof/>
              </w:rPr>
              <w:fldChar w:fldCharType="begin"/>
            </w:r>
            <w:r>
              <w:rPr>
                <w:rFonts w:hint="eastAsia"/>
                <w:noProof/>
              </w:rPr>
              <w:instrText xml:space="preserve"> </w:instrText>
            </w:r>
            <w:r>
              <w:rPr>
                <w:noProof/>
              </w:rPr>
              <w:instrText>PAGEREF _Toc241140382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7E72DE2" w14:textId="67E23B95" w:rsidR="00E30FFE" w:rsidRDefault="002B33A7">
          <w:r>
            <w:fldChar w:fldCharType="end"/>
          </w:r>
        </w:p>
      </w:sdtContent>
    </w:sdt>
    <w:p w14:paraId="7AD81F53" w14:textId="77777777" w:rsidR="00E30FFE" w:rsidRDefault="00E30FFE">
      <w:pPr>
        <w:sectPr w:rsidR="00E30FFE">
          <w:headerReference w:type="default" r:id="rId7"/>
          <w:footerReference w:type="default" r:id="rId8"/>
          <w:pgSz w:w="11906" w:h="16838"/>
          <w:pgMar w:top="2098" w:right="1418" w:bottom="2268" w:left="1418" w:header="1531" w:footer="1701" w:gutter="0"/>
          <w:pgNumType w:fmt="upperRoman" w:start="1"/>
          <w:cols w:space="720"/>
          <w:docGrid w:linePitch="360"/>
        </w:sectPr>
      </w:pPr>
    </w:p>
    <w:p w14:paraId="5036A677" w14:textId="77777777" w:rsidR="00E30FFE" w:rsidRDefault="002B33A7">
      <w:pPr>
        <w:pStyle w:val="1"/>
        <w:keepNext/>
        <w:pageBreakBefore/>
        <w:spacing w:before="0" w:after="240"/>
      </w:pPr>
      <w:bookmarkStart w:id="0" w:name="_Toc241140349"/>
      <w:r>
        <w:t>第</w:t>
      </w:r>
      <w:r>
        <w:t>1</w:t>
      </w:r>
      <w:r>
        <w:t>章　引言</w:t>
      </w:r>
      <w:bookmarkEnd w:id="0"/>
    </w:p>
    <w:p w14:paraId="5B9D120C" w14:textId="77777777" w:rsidR="00E30FFE" w:rsidRDefault="002B33A7">
      <w:pPr>
        <w:pStyle w:val="2"/>
        <w:keepNext/>
      </w:pPr>
      <w:bookmarkStart w:id="1" w:name="_Toc241140350"/>
      <w:r>
        <w:t>1.1</w:t>
      </w:r>
      <w:r>
        <w:t xml:space="preserve">　分析背景与分析目标</w:t>
      </w:r>
      <w:bookmarkEnd w:id="1"/>
    </w:p>
    <w:p w14:paraId="33CA4900" w14:textId="77777777" w:rsidR="00E30FFE" w:rsidRDefault="002B33A7">
      <w:pPr>
        <w:ind w:firstLine="480"/>
        <w:jc w:val="both"/>
      </w:pPr>
      <w:r>
        <w:t>随着高通量测序技术在环境微生物组与临床基因组学中的飞速发展，未表征的蛋白质一级氨基酸序列正在以超指数速度向公共数据库汇聚。然而，利用湿实验生物化学手段对未知蛋白质的分子功能、催化活性位点及细胞组分定位进行逐一实验验证，面临周期漫长、成本高昂的瓶颈，导致已知序列与高质量注释之间的剪刀差持续扩大</w:t>
      </w:r>
      <w:r>
        <w:rPr>
          <w:sz w:val="21"/>
          <w:szCs w:val="21"/>
          <w:vertAlign w:val="superscript"/>
        </w:rPr>
        <w:t>[1,2,3]</w:t>
      </w:r>
      <w:r>
        <w:t>。因此，利用计算模型根据原始氨基酸残基序列自动化推断蛋白质的功能标签，已成为序列功能注释的主要途径。在由国际生物信息学计算组织举办的蛋白质功能预测关键评估（</w:t>
      </w:r>
      <w:r>
        <w:t>Critical Assessment of Functional Annotation, CAFA</w:t>
      </w:r>
      <w:r>
        <w:t>）系列评测中，基于序列的自动化注释模型已被证明能够为下游实验提供极具指导价值的科学假说</w:t>
      </w:r>
      <w:r>
        <w:rPr>
          <w:sz w:val="21"/>
          <w:szCs w:val="21"/>
          <w:vertAlign w:val="superscript"/>
        </w:rPr>
        <w:t>[4,5,30]</w:t>
      </w:r>
      <w:r>
        <w:t>。</w:t>
      </w:r>
    </w:p>
    <w:p w14:paraId="725F5B64" w14:textId="77777777" w:rsidR="00E30FFE" w:rsidRDefault="002B33A7">
      <w:pPr>
        <w:ind w:firstLine="480"/>
        <w:jc w:val="both"/>
      </w:pPr>
      <w:r>
        <w:t>然而，在实际生物计算或特定保密评测任务中，方法设计往往面临诸多严苛的物理与协议约束：第一，缺乏可利用的基因本体（</w:t>
      </w:r>
      <w:r>
        <w:t>Gene Ontology, GO</w:t>
      </w:r>
      <w:r>
        <w:t>）有向无环图（</w:t>
      </w:r>
      <w:r>
        <w:t>DAG</w:t>
      </w:r>
      <w:r>
        <w:t>）先验与功能术语文本描述，标签空间被完全匿名化为固定维度的离散指示向量；第二，禁止引入外部庞大的功能注释知识库作为监督源，模型必须完全在给定的封闭序列集合内完成泛化；第三，标签频次横跨约两个数量级且个体功能数波动剧烈，属于中重度不平衡而非极稀疏长尾。这些约束使依赖外部文本编码、本体图层级归约以及蛋白质相互作用网络（</w:t>
      </w:r>
      <w:r>
        <w:t>PPI</w:t>
      </w:r>
      <w:r>
        <w:t>）的方法无法施展，迫使算法必须在</w:t>
      </w:r>
      <w:r>
        <w:t>“</w:t>
      </w:r>
      <w:r>
        <w:t>仅依赖一级序列</w:t>
      </w:r>
      <w:r>
        <w:t>”</w:t>
      </w:r>
      <w:r>
        <w:t>的边界内探索最本征的判别规律。</w:t>
      </w:r>
    </w:p>
    <w:p w14:paraId="4F41F5BA" w14:textId="77777777" w:rsidR="00E30FFE" w:rsidRDefault="002B33A7">
      <w:pPr>
        <w:ind w:firstLine="480"/>
        <w:jc w:val="both"/>
      </w:pPr>
      <w:r>
        <w:t>目前纯序列功能推断方法主要依托两大范式：其一是基于进化保守性的局部序列对齐与同源转移方法。</w:t>
      </w:r>
      <w:r>
        <w:t>BLAST</w:t>
      </w:r>
      <w:r>
        <w:rPr>
          <w:sz w:val="21"/>
          <w:szCs w:val="21"/>
          <w:vertAlign w:val="superscript"/>
        </w:rPr>
        <w:t>[6]</w:t>
      </w:r>
      <w:r>
        <w:t xml:space="preserve"> </w:t>
      </w:r>
      <w:r>
        <w:t>与</w:t>
      </w:r>
      <w:r>
        <w:t xml:space="preserve"> DIAMOND</w:t>
      </w:r>
      <w:r>
        <w:rPr>
          <w:sz w:val="21"/>
          <w:szCs w:val="21"/>
          <w:vertAlign w:val="superscript"/>
        </w:rPr>
        <w:t>[7,8]</w:t>
      </w:r>
      <w:r>
        <w:t xml:space="preserve"> </w:t>
      </w:r>
      <w:r>
        <w:t>通过局部比对检索已标注序列库，将同源邻居的标签按一致度加权聚合。该范式在近缘同源充分时精度极高，但在序列一致度低于</w:t>
      </w:r>
      <w:r>
        <w:t xml:space="preserve"> 30% </w:t>
      </w:r>
      <w:r>
        <w:t>的</w:t>
      </w:r>
      <w:r>
        <w:t>“</w:t>
      </w:r>
      <w:r>
        <w:t>暮光区</w:t>
      </w:r>
      <w:r>
        <w:t>”</w:t>
      </w:r>
      <w:r>
        <w:t>或无命中（</w:t>
      </w:r>
      <w:r>
        <w:t>Homology-Miss</w:t>
      </w:r>
      <w:r>
        <w:t>）孤儿序列上，其有效信号趋近于零</w:t>
      </w:r>
      <w:r>
        <w:rPr>
          <w:sz w:val="21"/>
          <w:szCs w:val="21"/>
          <w:vertAlign w:val="superscript"/>
        </w:rPr>
        <w:t>[28]</w:t>
      </w:r>
      <w:r>
        <w:t>。其二是端到端深度学习表征模型，包括多尺度一维膨胀卷积（</w:t>
      </w:r>
      <w:r>
        <w:t>Dilated 1D CNN</w:t>
      </w:r>
      <w:r>
        <w:t>）</w:t>
      </w:r>
      <w:r>
        <w:rPr>
          <w:sz w:val="21"/>
          <w:szCs w:val="21"/>
          <w:vertAlign w:val="superscript"/>
        </w:rPr>
        <w:t>[9,10,11]</w:t>
      </w:r>
      <w:r>
        <w:t xml:space="preserve"> </w:t>
      </w:r>
      <w:r>
        <w:t>与旋转位置编码自注意力网络（</w:t>
      </w:r>
      <w:r>
        <w:t>RoFormer</w:t>
      </w:r>
      <w:r>
        <w:t>）</w:t>
      </w:r>
      <w:r>
        <w:rPr>
          <w:sz w:val="21"/>
          <w:szCs w:val="21"/>
          <w:vertAlign w:val="superscript"/>
        </w:rPr>
        <w:t>[14]</w:t>
      </w:r>
      <w:r>
        <w:t>。深度模型能够抽象长程语义与复杂非局部特征，在无同源孤儿蛋白上提供关键的预测托底，但在高相似度样本上的局部判别锐度却明显落后于高精度比对工具。</w:t>
      </w:r>
    </w:p>
    <w:p w14:paraId="307CB7B7" w14:textId="77777777" w:rsidR="00E30FFE" w:rsidRDefault="002B33A7">
      <w:pPr>
        <w:ind w:firstLine="480"/>
        <w:jc w:val="both"/>
      </w:pPr>
      <w:r>
        <w:t>融合上述异构表征时，常规的线性概率加权面临严重的量纲失配挑战：比对得分后验高度尖锐且动态范围很大，而深度模型的</w:t>
      </w:r>
      <w:r>
        <w:t xml:space="preserve"> Sigmoid </w:t>
      </w:r>
      <w:r>
        <w:t>概率输出相对平缓，强行加权往往导致弱势分支被彻底淹没；若采用元学习堆叠分类器（</w:t>
      </w:r>
      <w:r>
        <w:t>Stacking</w:t>
      </w:r>
      <w:r>
        <w:t>）</w:t>
      </w:r>
      <w:r>
        <w:rPr>
          <w:sz w:val="21"/>
          <w:szCs w:val="21"/>
          <w:vertAlign w:val="superscript"/>
        </w:rPr>
        <w:t>[26]</w:t>
      </w:r>
      <w:r>
        <w:t>，基学习器之间的高度相关性又极易诱发局部校准过拟合。在推断决策阶段，各蛋白质的实际激活标签数（行基数）与全库各功能的先验发生频率（列边际）存在明确的先验约束，脱离双边际约束的独立贪心阈值搜索难以抵御宏观统计漂移。</w:t>
      </w:r>
    </w:p>
    <w:p w14:paraId="3BA0A479" w14:textId="77777777" w:rsidR="00E30FFE" w:rsidRDefault="002B33A7">
      <w:pPr>
        <w:pStyle w:val="2"/>
        <w:keepNext/>
      </w:pPr>
      <w:bookmarkStart w:id="2" w:name="_Toc241140351"/>
      <w:r>
        <w:t>1.2</w:t>
      </w:r>
      <w:r>
        <w:t xml:space="preserve">　相关理论综述</w:t>
      </w:r>
      <w:bookmarkEnd w:id="2"/>
    </w:p>
    <w:p w14:paraId="1CD28A41" w14:textId="77777777" w:rsidR="00E30FFE" w:rsidRDefault="002B33A7">
      <w:pPr>
        <w:ind w:firstLine="480"/>
        <w:jc w:val="both"/>
      </w:pPr>
      <w:r>
        <w:t>同源迁移路线：以</w:t>
      </w:r>
      <w:r>
        <w:t xml:space="preserve"> BLAST</w:t>
      </w:r>
      <w:r>
        <w:rPr>
          <w:sz w:val="21"/>
          <w:szCs w:val="21"/>
          <w:vertAlign w:val="superscript"/>
        </w:rPr>
        <w:t>[6]</w:t>
      </w:r>
      <w:r>
        <w:t xml:space="preserve"> </w:t>
      </w:r>
      <w:r>
        <w:t>与</w:t>
      </w:r>
      <w:r>
        <w:t xml:space="preserve"> DIAMOND</w:t>
      </w:r>
      <w:r>
        <w:rPr>
          <w:sz w:val="21"/>
          <w:szCs w:val="21"/>
          <w:vertAlign w:val="superscript"/>
        </w:rPr>
        <w:t>[7,8]</w:t>
      </w:r>
      <w:r>
        <w:t xml:space="preserve"> </w:t>
      </w:r>
      <w:r>
        <w:t>等局部比对工具将已标注同源体的标签按一致度加权转移，是</w:t>
      </w:r>
      <w:r>
        <w:t xml:space="preserve"> CAFA </w:t>
      </w:r>
      <w:r>
        <w:t>系列评测公认的高硬度基线</w:t>
      </w:r>
      <w:r>
        <w:rPr>
          <w:sz w:val="21"/>
          <w:szCs w:val="21"/>
          <w:vertAlign w:val="superscript"/>
        </w:rPr>
        <w:t>[4,5]</w:t>
      </w:r>
      <w:r>
        <w:t>。聚合方式的研究包括</w:t>
      </w:r>
      <w:r>
        <w:t xml:space="preserve"> bitscore </w:t>
      </w:r>
      <w:r>
        <w:t>加权、近邻投票与语义加权</w:t>
      </w:r>
      <w:r>
        <w:rPr>
          <w:sz w:val="21"/>
          <w:szCs w:val="21"/>
          <w:vertAlign w:val="superscript"/>
        </w:rPr>
        <w:t>[24]</w:t>
      </w:r>
      <w:r>
        <w:t>；检索深度与弱同源噪声的权衡亦有系统评估</w:t>
      </w:r>
      <w:r>
        <w:rPr>
          <w:sz w:val="21"/>
          <w:szCs w:val="21"/>
          <w:vertAlign w:val="superscript"/>
        </w:rPr>
        <w:t>[28,42]</w:t>
      </w:r>
      <w:r>
        <w:t>。深度序列路线：</w:t>
      </w:r>
      <w:r>
        <w:t>DeepGOPlus</w:t>
      </w:r>
      <w:r>
        <w:rPr>
          <w:sz w:val="21"/>
          <w:szCs w:val="21"/>
          <w:vertAlign w:val="superscript"/>
        </w:rPr>
        <w:t>[9]</w:t>
      </w:r>
      <w:r>
        <w:t xml:space="preserve"> </w:t>
      </w:r>
      <w:r>
        <w:t>与</w:t>
      </w:r>
      <w:r>
        <w:t xml:space="preserve"> ProteInfer</w:t>
      </w:r>
      <w:r>
        <w:rPr>
          <w:sz w:val="21"/>
          <w:szCs w:val="21"/>
          <w:vertAlign w:val="superscript"/>
        </w:rPr>
        <w:t>[10]</w:t>
      </w:r>
      <w:r>
        <w:t xml:space="preserve"> </w:t>
      </w:r>
      <w:r>
        <w:t>用卷积网络直接处理序列，</w:t>
      </w:r>
      <w:r>
        <w:t>GOLabeler</w:t>
      </w:r>
      <w:r>
        <w:rPr>
          <w:sz w:val="21"/>
          <w:szCs w:val="21"/>
          <w:vertAlign w:val="superscript"/>
        </w:rPr>
        <w:t>[22]</w:t>
      </w:r>
      <w:r>
        <w:t xml:space="preserve"> </w:t>
      </w:r>
      <w:r>
        <w:t>与</w:t>
      </w:r>
      <w:r>
        <w:t xml:space="preserve"> NetGO</w:t>
      </w:r>
      <w:r>
        <w:rPr>
          <w:sz w:val="21"/>
          <w:szCs w:val="21"/>
          <w:vertAlign w:val="superscript"/>
        </w:rPr>
        <w:t>[23]</w:t>
      </w:r>
      <w:r>
        <w:t xml:space="preserve"> </w:t>
      </w:r>
      <w:r>
        <w:t>系列将学习排序与多源特征融合推向大规模标注。预训练语言模型路线：</w:t>
      </w:r>
      <w:r>
        <w:t>ESM-2</w:t>
      </w:r>
      <w:r>
        <w:rPr>
          <w:sz w:val="21"/>
          <w:szCs w:val="21"/>
          <w:vertAlign w:val="superscript"/>
        </w:rPr>
        <w:t>[15]</w:t>
      </w:r>
      <w:r>
        <w:t xml:space="preserve"> </w:t>
      </w:r>
      <w:r>
        <w:t>与</w:t>
      </w:r>
      <w:r>
        <w:t xml:space="preserve"> ProtTrans</w:t>
      </w:r>
      <w:r>
        <w:rPr>
          <w:sz w:val="21"/>
          <w:szCs w:val="21"/>
          <w:vertAlign w:val="superscript"/>
        </w:rPr>
        <w:t>[32]</w:t>
      </w:r>
      <w:r>
        <w:t xml:space="preserve"> </w:t>
      </w:r>
      <w:r>
        <w:t>的蛋白级嵌入配合线性头即达到强判别力，且与比对信息来源不同。融合与决策路线：非参数秩融合</w:t>
      </w:r>
      <w:r>
        <w:rPr>
          <w:sz w:val="21"/>
          <w:szCs w:val="21"/>
          <w:vertAlign w:val="superscript"/>
        </w:rPr>
        <w:t>[16]</w:t>
      </w:r>
      <w:r>
        <w:t xml:space="preserve"> </w:t>
      </w:r>
      <w:r>
        <w:t>规避多源分数的尺度失配，最优传输</w:t>
      </w:r>
      <w:r>
        <w:rPr>
          <w:sz w:val="21"/>
          <w:szCs w:val="21"/>
          <w:vertAlign w:val="superscript"/>
        </w:rPr>
        <w:t>[17,18]</w:t>
      </w:r>
      <w:r>
        <w:t xml:space="preserve"> </w:t>
      </w:r>
      <w:r>
        <w:t>提供带边际约束的全局重排，逐标签阈值策略</w:t>
      </w:r>
      <w:r>
        <w:rPr>
          <w:sz w:val="21"/>
          <w:szCs w:val="21"/>
          <w:vertAlign w:val="superscript"/>
        </w:rPr>
        <w:t>[19]</w:t>
      </w:r>
      <w:r>
        <w:t xml:space="preserve"> </w:t>
      </w:r>
      <w:r>
        <w:t>贴合宏</w:t>
      </w:r>
      <w:r>
        <w:t xml:space="preserve"> F1 </w:t>
      </w:r>
      <w:r>
        <w:t>指标；集成理论亦警告分支多样性度量与集成精度仅有微弱相关</w:t>
      </w:r>
      <w:r>
        <w:rPr>
          <w:sz w:val="21"/>
          <w:szCs w:val="21"/>
          <w:vertAlign w:val="superscript"/>
        </w:rPr>
        <w:t>[35,36]</w:t>
      </w:r>
      <w:r>
        <w:t>。</w:t>
      </w:r>
    </w:p>
    <w:p w14:paraId="540EA05A" w14:textId="77777777" w:rsidR="00E30FFE" w:rsidRDefault="002B33A7">
      <w:pPr>
        <w:ind w:firstLine="480"/>
        <w:jc w:val="both"/>
      </w:pPr>
      <w:r>
        <w:t>针对上述核心挑战，本文提出了融合预训练语言模型的分层双路径秩融合与双边际最优传输网络（</w:t>
      </w:r>
      <w:r>
        <w:t>HDMR-Sinkhorn</w:t>
      </w:r>
      <w:r>
        <w:t>）。本文的主要工作与创新点包括：</w:t>
      </w:r>
    </w:p>
    <w:p w14:paraId="502A7423" w14:textId="77777777" w:rsidR="00E30FFE" w:rsidRDefault="002B33A7">
      <w:pPr>
        <w:ind w:firstLine="480"/>
        <w:jc w:val="both"/>
      </w:pPr>
      <w:r>
        <w:rPr>
          <w:b/>
          <w:bCs/>
        </w:rPr>
        <w:t>（</w:t>
      </w:r>
      <w:r>
        <w:rPr>
          <w:b/>
          <w:bCs/>
        </w:rPr>
        <w:t>1</w:t>
      </w:r>
      <w:r>
        <w:rPr>
          <w:b/>
          <w:bCs/>
        </w:rPr>
        <w:t>）解析实验数据集的全局分布特征并划定方法边界：</w:t>
      </w:r>
      <w:r>
        <w:t>对</w:t>
      </w:r>
      <w:r>
        <w:t xml:space="preserve"> 113,796 </w:t>
      </w:r>
      <w:r>
        <w:t>条蛋白质全长序列做探索性数据分析，定量刻画了序列长度的对数正态偏斜、基数离散波动，以及前</w:t>
      </w:r>
      <w:r>
        <w:t xml:space="preserve"> 20% </w:t>
      </w:r>
      <w:r>
        <w:t>头部标签占</w:t>
      </w:r>
      <w:r>
        <w:t xml:space="preserve"> 62.3% </w:t>
      </w:r>
      <w:r>
        <w:t>标注量的不平衡结构；同时核实</w:t>
      </w:r>
      <w:r>
        <w:t xml:space="preserve"> 500 </w:t>
      </w:r>
      <w:r>
        <w:t>个标签全部稠密（最低频标签仍有千级正例），将任务定位于中重度不平衡，排除了稀有类方法的作用空间。</w:t>
      </w:r>
    </w:p>
    <w:p w14:paraId="07B63B95" w14:textId="77777777" w:rsidR="00E30FFE" w:rsidRDefault="002B33A7">
      <w:pPr>
        <w:ind w:firstLine="480"/>
        <w:jc w:val="both"/>
      </w:pPr>
      <w:r>
        <w:rPr>
          <w:b/>
          <w:bCs/>
        </w:rPr>
        <w:t>（</w:t>
      </w:r>
      <w:r>
        <w:rPr>
          <w:b/>
          <w:bCs/>
        </w:rPr>
        <w:t>2</w:t>
      </w:r>
      <w:r>
        <w:rPr>
          <w:b/>
          <w:bCs/>
        </w:rPr>
        <w:t>）构建互补解耦的三路径特征表征架构：</w:t>
      </w:r>
      <w:r>
        <w:t>序列感知侧结合多尺度膨胀残差卷积、类别特异性残基注意力（</w:t>
      </w:r>
      <w:r>
        <w:t>CSRA</w:t>
      </w:r>
      <w:r>
        <w:t>）与</w:t>
      </w:r>
      <w:r>
        <w:t xml:space="preserve"> RoFormer</w:t>
      </w:r>
      <w:r>
        <w:t>，；同源转移侧融合</w:t>
      </w:r>
      <w:r>
        <w:t xml:space="preserve"> DIAMOND </w:t>
      </w:r>
      <w:r>
        <w:t>比对（</w:t>
      </w:r>
      <w:r>
        <w:t xml:space="preserve">top-3 </w:t>
      </w:r>
      <w:r>
        <w:t>加权加二跳传递）与多尺度</w:t>
      </w:r>
      <w:r>
        <w:t xml:space="preserve"> k-mer </w:t>
      </w:r>
      <w:r>
        <w:t>频数流形；语言模型侧将冻结</w:t>
      </w:r>
      <w:r>
        <w:t xml:space="preserve"> ESM2 </w:t>
      </w:r>
      <w:r>
        <w:t>与</w:t>
      </w:r>
      <w:r>
        <w:t xml:space="preserve"> ProtBERT </w:t>
      </w:r>
      <w:r>
        <w:t>的拼接嵌入经多种子残差多层感知机线性注入深度分支。</w:t>
      </w:r>
    </w:p>
    <w:p w14:paraId="751886F0" w14:textId="77777777" w:rsidR="00E30FFE" w:rsidRDefault="002B33A7">
      <w:pPr>
        <w:ind w:firstLine="480"/>
        <w:jc w:val="both"/>
      </w:pPr>
      <w:r>
        <w:rPr>
          <w:b/>
          <w:bCs/>
        </w:rPr>
        <w:t>（</w:t>
      </w:r>
      <w:r>
        <w:rPr>
          <w:b/>
          <w:bCs/>
        </w:rPr>
        <w:t>3</w:t>
      </w:r>
      <w:r>
        <w:rPr>
          <w:b/>
          <w:bCs/>
        </w:rPr>
        <w:t>）引入无参数互惠秩融合（</w:t>
      </w:r>
      <w:r>
        <w:rPr>
          <w:b/>
          <w:bCs/>
        </w:rPr>
        <w:t>RRF</w:t>
      </w:r>
      <w:r>
        <w:rPr>
          <w:b/>
          <w:bCs/>
        </w:rPr>
        <w:t>）解决量纲失配：</w:t>
      </w:r>
      <w:r>
        <w:t>在序数空间内完成各路证据的重排加权，规避数值刻度不一致导致的表征淹没与参数化堆叠的校准过拟合。</w:t>
      </w:r>
    </w:p>
    <w:p w14:paraId="48FD8DCA" w14:textId="77777777" w:rsidR="00E30FFE" w:rsidRDefault="002B33A7">
      <w:pPr>
        <w:ind w:firstLine="480"/>
        <w:jc w:val="both"/>
      </w:pPr>
      <w:r>
        <w:rPr>
          <w:b/>
          <w:bCs/>
        </w:rPr>
        <w:t>（</w:t>
      </w:r>
      <w:r>
        <w:rPr>
          <w:b/>
          <w:bCs/>
        </w:rPr>
        <w:t>4</w:t>
      </w:r>
      <w:r>
        <w:rPr>
          <w:b/>
          <w:bCs/>
        </w:rPr>
        <w:t>）形式化建立双边际约束的最优传输（</w:t>
      </w:r>
      <w:r>
        <w:rPr>
          <w:b/>
          <w:bCs/>
        </w:rPr>
        <w:t>Sinkhorn</w:t>
      </w:r>
      <w:r>
        <w:rPr>
          <w:b/>
          <w:bCs/>
        </w:rPr>
        <w:t>）推断正则化：</w:t>
      </w:r>
      <w:r>
        <w:t>将多标签分配映射至带行基数与列频率约束的传输多胞形，用</w:t>
      </w:r>
      <w:r>
        <w:t xml:space="preserve"> Sinkhorn-Knopp </w:t>
      </w:r>
      <w:r>
        <w:t>迭代消除频数先验偏差，改善低频标签召回。</w:t>
      </w:r>
    </w:p>
    <w:p w14:paraId="423547BD" w14:textId="77777777" w:rsidR="00E30FFE" w:rsidRDefault="002B33A7">
      <w:pPr>
        <w:ind w:firstLine="480"/>
        <w:jc w:val="both"/>
      </w:pPr>
      <w:r>
        <w:rPr>
          <w:b/>
          <w:bCs/>
        </w:rPr>
        <w:t>（</w:t>
      </w:r>
      <w:r>
        <w:rPr>
          <w:b/>
          <w:bCs/>
        </w:rPr>
        <w:t>5</w:t>
      </w:r>
      <w:r>
        <w:rPr>
          <w:b/>
          <w:bCs/>
        </w:rPr>
        <w:t>）系统级分析给出两点结论：</w:t>
      </w:r>
      <w:r>
        <w:t>排序头部的召回由同源分支主导，全局</w:t>
      </w:r>
      <w:r>
        <w:t xml:space="preserve"> AUC </w:t>
      </w:r>
      <w:r>
        <w:t>不能替代头部召回诊断；四组受控实验证实单分支的独立增益不必然传导为融合增益，</w:t>
      </w:r>
      <w:r>
        <w:t xml:space="preserve">12 </w:t>
      </w:r>
      <w:r>
        <w:t>条候选策略轴的实测关闭划定了后续工作的边界。</w:t>
      </w:r>
    </w:p>
    <w:p w14:paraId="110DF0D5" w14:textId="77777777" w:rsidR="00E30FFE" w:rsidRDefault="002B33A7">
      <w:pPr>
        <w:pStyle w:val="1"/>
        <w:keepNext/>
        <w:pageBreakBefore/>
        <w:spacing w:before="0" w:after="240"/>
      </w:pPr>
      <w:bookmarkStart w:id="3" w:name="_Toc241140352"/>
      <w:r>
        <w:t>第</w:t>
      </w:r>
      <w:r>
        <w:t>2</w:t>
      </w:r>
      <w:r>
        <w:t>章　数据整理与探索性分析</w:t>
      </w:r>
      <w:bookmarkEnd w:id="3"/>
    </w:p>
    <w:p w14:paraId="5EDCE6AE" w14:textId="77777777" w:rsidR="00E30FFE" w:rsidRDefault="002B33A7">
      <w:pPr>
        <w:ind w:firstLine="480"/>
        <w:jc w:val="both"/>
      </w:pPr>
      <w:r>
        <w:t>为了建立科学严谨的建模假设，我们首先对基准实验数据集做全面的探索性数据分析（</w:t>
      </w:r>
      <w:r>
        <w:t>Exploratory Data Analysis, EDA</w:t>
      </w:r>
      <w:r>
        <w:t>）。数据集共包含</w:t>
      </w:r>
      <w:r>
        <w:t xml:space="preserve"> </w:t>
      </w:r>
      <w:r>
        <w:rPr>
          <w:i/>
          <w:iCs/>
        </w:rPr>
        <w:t>N = 113,796</w:t>
      </w:r>
      <w:r>
        <w:t xml:space="preserve"> </w:t>
      </w:r>
      <w:r>
        <w:t>条多物种全长蛋白质序列，目标标签空间包含</w:t>
      </w:r>
      <w:r>
        <w:t xml:space="preserve"> </w:t>
      </w:r>
      <w:r>
        <w:rPr>
          <w:i/>
          <w:iCs/>
        </w:rPr>
        <w:t>M = 500</w:t>
      </w:r>
      <w:r>
        <w:t xml:space="preserve"> </w:t>
      </w:r>
      <w:r>
        <w:t>个去语义化的二值功能类别。图</w:t>
      </w:r>
      <w:r>
        <w:t xml:space="preserve"> 2.1 </w:t>
      </w:r>
      <w:r>
        <w:t>从序列长度、实例标签基数以及标签频次分布三个维度展示了数据的宏观全景特征。</w:t>
      </w:r>
    </w:p>
    <w:p w14:paraId="5B8A901A" w14:textId="77777777" w:rsidR="00E30FFE" w:rsidRDefault="002B33A7">
      <w:pPr>
        <w:pStyle w:val="2"/>
        <w:keepNext/>
      </w:pPr>
      <w:bookmarkStart w:id="4" w:name="_Toc241140353"/>
      <w:r>
        <w:t>2.1</w:t>
      </w:r>
      <w:r>
        <w:t xml:space="preserve">　数据整理与预处理</w:t>
      </w:r>
      <w:bookmarkEnd w:id="4"/>
    </w:p>
    <w:p w14:paraId="6DC72F0D" w14:textId="77777777" w:rsidR="00E30FFE" w:rsidRDefault="002B33A7">
      <w:pPr>
        <w:ind w:firstLine="480"/>
        <w:jc w:val="both"/>
      </w:pPr>
      <w:r>
        <w:t>原始数据为两份</w:t>
      </w:r>
      <w:r>
        <w:t xml:space="preserve"> CSV </w:t>
      </w:r>
      <w:r>
        <w:t>表：训练集</w:t>
      </w:r>
      <w:r>
        <w:t xml:space="preserve"> 113,796 </w:t>
      </w:r>
      <w:r>
        <w:t>条带标签序列与测试集</w:t>
      </w:r>
      <w:r>
        <w:t xml:space="preserve"> 28,450 </w:t>
      </w:r>
      <w:r>
        <w:t>条待预测序列，无缺失字段；蛋白质序列为完整一级结构，不存在序列内缺失值问题。数据整理包括四步：其一，长度控制，超过</w:t>
      </w:r>
      <w:r>
        <w:t xml:space="preserve"> 1,022 </w:t>
      </w:r>
      <w:r>
        <w:t>个残基（</w:t>
      </w:r>
      <w:r>
        <w:t xml:space="preserve">ESM-2 </w:t>
      </w:r>
      <w:r>
        <w:t>的</w:t>
      </w:r>
      <w:r>
        <w:t xml:space="preserve"> token </w:t>
      </w:r>
      <w:r>
        <w:t>上限</w:t>
      </w:r>
      <w:r>
        <w:t xml:space="preserve"> 1,024</w:t>
      </w:r>
      <w:r>
        <w:t>）的长链在模型输入端做头部截断，该阈值覆盖</w:t>
      </w:r>
      <w:r>
        <w:t xml:space="preserve"> 89.3% </w:t>
      </w:r>
      <w:r>
        <w:t>的全长序列，被截断的</w:t>
      </w:r>
      <w:r>
        <w:t xml:space="preserve"> 10.7% </w:t>
      </w:r>
      <w:r>
        <w:t>长链合计损失</w:t>
      </w:r>
      <w:r>
        <w:t xml:space="preserve"> 14.1% </w:t>
      </w:r>
      <w:r>
        <w:t>的残基（见</w:t>
      </w:r>
      <w:r>
        <w:t xml:space="preserve"> 2.3 </w:t>
      </w:r>
      <w:r>
        <w:t>节）；其二，特征化，同一序列分别以独热编码（</w:t>
      </w:r>
      <w:r>
        <w:t xml:space="preserve">21 </w:t>
      </w:r>
      <w:r>
        <w:t>通道）、多尺度</w:t>
      </w:r>
      <w:r>
        <w:t xml:space="preserve"> k-mer </w:t>
      </w:r>
      <w:r>
        <w:t>频数谱（</w:t>
      </w:r>
      <w:r>
        <w:t>k=3~8</w:t>
      </w:r>
      <w:r>
        <w:t>）与预训练语言模型嵌入（</w:t>
      </w:r>
      <w:r>
        <w:t xml:space="preserve">640 </w:t>
      </w:r>
      <w:r>
        <w:t>维加</w:t>
      </w:r>
      <w:r>
        <w:t xml:space="preserve"> 1024 </w:t>
      </w:r>
      <w:r>
        <w:t>维）三种形式进入不同分支；其三，比对证据清洗，</w:t>
      </w:r>
      <w:r>
        <w:t xml:space="preserve">DIAMOND </w:t>
      </w:r>
      <w:r>
        <w:t>命中按</w:t>
      </w:r>
      <w:r>
        <w:t xml:space="preserve"> E-value ≤ 0.001 </w:t>
      </w:r>
      <w:r>
        <w:t>截断并保留</w:t>
      </w:r>
      <w:r>
        <w:t xml:space="preserve"> bitscore </w:t>
      </w:r>
      <w:r>
        <w:t>最高的前</w:t>
      </w:r>
      <w:r>
        <w:t xml:space="preserve"> 5 </w:t>
      </w:r>
      <w:r>
        <w:t>条候选，聚合时取其中前</w:t>
      </w:r>
      <w:r>
        <w:t xml:space="preserve"> 3 </w:t>
      </w:r>
      <w:r>
        <w:t>条加权；其四，数据划分，按</w:t>
      </w:r>
      <w:r>
        <w:t xml:space="preserve"> 8:2 </w:t>
      </w:r>
      <w:r>
        <w:t>随机切分训练与验证子集，比对数据库仅由训练侧序列构建，测试集序列不进入任何训练环节（防泄漏细节见</w:t>
      </w:r>
      <w:r>
        <w:t xml:space="preserve"> 4.1 </w:t>
      </w:r>
      <w:r>
        <w:t>节）。</w:t>
      </w:r>
    </w:p>
    <w:p w14:paraId="0D64FE5C" w14:textId="77777777" w:rsidR="00E30FFE" w:rsidRDefault="002B33A7">
      <w:pPr>
        <w:keepNext/>
        <w:spacing w:before="180" w:after="100" w:line="240" w:lineRule="auto"/>
        <w:jc w:val="center"/>
      </w:pPr>
      <w:r>
        <w:rPr>
          <w:noProof/>
        </w:rPr>
        <w:drawing>
          <wp:inline distT="0" distB="0" distL="0" distR="0" wp14:anchorId="438707F4" wp14:editId="2E48F10F">
            <wp:extent cx="5524500" cy="17240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724025"/>
                    </a:xfrm>
                    <a:prstGeom prst="rect">
                      <a:avLst/>
                    </a:prstGeom>
                  </pic:spPr>
                </pic:pic>
              </a:graphicData>
            </a:graphic>
          </wp:inline>
        </w:drawing>
      </w:r>
    </w:p>
    <w:p w14:paraId="767ED3FA" w14:textId="77777777" w:rsidR="00E30FFE" w:rsidRDefault="002B33A7">
      <w:pPr>
        <w:keepNext/>
        <w:keepLines/>
        <w:spacing w:before="100" w:after="20"/>
        <w:jc w:val="center"/>
      </w:pPr>
      <w:r>
        <w:rPr>
          <w:rFonts w:eastAsia="黑体"/>
          <w:sz w:val="21"/>
          <w:szCs w:val="21"/>
        </w:rPr>
        <w:t>图</w:t>
      </w:r>
      <w:r>
        <w:rPr>
          <w:b/>
          <w:bCs/>
          <w:sz w:val="21"/>
          <w:szCs w:val="21"/>
        </w:rPr>
        <w:t>2.1</w:t>
      </w:r>
      <w:r>
        <w:rPr>
          <w:rFonts w:eastAsia="黑体"/>
          <w:sz w:val="21"/>
          <w:szCs w:val="21"/>
        </w:rPr>
        <w:t xml:space="preserve">　数据集探索性数据分析：</w:t>
      </w:r>
      <w:r>
        <w:rPr>
          <w:rFonts w:eastAsia="黑体"/>
          <w:sz w:val="21"/>
          <w:szCs w:val="21"/>
        </w:rPr>
        <w:t xml:space="preserve">(a) </w:t>
      </w:r>
      <w:r>
        <w:rPr>
          <w:rFonts w:eastAsia="黑体"/>
          <w:sz w:val="21"/>
          <w:szCs w:val="21"/>
        </w:rPr>
        <w:t>序列长度对数分布；</w:t>
      </w:r>
      <w:r>
        <w:rPr>
          <w:rFonts w:eastAsia="黑体"/>
          <w:sz w:val="21"/>
          <w:szCs w:val="21"/>
        </w:rPr>
        <w:t xml:space="preserve">(b) </w:t>
      </w:r>
      <w:r>
        <w:rPr>
          <w:rFonts w:eastAsia="黑体"/>
          <w:sz w:val="21"/>
          <w:szCs w:val="21"/>
        </w:rPr>
        <w:t>单蛋白质功能标签基数分布；</w:t>
      </w:r>
      <w:r>
        <w:rPr>
          <w:rFonts w:eastAsia="黑体"/>
          <w:sz w:val="21"/>
          <w:szCs w:val="21"/>
        </w:rPr>
        <w:t xml:space="preserve">(c) 500 </w:t>
      </w:r>
      <w:r>
        <w:rPr>
          <w:rFonts w:eastAsia="黑体"/>
          <w:sz w:val="21"/>
          <w:szCs w:val="21"/>
        </w:rPr>
        <w:t>维标签频次降序与累积占比曲线</w:t>
      </w:r>
    </w:p>
    <w:p w14:paraId="7A9725BD" w14:textId="77777777" w:rsidR="00E30FFE" w:rsidRDefault="002B33A7">
      <w:pPr>
        <w:keepLines/>
        <w:spacing w:after="60"/>
        <w:jc w:val="center"/>
      </w:pPr>
      <w:r>
        <w:rPr>
          <w:color w:val="333333"/>
          <w:sz w:val="21"/>
          <w:szCs w:val="21"/>
        </w:rPr>
        <w:t xml:space="preserve">Fig. </w:t>
      </w:r>
      <w:r>
        <w:rPr>
          <w:b/>
          <w:bCs/>
          <w:color w:val="333333"/>
          <w:sz w:val="21"/>
          <w:szCs w:val="21"/>
        </w:rPr>
        <w:t>2.1</w:t>
      </w:r>
      <w:r>
        <w:rPr>
          <w:color w:val="333333"/>
          <w:sz w:val="21"/>
          <w:szCs w:val="21"/>
        </w:rPr>
        <w:t xml:space="preserve">  Exploratory data analysis: (a) sequence length; (b) label cardinality; (c) label frequency and cumulative share</w:t>
      </w:r>
    </w:p>
    <w:p w14:paraId="138FB0AF" w14:textId="77777777" w:rsidR="00E30FFE" w:rsidRDefault="002B33A7">
      <w:pPr>
        <w:pStyle w:val="2"/>
        <w:keepNext/>
      </w:pPr>
      <w:bookmarkStart w:id="5" w:name="_Toc241140354"/>
      <w:r>
        <w:t>2.2</w:t>
      </w:r>
      <w:r>
        <w:t xml:space="preserve">　探索性分析总览</w:t>
      </w:r>
      <w:bookmarkEnd w:id="5"/>
    </w:p>
    <w:p w14:paraId="0A79E825" w14:textId="77777777" w:rsidR="00E30FFE" w:rsidRDefault="002B33A7">
      <w:pPr>
        <w:pStyle w:val="2"/>
        <w:keepNext/>
      </w:pPr>
      <w:bookmarkStart w:id="6" w:name="_Toc241140355"/>
      <w:r>
        <w:t>2.3</w:t>
      </w:r>
      <w:r>
        <w:t xml:space="preserve">　蛋白质序列长度的偏态特征</w:t>
      </w:r>
      <w:bookmarkEnd w:id="6"/>
    </w:p>
    <w:p w14:paraId="01CB7A42" w14:textId="77777777" w:rsidR="00E30FFE" w:rsidRDefault="002B33A7">
      <w:pPr>
        <w:ind w:firstLine="480"/>
        <w:jc w:val="both"/>
      </w:pPr>
      <w:r>
        <w:t>图</w:t>
      </w:r>
      <w:r>
        <w:t xml:space="preserve"> 2.1 </w:t>
      </w:r>
      <w:r>
        <w:t>从三个维度给出数据全景。以下三节分别解读长度、基数与标签频次的结构特征。</w:t>
      </w:r>
    </w:p>
    <w:p w14:paraId="761DECE5" w14:textId="77777777" w:rsidR="00E30FFE" w:rsidRDefault="002B33A7">
      <w:pPr>
        <w:spacing w:line="400" w:lineRule="atLeast"/>
        <w:ind w:firstLine="480"/>
        <w:jc w:val="both"/>
      </w:pPr>
      <w:r>
        <w:t>图</w:t>
      </w:r>
      <w:r>
        <w:t xml:space="preserve"> 2.1a </w:t>
      </w:r>
      <w:r>
        <w:t>展示了氨基酸残基长度的概率密度直方图（对数横轴）。统计结果表明，序列长度均值为</w:t>
      </w:r>
      <w:r>
        <w:t xml:space="preserve"> </w:t>
      </w:r>
      <w:r>
        <w:rPr>
          <w:i/>
          <w:iCs/>
        </w:rPr>
        <w:t>553.2 aa</w:t>
      </w:r>
      <w:r>
        <w:t>，中位数为</w:t>
      </w:r>
      <w:r>
        <w:t xml:space="preserve"> </w:t>
      </w:r>
      <w:r>
        <w:rPr>
          <w:i/>
          <w:iCs/>
        </w:rPr>
        <w:t>410.0 aa</w:t>
      </w:r>
      <w:r>
        <w:t>，标准差为</w:t>
      </w:r>
      <w:r>
        <w:t xml:space="preserve"> </w:t>
      </w:r>
      <w:r>
        <w:rPr>
          <w:i/>
          <w:iCs/>
        </w:rPr>
        <w:t>643.5 aa</w:t>
      </w:r>
      <w:r>
        <w:t>。长度分布呈强正偏态（右偏长尾），其</w:t>
      </w:r>
      <w:r>
        <w:t xml:space="preserve"> 25% </w:t>
      </w:r>
      <w:r>
        <w:t>分位数、</w:t>
      </w:r>
      <w:r>
        <w:t xml:space="preserve">75% </w:t>
      </w:r>
      <w:r>
        <w:t>分位数与</w:t>
      </w:r>
      <w:r>
        <w:t xml:space="preserve"> 95% </w:t>
      </w:r>
      <w:r>
        <w:t>分位数分别为</w:t>
      </w:r>
      <w:r>
        <w:t xml:space="preserve"> </w:t>
      </w:r>
      <w:r>
        <w:rPr>
          <w:i/>
          <w:iCs/>
        </w:rPr>
        <w:t>247 aa</w:t>
      </w:r>
      <w:r>
        <w:t>、</w:t>
      </w:r>
      <w:r>
        <w:rPr>
          <w:i/>
          <w:iCs/>
        </w:rPr>
        <w:t>652 aa</w:t>
      </w:r>
      <w:r>
        <w:t xml:space="preserve"> </w:t>
      </w:r>
      <w:r>
        <w:t>与</w:t>
      </w:r>
      <w:r>
        <w:t xml:space="preserve"> </w:t>
      </w:r>
      <w:r>
        <w:rPr>
          <w:i/>
          <w:iCs/>
        </w:rPr>
        <w:t>1,434 aa</w:t>
      </w:r>
      <w:r>
        <w:t>，最长序列达</w:t>
      </w:r>
      <w:r>
        <w:t xml:space="preserve"> </w:t>
      </w:r>
      <w:r>
        <w:rPr>
          <w:i/>
          <w:iCs/>
        </w:rPr>
        <w:t>35,375 aa</w:t>
      </w:r>
      <w:r>
        <w:t>。这表明绝大多数（超</w:t>
      </w:r>
      <w:r>
        <w:t xml:space="preserve"> 95%</w:t>
      </w:r>
      <w:r>
        <w:t>）蛋白质的分子链处于</w:t>
      </w:r>
      <w:r>
        <w:t xml:space="preserve"> 1,500 aa </w:t>
      </w:r>
      <w:r>
        <w:t>以内。这为深度一维卷积网络采用局部最大截断（如</w:t>
      </w:r>
      <w:r>
        <w:t xml:space="preserve"> </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 xml:space="preserve"> = 1,024</m:t>
        </m:r>
      </m:oMath>
      <w:r>
        <w:t>）提供了高覆盖率保障，也提示：仅用全局平均池化会把千级长链中的关键功能模体稀释。</w:t>
      </w:r>
    </w:p>
    <w:p w14:paraId="751612DD" w14:textId="77777777" w:rsidR="00E30FFE" w:rsidRDefault="002B33A7">
      <w:pPr>
        <w:pStyle w:val="2"/>
        <w:keepNext/>
      </w:pPr>
      <w:bookmarkStart w:id="7" w:name="_Toc241140356"/>
      <w:r>
        <w:t>2.4</w:t>
      </w:r>
      <w:r>
        <w:t xml:space="preserve">　单蛋白质功能标签激活基数分布</w:t>
      </w:r>
      <w:bookmarkEnd w:id="7"/>
    </w:p>
    <w:p w14:paraId="6ADE9B00" w14:textId="77777777" w:rsidR="00E30FFE" w:rsidRDefault="002B33A7">
      <w:pPr>
        <w:spacing w:line="400" w:lineRule="atLeast"/>
        <w:ind w:firstLine="480"/>
        <w:jc w:val="both"/>
      </w:pPr>
      <w:r>
        <w:t>图</w:t>
      </w:r>
      <w:r>
        <w:t xml:space="preserve"> 2.1b </w:t>
      </w:r>
      <w:r>
        <w:t>刻画了单条蛋白质所分配的功能标签总数（即多标签基数，</w:t>
      </w:r>
      <w:r>
        <w:t>Cardinality</w:t>
      </w:r>
      <w:r>
        <w:t>）的频数分布。蛋白质的功能分配具有生理异质性：平均每条蛋白质包含</w:t>
      </w:r>
      <w:r>
        <w:t xml:space="preserve"> </w:t>
      </w:r>
      <w:r>
        <w:rPr>
          <w:i/>
          <w:iCs/>
        </w:rPr>
        <w:t>25.4</w:t>
      </w:r>
      <w:r>
        <w:t xml:space="preserve"> </w:t>
      </w:r>
      <w:r>
        <w:t>个功能标签，中位数为</w:t>
      </w:r>
      <w:r>
        <w:t xml:space="preserve"> </w:t>
      </w:r>
      <w:r>
        <w:rPr>
          <w:i/>
          <w:iCs/>
        </w:rPr>
        <w:t>17.0</w:t>
      </w:r>
      <w:r>
        <w:t>，标准差达</w:t>
      </w:r>
      <w:r>
        <w:t xml:space="preserve"> </w:t>
      </w:r>
      <w:r>
        <w:rPr>
          <w:i/>
          <w:iCs/>
        </w:rPr>
        <w:t>24.6</w:t>
      </w:r>
      <w:r>
        <w:t>。最少样本仅标注</w:t>
      </w:r>
      <w:r>
        <w:t xml:space="preserve"> 1 </w:t>
      </w:r>
      <w:r>
        <w:t>个功能，而最高功能复合度的多功能蛋白质标签数高达</w:t>
      </w:r>
      <w:r>
        <w:t xml:space="preserve"> </w:t>
      </w:r>
      <w:r>
        <w:rPr>
          <w:i/>
          <w:iCs/>
        </w:rPr>
        <w:t>273</w:t>
      </w:r>
      <w:r>
        <w:t xml:space="preserve"> </w:t>
      </w:r>
      <w:r>
        <w:t>个，</w:t>
      </w:r>
      <w:r>
        <w:t xml:space="preserve">90% </w:t>
      </w:r>
      <w:r>
        <w:t>和</w:t>
      </w:r>
      <w:r>
        <w:t xml:space="preserve"> 99% </w:t>
      </w:r>
      <w:r>
        <w:t>分位数分别为</w:t>
      </w:r>
      <w:r>
        <w:t xml:space="preserve"> </w:t>
      </w:r>
      <w:r>
        <w:rPr>
          <w:i/>
          <w:iCs/>
        </w:rPr>
        <w:t>57</w:t>
      </w:r>
      <w:r>
        <w:t xml:space="preserve"> </w:t>
      </w:r>
      <w:r>
        <w:t>与</w:t>
      </w:r>
      <w:r>
        <w:t xml:space="preserve"> </w:t>
      </w:r>
      <w:r>
        <w:rPr>
          <w:i/>
          <w:iCs/>
        </w:rPr>
        <w:t>117</w:t>
      </w:r>
      <w:r>
        <w:t>。这种剧烈的基数波动直接证伪了</w:t>
      </w:r>
      <w:r>
        <w:t>“</w:t>
      </w:r>
      <w:r>
        <w:t>对所有样本实施固定</w:t>
      </w:r>
      <w:r>
        <w:t xml:space="preserve"> Top-k </w:t>
      </w:r>
      <w:r>
        <w:t>截断</w:t>
      </w:r>
      <w:r>
        <w:t>”</w:t>
      </w:r>
      <w:r>
        <w:t>的粗暴策略，也为本文在后处理阶段按模型推断动态构建行边际先验</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w:r>
        <w:t>提供了直接依据。</w:t>
      </w:r>
    </w:p>
    <w:p w14:paraId="78ED2C6F" w14:textId="77777777" w:rsidR="00E30FFE" w:rsidRDefault="002B33A7">
      <w:pPr>
        <w:pStyle w:val="2"/>
        <w:keepNext/>
      </w:pPr>
      <w:bookmarkStart w:id="8" w:name="_Toc241140357"/>
      <w:r>
        <w:t>2.5</w:t>
      </w:r>
      <w:r>
        <w:t xml:space="preserve">　功能标签频次分布：中重度不平衡而非稀疏长尾</w:t>
      </w:r>
      <w:bookmarkEnd w:id="8"/>
    </w:p>
    <w:p w14:paraId="3DCE8BA5" w14:textId="77777777" w:rsidR="00E30FFE" w:rsidRDefault="002B33A7">
      <w:pPr>
        <w:ind w:firstLine="480"/>
        <w:jc w:val="both"/>
      </w:pPr>
      <w:r>
        <w:t>图</w:t>
      </w:r>
      <w:r>
        <w:t xml:space="preserve"> 2.1c </w:t>
      </w:r>
      <w:r>
        <w:t>揭示了</w:t>
      </w:r>
      <w:r>
        <w:t xml:space="preserve"> 500 </w:t>
      </w:r>
      <w:r>
        <w:t>个功能标签在训练集中的激活频次降序排列及其累积占比曲线（洛伦兹曲线风格）。频次最高的头部通用功能标签被激活</w:t>
      </w:r>
      <w:r>
        <w:t xml:space="preserve"> </w:t>
      </w:r>
      <w:r>
        <w:rPr>
          <w:i/>
          <w:iCs/>
        </w:rPr>
        <w:t>74,546</w:t>
      </w:r>
      <w:r>
        <w:t xml:space="preserve"> </w:t>
      </w:r>
      <w:r>
        <w:t>次（占样本总量的</w:t>
      </w:r>
      <w:r>
        <w:t xml:space="preserve"> 65.5%</w:t>
      </w:r>
      <w:r>
        <w:t>），频次最低的标签也被激活</w:t>
      </w:r>
      <w:r>
        <w:t xml:space="preserve"> </w:t>
      </w:r>
      <w:r>
        <w:rPr>
          <w:i/>
          <w:iCs/>
        </w:rPr>
        <w:t>1,287</w:t>
      </w:r>
      <w:r>
        <w:t xml:space="preserve"> </w:t>
      </w:r>
      <w:r>
        <w:t>次（占</w:t>
      </w:r>
      <w:r>
        <w:t xml:space="preserve"> 1.1%</w:t>
      </w:r>
      <w:r>
        <w:t>），极差约</w:t>
      </w:r>
      <w:r>
        <w:t xml:space="preserve"> 60 </w:t>
      </w:r>
      <w:r>
        <w:t>倍。累积分布方面：前</w:t>
      </w:r>
      <w:r>
        <w:t xml:space="preserve"> 10%</w:t>
      </w:r>
      <w:r>
        <w:t>（</w:t>
      </w:r>
      <w:r>
        <w:t xml:space="preserve">50 </w:t>
      </w:r>
      <w:r>
        <w:t>个）高频标签覆盖全集</w:t>
      </w:r>
      <w:r>
        <w:t xml:space="preserve"> </w:t>
      </w:r>
      <w:r>
        <w:rPr>
          <w:i/>
          <w:iCs/>
        </w:rPr>
        <w:t>46.9%</w:t>
      </w:r>
      <w:r>
        <w:t xml:space="preserve"> </w:t>
      </w:r>
      <w:r>
        <w:t>的标注总量，前</w:t>
      </w:r>
      <w:r>
        <w:t xml:space="preserve"> 20%</w:t>
      </w:r>
      <w:r>
        <w:t>（</w:t>
      </w:r>
      <w:r>
        <w:t xml:space="preserve">100 </w:t>
      </w:r>
      <w:r>
        <w:t>个）覆盖</w:t>
      </w:r>
      <w:r>
        <w:t xml:space="preserve"> </w:t>
      </w:r>
      <w:r>
        <w:rPr>
          <w:i/>
          <w:iCs/>
        </w:rPr>
        <w:t>62.3%</w:t>
      </w:r>
      <w:r>
        <w:t>，而后</w:t>
      </w:r>
      <w:r>
        <w:t xml:space="preserve"> 50%</w:t>
      </w:r>
      <w:r>
        <w:t>（</w:t>
      </w:r>
      <w:r>
        <w:t xml:space="preserve">250 </w:t>
      </w:r>
      <w:r>
        <w:t>个）标签合计仅分得</w:t>
      </w:r>
      <w:r>
        <w:t xml:space="preserve"> </w:t>
      </w:r>
      <w:r>
        <w:rPr>
          <w:i/>
          <w:iCs/>
        </w:rPr>
        <w:t>16.5%</w:t>
      </w:r>
      <w:r>
        <w:t>。</w:t>
      </w:r>
    </w:p>
    <w:p w14:paraId="37D01361" w14:textId="77777777" w:rsidR="00E30FFE" w:rsidRDefault="002B33A7">
      <w:pPr>
        <w:ind w:firstLine="480"/>
        <w:jc w:val="both"/>
      </w:pPr>
      <w:r>
        <w:t>值得注意的是频次下界：换算到</w:t>
      </w:r>
      <w:r>
        <w:t xml:space="preserve"> 8:2 </w:t>
      </w:r>
      <w:r>
        <w:t>切分的训练侧，最低频标签仍保有超过</w:t>
      </w:r>
      <w:r>
        <w:t xml:space="preserve"> 1,000 </w:t>
      </w:r>
      <w:r>
        <w:t>个正例样本，</w:t>
      </w:r>
      <w:r>
        <w:rPr>
          <w:b/>
          <w:bCs/>
        </w:rPr>
        <w:t xml:space="preserve">500 </w:t>
      </w:r>
      <w:r>
        <w:rPr>
          <w:b/>
          <w:bCs/>
        </w:rPr>
        <w:t>个标签全部稠密，不存在个位数观测的稀有类</w:t>
      </w:r>
      <w:r>
        <w:t>。因此任务应定位于「中重度不平衡」而非极稀疏长尾：逐标签阈值与列频率先验依然关键，</w:t>
      </w:r>
      <w:r>
        <w:t xml:space="preserve">60 </w:t>
      </w:r>
      <w:r>
        <w:t>倍频差足以让任何全局阈值失效；但稀有类重采样与度量学习在此缺乏作用对象。</w:t>
      </w:r>
    </w:p>
    <w:p w14:paraId="4484534B" w14:textId="77777777" w:rsidR="00E30FFE" w:rsidRDefault="002B33A7">
      <w:pPr>
        <w:pStyle w:val="1"/>
        <w:keepNext/>
        <w:pageBreakBefore/>
        <w:spacing w:before="0" w:after="240"/>
      </w:pPr>
      <w:bookmarkStart w:id="9" w:name="_Toc241140358"/>
      <w:r>
        <w:t>第</w:t>
      </w:r>
      <w:r>
        <w:t>3</w:t>
      </w:r>
      <w:r>
        <w:t>章　分析方案设计</w:t>
      </w:r>
      <w:bookmarkEnd w:id="9"/>
    </w:p>
    <w:p w14:paraId="237C4308" w14:textId="77777777" w:rsidR="00E30FFE" w:rsidRDefault="002B33A7">
      <w:pPr>
        <w:ind w:firstLine="480"/>
        <w:jc w:val="both"/>
      </w:pPr>
      <w:r>
        <w:t xml:space="preserve">HDMR-Sinkhorn </w:t>
      </w:r>
      <w:r>
        <w:t>框架的端到端推断数据流如图</w:t>
      </w:r>
      <w:r>
        <w:t xml:space="preserve"> 3.1 </w:t>
      </w:r>
      <w:r>
        <w:t>所示。流水线由三路特征抽取（深度序列感知、同源迁移、预训练语言模型）、无参数互惠秩融合以及双边际最优传输正则化串联而成。</w:t>
      </w:r>
    </w:p>
    <w:p w14:paraId="71245B20" w14:textId="77777777" w:rsidR="00E30FFE" w:rsidRDefault="002B33A7">
      <w:pPr>
        <w:keepNext/>
        <w:spacing w:before="180" w:after="100" w:line="240" w:lineRule="auto"/>
        <w:jc w:val="center"/>
      </w:pPr>
      <w:r>
        <w:rPr>
          <w:noProof/>
        </w:rPr>
        <w:drawing>
          <wp:inline distT="0" distB="0" distL="0" distR="0" wp14:anchorId="3F54A8FC" wp14:editId="2DE3B1E6">
            <wp:extent cx="5143500" cy="3857625"/>
            <wp:effectExtent l="0" t="0" r="0" b="0"/>
            <wp:docPr id="143338676" name="图片 14333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857625"/>
                    </a:xfrm>
                    <a:prstGeom prst="rect">
                      <a:avLst/>
                    </a:prstGeom>
                  </pic:spPr>
                </pic:pic>
              </a:graphicData>
            </a:graphic>
          </wp:inline>
        </w:drawing>
      </w:r>
    </w:p>
    <w:p w14:paraId="1AC8D6EF" w14:textId="77777777" w:rsidR="00E30FFE" w:rsidRDefault="002B33A7">
      <w:pPr>
        <w:keepNext/>
        <w:keepLines/>
        <w:spacing w:before="100" w:after="20"/>
        <w:jc w:val="center"/>
      </w:pPr>
      <w:r>
        <w:rPr>
          <w:rFonts w:eastAsia="黑体"/>
          <w:sz w:val="21"/>
          <w:szCs w:val="21"/>
        </w:rPr>
        <w:t>图</w:t>
      </w:r>
      <w:r>
        <w:rPr>
          <w:b/>
          <w:bCs/>
          <w:sz w:val="21"/>
          <w:szCs w:val="21"/>
        </w:rPr>
        <w:t>3.1</w:t>
      </w:r>
      <w:r>
        <w:rPr>
          <w:rFonts w:eastAsia="黑体"/>
          <w:sz w:val="21"/>
          <w:szCs w:val="21"/>
        </w:rPr>
        <w:t xml:space="preserve">　</w:t>
      </w:r>
      <w:r>
        <w:rPr>
          <w:rFonts w:eastAsia="黑体"/>
          <w:sz w:val="21"/>
          <w:szCs w:val="21"/>
        </w:rPr>
        <w:t xml:space="preserve">HDMR-Sinkhorn </w:t>
      </w:r>
      <w:r>
        <w:rPr>
          <w:rFonts w:eastAsia="黑体"/>
          <w:sz w:val="21"/>
          <w:szCs w:val="21"/>
        </w:rPr>
        <w:t>三路径架构与推断数据流总览</w:t>
      </w:r>
    </w:p>
    <w:p w14:paraId="25EA4F7D" w14:textId="77777777" w:rsidR="00E30FFE" w:rsidRDefault="002B33A7">
      <w:pPr>
        <w:keepLines/>
        <w:spacing w:after="60"/>
        <w:jc w:val="center"/>
      </w:pPr>
      <w:r>
        <w:rPr>
          <w:color w:val="333333"/>
          <w:sz w:val="21"/>
          <w:szCs w:val="21"/>
        </w:rPr>
        <w:t xml:space="preserve">Fig. </w:t>
      </w:r>
      <w:r>
        <w:rPr>
          <w:b/>
          <w:bCs/>
          <w:color w:val="333333"/>
          <w:sz w:val="21"/>
          <w:szCs w:val="21"/>
        </w:rPr>
        <w:t>3.1</w:t>
      </w:r>
      <w:r>
        <w:rPr>
          <w:color w:val="333333"/>
          <w:sz w:val="21"/>
          <w:szCs w:val="21"/>
        </w:rPr>
        <w:t xml:space="preserve">  Three-path architecture and inference pipeline of HDMR-Sinkhorn</w:t>
      </w:r>
    </w:p>
    <w:p w14:paraId="28F83EE3" w14:textId="77777777" w:rsidR="00E30FFE" w:rsidRDefault="002B33A7">
      <w:pPr>
        <w:pStyle w:val="2"/>
        <w:keepNext/>
      </w:pPr>
      <w:bookmarkStart w:id="10" w:name="_Toc241140359"/>
      <w:r>
        <w:t>3.1</w:t>
      </w:r>
      <w:r>
        <w:t xml:space="preserve">　分支</w:t>
      </w:r>
      <w:r>
        <w:t xml:space="preserve"> I</w:t>
      </w:r>
      <w:r>
        <w:t>：多尺度深度序列感知网络</w:t>
      </w:r>
      <w:bookmarkEnd w:id="10"/>
    </w:p>
    <w:p w14:paraId="56914116" w14:textId="77777777" w:rsidR="00E30FFE" w:rsidRDefault="002B33A7">
      <w:pPr>
        <w:spacing w:line="400" w:lineRule="atLeast"/>
        <w:ind w:firstLine="480"/>
        <w:jc w:val="both"/>
      </w:pPr>
      <w:r>
        <w:t>分支</w:t>
      </w:r>
      <w:r>
        <w:t xml:space="preserve"> I </w:t>
      </w:r>
      <w:r>
        <w:t>专注于直接从原始残基序列提取高阶空间模体与进化语义。输入蛋白质序列</w:t>
      </w:r>
      <w:r>
        <w:t xml:space="preserve"> </w:t>
      </w:r>
      <m:oMath>
        <m:r>
          <w:rPr>
            <w:rFonts w:ascii="Cambria Math" w:hAnsi="Cambria Math"/>
          </w:rPr>
          <m:t>x</m:t>
        </m:r>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L</m:t>
                </m:r>
              </m:sub>
            </m:sSub>
          </m:e>
        </m:d>
      </m:oMath>
      <w:r>
        <w:t xml:space="preserve"> </w:t>
      </w:r>
      <w:r>
        <w:t>首先映射为独热编码张量</w:t>
      </w:r>
      <w:r>
        <w:t xml:space="preserve"> </w:t>
      </w:r>
      <m:oMath>
        <m:r>
          <w:rPr>
            <w:rFonts w:ascii="Cambria Math" w:hAnsi="Cambria Math"/>
          </w:rPr>
          <m:t>X</m:t>
        </m:r>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0, 1</m:t>
                </m:r>
              </m:e>
            </m:d>
          </m:e>
          <m:sup>
            <m:r>
              <w:rPr>
                <w:rFonts w:ascii="Cambria Math" w:hAnsi="Cambria Math"/>
              </w:rPr>
              <m:t xml:space="preserve">21 × </m:t>
            </m:r>
            <m:sSub>
              <m:sSubPr>
                <m:ctrlPr>
                  <w:rPr>
                    <w:rFonts w:ascii="Cambria Math" w:hAnsi="Cambria Math"/>
                  </w:rPr>
                </m:ctrlPr>
              </m:sSubPr>
              <m:e>
                <m:r>
                  <w:rPr>
                    <w:rFonts w:ascii="Cambria Math" w:hAnsi="Cambria Math"/>
                  </w:rPr>
                  <m:t>L</m:t>
                </m:r>
              </m:e>
              <m:sub>
                <m:r>
                  <w:rPr>
                    <w:rFonts w:ascii="Cambria Math" w:hAnsi="Cambria Math"/>
                  </w:rPr>
                  <m:t>max</m:t>
                </m:r>
              </m:sub>
            </m:sSub>
          </m:sup>
        </m:sSup>
      </m:oMath>
      <w:r>
        <w:t>。为了解决单一卷积核在捕获不同跨度结构域时的尺度受限，设计了多尺度并行卷积与残基注意力：</w:t>
      </w:r>
    </w:p>
    <w:p w14:paraId="1D7AD2CB" w14:textId="77777777" w:rsidR="00E30FFE" w:rsidRDefault="002B33A7">
      <w:pPr>
        <w:ind w:firstLine="480"/>
        <w:jc w:val="both"/>
      </w:pPr>
      <w:r>
        <w:rPr>
          <w:b/>
          <w:bCs/>
        </w:rPr>
        <w:t>（</w:t>
      </w:r>
      <w:r>
        <w:rPr>
          <w:b/>
          <w:bCs/>
        </w:rPr>
        <w:t>1</w:t>
      </w:r>
      <w:r>
        <w:rPr>
          <w:b/>
          <w:bCs/>
        </w:rPr>
        <w:t>）多尺度膨胀残差卷积：</w:t>
      </w:r>
      <w:r>
        <w:t>设计包含</w:t>
      </w:r>
      <w:r>
        <w:t xml:space="preserve"> 3 </w:t>
      </w:r>
      <w:r>
        <w:t>个并行卷积分支的一维网络，卷积核大小设为</w:t>
      </w:r>
      <w:r>
        <w:t xml:space="preserve"> </w:t>
      </w:r>
      <w:r>
        <w:rPr>
          <w:i/>
          <w:iCs/>
        </w:rPr>
        <w:t>k ∈ {7, 15, 31}</w:t>
      </w:r>
      <w:r>
        <w:t>，膨胀系数依次递增为</w:t>
      </w:r>
      <w:r>
        <w:t xml:space="preserve"> </w:t>
      </w:r>
      <w:r>
        <w:rPr>
          <w:i/>
          <w:iCs/>
        </w:rPr>
        <w:t>d ∈ {1, 2, 4}</w:t>
      </w:r>
      <w:r>
        <w:rPr>
          <w:sz w:val="21"/>
          <w:szCs w:val="21"/>
          <w:vertAlign w:val="superscript"/>
        </w:rPr>
        <w:t>[11]</w:t>
      </w:r>
      <w:r>
        <w:t>，在不降低时域分辨率的前提下将有效感受野拓展至数百个残基。网络内部构建残差恒等映射以确保梯度流平稳传递。</w:t>
      </w:r>
    </w:p>
    <w:p w14:paraId="0BF57B82" w14:textId="77777777" w:rsidR="00E30FFE" w:rsidRDefault="002B33A7">
      <w:pPr>
        <w:ind w:firstLine="480"/>
        <w:jc w:val="both"/>
      </w:pPr>
      <w:r>
        <w:rPr>
          <w:b/>
          <w:bCs/>
        </w:rPr>
        <w:t>（</w:t>
      </w:r>
      <w:r>
        <w:rPr>
          <w:b/>
          <w:bCs/>
        </w:rPr>
        <w:t>2</w:t>
      </w:r>
      <w:r>
        <w:rPr>
          <w:b/>
          <w:bCs/>
        </w:rPr>
        <w:t>）类别特异性残基注意力（</w:t>
      </w:r>
      <w:r>
        <w:rPr>
          <w:b/>
          <w:bCs/>
        </w:rPr>
        <w:t>CSRA</w:t>
      </w:r>
      <w:r>
        <w:rPr>
          <w:b/>
          <w:bCs/>
        </w:rPr>
        <w:t>）：</w:t>
      </w:r>
      <w:r>
        <w:t>针对传统全局平均池化（</w:t>
      </w:r>
      <w:r>
        <w:t>GAP</w:t>
      </w:r>
      <w:r>
        <w:t>）将长序列信息平均化导致的信号衰减，引入类别特异性注意力机制</w:t>
      </w:r>
      <w:r>
        <w:rPr>
          <w:sz w:val="21"/>
          <w:szCs w:val="21"/>
          <w:vertAlign w:val="superscript"/>
        </w:rPr>
        <w:t>[13]</w:t>
      </w:r>
      <w:r>
        <w:t>。对于第</w:t>
      </w:r>
      <w:r>
        <w:t xml:space="preserve"> </w:t>
      </w:r>
      <w:r>
        <w:rPr>
          <w:i/>
          <w:iCs/>
        </w:rPr>
        <w:t>j</w:t>
      </w:r>
      <w:r>
        <w:t xml:space="preserve"> </w:t>
      </w:r>
      <w:r>
        <w:t>个功能类别，其在残基位置</w:t>
      </w:r>
      <w:r>
        <w:t xml:space="preserve"> </w:t>
      </w:r>
      <w:r>
        <w:rPr>
          <w:i/>
          <w:iCs/>
        </w:rPr>
        <w:t>i</w:t>
      </w:r>
      <w:r>
        <w:t xml:space="preserve"> </w:t>
      </w:r>
      <w:r>
        <w:t>处的归一化注意力权值表达为：</w:t>
      </w:r>
    </w:p>
    <w:p w14:paraId="638FE1D2" w14:textId="77777777" w:rsidR="00E30FFE" w:rsidRDefault="002B33A7">
      <w:pPr>
        <w:tabs>
          <w:tab w:val="center" w:pos="4535"/>
          <w:tab w:val="right" w:pos="9060"/>
        </w:tabs>
        <w:spacing w:before="60" w:after="60" w:line="400" w:lineRule="atLeast"/>
      </w:pPr>
      <w:r>
        <w:tab/>
      </w: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 xml:space="preserve"> = </m:t>
        </m:r>
        <m:f>
          <m:fPr>
            <m:ctrlPr>
              <w:rPr>
                <w:rFonts w:ascii="Cambria Math" w:hAnsi="Cambria Math"/>
              </w:rPr>
            </m:ctrlPr>
          </m:fPr>
          <m:num>
            <m:func>
              <m:funcPr>
                <m:ctrlPr>
                  <w:rPr>
                    <w:rFonts w:ascii="Cambria Math" w:hAnsi="Cambria Math"/>
                  </w:rPr>
                </m:ctrlPr>
              </m:funcPr>
              <m:fName/>
              <m:e>
                <m:r>
                  <w:rPr>
                    <w:rFonts w:ascii="Cambria Math" w:hAnsi="Cambria Math"/>
                  </w:rPr>
                  <m:t>T</m:t>
                </m:r>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j</m:t>
                        </m:r>
                      </m:sub>
                    </m:sSub>
                  </m:e>
                  <m:sup>
                    <m:r>
                      <w:rPr>
                        <w:rFonts w:ascii="Cambria Math" w:hAnsi="Cambria Math"/>
                      </w:rPr>
                      <m:t>T</m:t>
                    </m:r>
                  </m:sup>
                </m:sSup>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i</m:t>
                    </m:r>
                  </m:sub>
                </m:sSub>
              </m:e>
            </m:func>
          </m:num>
          <m:den>
            <m:nary>
              <m:naryPr>
                <m:chr m:val="∑"/>
                <m:limLoc m:val="undOvr"/>
                <m:supHide m:val="1"/>
                <m:ctrlPr>
                  <w:rPr>
                    <w:rFonts w:ascii="Cambria Math" w:hAnsi="Cambria Math"/>
                  </w:rPr>
                </m:ctrlPr>
              </m:naryPr>
              <m:sub>
                <m:r>
                  <w:rPr>
                    <w:rFonts w:ascii="Cambria Math" w:hAnsi="Cambria Math"/>
                  </w:rPr>
                  <m:t>k</m:t>
                </m:r>
                <m:r>
                  <w:rPr>
                    <w:rFonts w:ascii="Cambria Math" w:hAnsi="Cambria Math"/>
                  </w:rPr>
                  <m:t xml:space="preserve"> = 1..</m:t>
                </m:r>
                <m:r>
                  <w:rPr>
                    <w:rFonts w:ascii="Cambria Math" w:hAnsi="Cambria Math"/>
                  </w:rPr>
                  <m:t>L</m:t>
                </m:r>
              </m:sub>
              <m:sup/>
              <m:e>
                <m:func>
                  <m:funcPr>
                    <m:ctrlPr>
                      <w:rPr>
                        <w:rFonts w:ascii="Cambria Math" w:hAnsi="Cambria Math"/>
                      </w:rPr>
                    </m:ctrlPr>
                  </m:funcPr>
                  <m:fName/>
                  <m:e>
                    <m:r>
                      <w:rPr>
                        <w:rFonts w:ascii="Cambria Math" w:hAnsi="Cambria Math"/>
                      </w:rPr>
                      <m:t>T</m:t>
                    </m:r>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j</m:t>
                            </m:r>
                          </m:sub>
                        </m:sSub>
                      </m:e>
                      <m:sup>
                        <m:r>
                          <w:rPr>
                            <w:rFonts w:ascii="Cambria Math" w:hAnsi="Cambria Math"/>
                          </w:rPr>
                          <m:t>T</m:t>
                        </m:r>
                      </m:sup>
                    </m:sSup>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m:t>
                        </m:r>
                      </m:sub>
                    </m:sSub>
                  </m:e>
                </m:func>
              </m:e>
            </m:nary>
          </m:den>
        </m:f>
      </m:oMath>
      <w:r>
        <w:tab/>
      </w:r>
      <w:r>
        <w:rPr>
          <w:color w:val="333333"/>
          <w:sz w:val="21"/>
          <w:szCs w:val="21"/>
        </w:rPr>
        <w:t>(3.1)</w:t>
      </w:r>
    </w:p>
    <w:p w14:paraId="21D72CF4" w14:textId="77777777" w:rsidR="00E30FFE" w:rsidRDefault="002B33A7">
      <w:pPr>
        <w:spacing w:line="400" w:lineRule="atLeast"/>
        <w:ind w:firstLine="480"/>
        <w:jc w:val="both"/>
      </w:pPr>
      <w:r>
        <w:t>其中</w:t>
      </w:r>
      <w:r>
        <w:t xml:space="preserve"> </w:t>
      </w:r>
      <w:r>
        <w:rPr>
          <w:i/>
          <w:iCs/>
        </w:rPr>
        <w:t>T</w:t>
      </w:r>
      <w:r>
        <w:t xml:space="preserve"> </w:t>
      </w:r>
      <w:r>
        <w:t>为温度超参数，</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w:t>
      </w:r>
      <w:r>
        <w:t>为残基位置</w:t>
      </w:r>
      <w:r>
        <w:t xml:space="preserve"> </w:t>
      </w:r>
      <w:r>
        <w:rPr>
          <w:i/>
          <w:iCs/>
        </w:rPr>
        <w:t>i</w:t>
      </w:r>
      <w:r>
        <w:t xml:space="preserve"> </w:t>
      </w:r>
      <w:r>
        <w:t>处的隐层特征向量，</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w:t>
      </w:r>
      <w:r>
        <w:t>为第</w:t>
      </w:r>
      <w:r>
        <w:t xml:space="preserve"> </w:t>
      </w:r>
      <w:r>
        <w:rPr>
          <w:i/>
          <w:iCs/>
        </w:rPr>
        <w:t>j</w:t>
      </w:r>
      <w:r>
        <w:t xml:space="preserve"> </w:t>
      </w:r>
      <w:r>
        <w:t>个类别的可学习注意力投射向量。该机制使与目标功能密切相关的少数活性位点在池化中获得更高权重。</w:t>
      </w:r>
    </w:p>
    <w:p w14:paraId="56E44330" w14:textId="77777777" w:rsidR="00E30FFE" w:rsidRDefault="002B33A7">
      <w:pPr>
        <w:ind w:firstLine="480"/>
        <w:jc w:val="both"/>
      </w:pPr>
      <w:r>
        <w:rPr>
          <w:b/>
          <w:bCs/>
        </w:rPr>
        <w:t>（</w:t>
      </w:r>
      <w:r>
        <w:rPr>
          <w:b/>
          <w:bCs/>
        </w:rPr>
        <w:t>3</w:t>
      </w:r>
      <w:r>
        <w:rPr>
          <w:b/>
          <w:bCs/>
        </w:rPr>
        <w:t>）非对称损失优化（</w:t>
      </w:r>
      <w:r>
        <w:rPr>
          <w:b/>
          <w:bCs/>
        </w:rPr>
        <w:t>ASL</w:t>
      </w:r>
      <w:r>
        <w:rPr>
          <w:b/>
          <w:bCs/>
        </w:rPr>
        <w:t>）：</w:t>
      </w:r>
      <w:r>
        <w:t>鉴于多标签分布极度稀疏，采用非对称损失函数</w:t>
      </w:r>
      <w:r>
        <w:rPr>
          <w:sz w:val="21"/>
          <w:szCs w:val="21"/>
          <w:vertAlign w:val="superscript"/>
        </w:rPr>
        <w:t>[12]</w:t>
      </w:r>
      <w:r>
        <w:t xml:space="preserve"> </w:t>
      </w:r>
      <w:r>
        <w:t>进行端到端训练：</w:t>
      </w:r>
    </w:p>
    <w:p w14:paraId="0DF26B45" w14:textId="77777777" w:rsidR="00E30FFE" w:rsidRDefault="002B33A7">
      <w:pPr>
        <w:tabs>
          <w:tab w:val="center" w:pos="4535"/>
          <w:tab w:val="right" w:pos="9060"/>
        </w:tabs>
        <w:spacing w:before="60" w:after="60" w:line="400" w:lineRule="atLeast"/>
      </w:pPr>
      <w:r>
        <w:tab/>
      </w:r>
      <m:oMath>
        <m:sSub>
          <m:sSubPr>
            <m:ctrlPr>
              <w:rPr>
                <w:rFonts w:ascii="Cambria Math" w:hAnsi="Cambria Math"/>
              </w:rPr>
            </m:ctrlPr>
          </m:sSubPr>
          <m:e>
            <m:r>
              <w:rPr>
                <w:rFonts w:ascii="Cambria Math" w:hAnsi="Cambria Math"/>
              </w:rPr>
              <m:t>L</m:t>
            </m:r>
          </m:e>
          <m:sub>
            <m:r>
              <w:rPr>
                <w:rFonts w:ascii="Cambria Math" w:hAnsi="Cambria Math"/>
              </w:rPr>
              <m:t>ASL</m:t>
            </m:r>
          </m:sub>
        </m:sSub>
        <m:r>
          <w:rPr>
            <w:rFonts w:ascii="Cambria Math" w:hAnsi="Cambria Math"/>
          </w:rPr>
          <m:t xml:space="preserve"> = - </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 xml:space="preserve"> · </m:t>
        </m:r>
        <m:sSup>
          <m:sSupPr>
            <m:ctrlPr>
              <w:rPr>
                <w:rFonts w:ascii="Cambria Math" w:hAnsi="Cambria Math"/>
              </w:rPr>
            </m:ctrlPr>
          </m:sSupPr>
          <m:e>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j</m:t>
                    </m:r>
                  </m:sub>
                </m:sSub>
              </m:e>
            </m:d>
          </m:e>
          <m:sup>
            <m:r>
              <w:rPr>
                <w:rFonts w:ascii="Cambria Math" w:hAnsi="Cambria Math"/>
              </w:rPr>
              <m:t>γ</m:t>
            </m:r>
            <m:r>
              <w:rPr>
                <w:rFonts w:ascii="Cambria Math" w:hAnsi="Cambria Math"/>
              </w:rPr>
              <m:t>+</m:t>
            </m:r>
          </m:sup>
        </m:sSup>
        <m:r>
          <w:rPr>
            <w:rFonts w:ascii="Cambria Math" w:hAnsi="Cambria Math"/>
          </w:rPr>
          <m:t xml:space="preserve"> · </m:t>
        </m:r>
        <m:func>
          <m:funcPr>
            <m:ctrlPr>
              <w:rPr>
                <w:rFonts w:ascii="Cambria Math" w:hAnsi="Cambria Math"/>
              </w:rPr>
            </m:ctrlPr>
          </m:funcPr>
          <m:fName/>
          <m:e>
            <m:sSub>
              <m:sSubPr>
                <m:ctrlPr>
                  <w:rPr>
                    <w:rFonts w:ascii="Cambria Math" w:hAnsi="Cambria Math"/>
                  </w:rPr>
                </m:ctrlPr>
              </m:sSubPr>
              <m:e>
                <m:r>
                  <w:rPr>
                    <w:rFonts w:ascii="Cambria Math" w:hAnsi="Cambria Math"/>
                  </w:rPr>
                  <m:t>p</m:t>
                </m:r>
              </m:e>
              <m:sub>
                <m:r>
                  <w:rPr>
                    <w:rFonts w:ascii="Cambria Math" w:hAnsi="Cambria Math"/>
                  </w:rPr>
                  <m:t>j</m:t>
                </m:r>
              </m:sub>
            </m:sSub>
          </m:e>
        </m:func>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 xml:space="preserve">)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mj</m:t>
                    </m:r>
                  </m:sub>
                </m:sSub>
              </m:e>
            </m:d>
          </m:e>
          <m:sup>
            <m:r>
              <w:rPr>
                <w:rFonts w:ascii="Cambria Math" w:hAnsi="Cambria Math"/>
              </w:rPr>
              <m:t>γ</m:t>
            </m:r>
            <m:r>
              <w:rPr>
                <w:rFonts w:ascii="Cambria Math" w:hAnsi="Cambria Math"/>
              </w:rPr>
              <m:t>-</m:t>
            </m:r>
          </m:sup>
        </m:sSup>
        <m:r>
          <w:rPr>
            <w:rFonts w:ascii="Cambria Math" w:hAnsi="Cambria Math"/>
          </w:rPr>
          <m:t xml:space="preserve"> · </m:t>
        </m:r>
        <m:func>
          <m:funcPr>
            <m:ctrlPr>
              <w:rPr>
                <w:rFonts w:ascii="Cambria Math" w:hAnsi="Cambria Math"/>
              </w:rPr>
            </m:ctrlPr>
          </m:funcPr>
          <m:fName/>
          <m:e>
            <m: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mj</m:t>
                </m:r>
              </m:sub>
            </m:sSub>
          </m:e>
        </m:func>
      </m:oMath>
      <w:r>
        <w:tab/>
      </w:r>
      <w:r>
        <w:rPr>
          <w:color w:val="333333"/>
          <w:sz w:val="21"/>
          <w:szCs w:val="21"/>
        </w:rPr>
        <w:t>(3.2)</w:t>
      </w:r>
    </w:p>
    <w:p w14:paraId="2809FFF3" w14:textId="77777777" w:rsidR="00E30FFE" w:rsidRDefault="002B33A7">
      <w:pPr>
        <w:spacing w:line="400" w:lineRule="atLeast"/>
        <w:ind w:firstLine="480"/>
        <w:jc w:val="both"/>
      </w:pPr>
      <w:r>
        <w:t>其中截断负概率定义为</w:t>
      </w:r>
      <w:r>
        <w:t xml:space="preserve"> </w:t>
      </w:r>
      <m:oMath>
        <m:sSub>
          <m:sSubPr>
            <m:ctrlPr>
              <w:rPr>
                <w:rFonts w:ascii="Cambria Math" w:hAnsi="Cambria Math"/>
              </w:rPr>
            </m:ctrlPr>
          </m:sSubPr>
          <m:e>
            <m:r>
              <w:rPr>
                <w:rFonts w:ascii="Cambria Math" w:hAnsi="Cambria Math"/>
              </w:rPr>
              <m:t>p</m:t>
            </m:r>
          </m:e>
          <m:sub>
            <m:r>
              <w:rPr>
                <w:rFonts w:ascii="Cambria Math" w:hAnsi="Cambria Math"/>
              </w:rPr>
              <m:t>mj</m:t>
            </m:r>
          </m:sub>
        </m:sSub>
        <m:r>
          <w:rPr>
            <w:rFonts w:ascii="Cambria Math" w:hAnsi="Cambria Math"/>
          </w:rPr>
          <m:t xml:space="preserve"> = </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 xml:space="preserve"> - </m:t>
        </m:r>
        <m:r>
          <w:rPr>
            <w:rFonts w:ascii="Cambria Math" w:hAnsi="Cambria Math"/>
          </w:rPr>
          <m:t>m</m:t>
        </m:r>
        <m:r>
          <w:rPr>
            <w:rFonts w:ascii="Cambria Math" w:hAnsi="Cambria Math"/>
          </w:rPr>
          <m:t>, 0)</m:t>
        </m:r>
      </m:oMath>
      <w:r>
        <w:t>。本模型固定采用超参数配置</w:t>
      </w:r>
      <w:r>
        <w:t xml:space="preserve"> </w:t>
      </w:r>
      <w:r>
        <w:rPr>
          <w:i/>
          <w:iCs/>
        </w:rPr>
        <w:t>γ+ = 0, γ- = 4, m = 0.05</w:t>
      </w:r>
      <w:r>
        <w:t>。该损失函数能够对占据绝大多数的高置信简单负样本实施剧烈抑制，防止梯度被平庸负例淹没。</w:t>
      </w:r>
    </w:p>
    <w:p w14:paraId="22ACC480" w14:textId="77777777" w:rsidR="00E30FFE" w:rsidRDefault="002B33A7">
      <w:pPr>
        <w:ind w:firstLine="480"/>
        <w:jc w:val="both"/>
      </w:pPr>
      <w:r>
        <w:rPr>
          <w:b/>
          <w:bCs/>
        </w:rPr>
        <w:t>（</w:t>
      </w:r>
      <w:r>
        <w:rPr>
          <w:b/>
          <w:bCs/>
        </w:rPr>
        <w:t>4</w:t>
      </w:r>
      <w:r>
        <w:rPr>
          <w:b/>
          <w:bCs/>
        </w:rPr>
        <w:t>）旋转位置编码</w:t>
      </w:r>
      <w:r>
        <w:rPr>
          <w:b/>
          <w:bCs/>
        </w:rPr>
        <w:t xml:space="preserve"> Transformer</w:t>
      </w:r>
      <w:r>
        <w:rPr>
          <w:b/>
          <w:bCs/>
        </w:rPr>
        <w:t>（</w:t>
      </w:r>
      <w:r>
        <w:rPr>
          <w:b/>
          <w:bCs/>
        </w:rPr>
        <w:t>RoFormer</w:t>
      </w:r>
      <w:r>
        <w:rPr>
          <w:b/>
          <w:bCs/>
        </w:rPr>
        <w:t>）：</w:t>
      </w:r>
      <w:r>
        <w:t>并联引入注入旋转位置编码（</w:t>
      </w:r>
      <w:r>
        <w:t>RoPE</w:t>
      </w:r>
      <w:r>
        <w:t>）</w:t>
      </w:r>
      <w:r>
        <w:rPr>
          <w:sz w:val="21"/>
          <w:szCs w:val="21"/>
          <w:vertAlign w:val="superscript"/>
        </w:rPr>
        <w:t>[14]</w:t>
      </w:r>
      <w:r>
        <w:t xml:space="preserve"> </w:t>
      </w:r>
      <w:r>
        <w:t>的自注意力序列模型，以补偿卷积网络在极长程依赖建模上的局限。分支</w:t>
      </w:r>
      <w:r>
        <w:t xml:space="preserve"> I </w:t>
      </w:r>
      <w:r>
        <w:t>的最终加权表示输出形式化为：</w:t>
      </w:r>
    </w:p>
    <w:p w14:paraId="58FB3751" w14:textId="77777777" w:rsidR="00E30FFE" w:rsidRDefault="002B33A7">
      <w:pPr>
        <w:tabs>
          <w:tab w:val="center" w:pos="4535"/>
          <w:tab w:val="right" w:pos="9060"/>
        </w:tabs>
        <w:spacing w:before="60" w:after="60" w:line="400" w:lineRule="atLeast"/>
      </w:pPr>
      <w:r>
        <w:tab/>
      </w:r>
      <m:oMath>
        <m:sSub>
          <m:sSubPr>
            <m:ctrlPr>
              <w:rPr>
                <w:rFonts w:ascii="Cambria Math" w:hAnsi="Cambria Math"/>
              </w:rPr>
            </m:ctrlPr>
          </m:sSubPr>
          <m:e>
            <m:r>
              <w:rPr>
                <w:rFonts w:ascii="Cambria Math" w:hAnsi="Cambria Math"/>
              </w:rPr>
              <m:t>S</m:t>
            </m:r>
          </m:e>
          <m:sub>
            <m:r>
              <w:rPr>
                <w:rFonts w:ascii="Cambria Math" w:hAnsi="Cambria Math"/>
              </w:rPr>
              <m:t>deep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cnn</m:t>
            </m:r>
          </m:sub>
        </m:sSub>
        <m:r>
          <w:rPr>
            <w:rFonts w:ascii="Cambria Math" w:hAnsi="Cambria Math"/>
          </w:rPr>
          <m:t xml:space="preserve"> · </m:t>
        </m:r>
        <m:d>
          <m:dPr>
            <m:begChr m:val="["/>
            <m:endChr m:val="]"/>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dil</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csra</m:t>
                </m:r>
              </m:sub>
            </m:sSub>
          </m:e>
        </m:d>
      </m:oMath>
      <w:r>
        <w:tab/>
      </w:r>
      <w:r>
        <w:rPr>
          <w:color w:val="333333"/>
          <w:sz w:val="21"/>
          <w:szCs w:val="21"/>
        </w:rPr>
        <w:t>(3.3)</w:t>
      </w:r>
    </w:p>
    <w:p w14:paraId="38860FF1" w14:textId="77777777" w:rsidR="00E30FFE" w:rsidRDefault="002B33A7">
      <w:pPr>
        <w:pStyle w:val="2"/>
        <w:keepNext/>
      </w:pPr>
      <w:bookmarkStart w:id="11" w:name="_Toc241140360"/>
      <w:r>
        <w:t>3.2</w:t>
      </w:r>
      <w:r>
        <w:t xml:space="preserve">　分支</w:t>
      </w:r>
      <w:r>
        <w:t xml:space="preserve"> II</w:t>
      </w:r>
      <w:r>
        <w:t>：进化比对与局部频数流形转移</w:t>
      </w:r>
      <w:bookmarkEnd w:id="11"/>
    </w:p>
    <w:p w14:paraId="0A1E7183" w14:textId="77777777" w:rsidR="00E30FFE" w:rsidRDefault="002B33A7">
      <w:pPr>
        <w:ind w:firstLine="480"/>
        <w:jc w:val="both"/>
      </w:pPr>
      <w:r>
        <w:t>分支</w:t>
      </w:r>
      <w:r>
        <w:t xml:space="preserve"> II </w:t>
      </w:r>
      <w:r>
        <w:t>依据分子进化的同源保守假说，将已知序列的实验注释通过显式比对与隐式频数流形进行双级映射：</w:t>
      </w:r>
    </w:p>
    <w:p w14:paraId="4CF563B7" w14:textId="77777777" w:rsidR="00E30FFE" w:rsidRDefault="002B33A7">
      <w:pPr>
        <w:ind w:firstLine="480"/>
        <w:jc w:val="both"/>
      </w:pPr>
      <w:r>
        <w:rPr>
          <w:b/>
          <w:bCs/>
        </w:rPr>
        <w:t>（</w:t>
      </w:r>
      <w:r>
        <w:rPr>
          <w:b/>
          <w:bCs/>
        </w:rPr>
        <w:t>1</w:t>
      </w:r>
      <w:r>
        <w:rPr>
          <w:b/>
          <w:bCs/>
        </w:rPr>
        <w:t>）高灵敏度局部比对得分转移：</w:t>
      </w:r>
      <w:r>
        <w:t>使用</w:t>
      </w:r>
      <w:r>
        <w:t xml:space="preserve"> DIAMOND </w:t>
      </w:r>
      <w:r>
        <w:t>工具</w:t>
      </w:r>
      <w:r>
        <w:rPr>
          <w:sz w:val="21"/>
          <w:szCs w:val="21"/>
          <w:vertAlign w:val="superscript"/>
        </w:rPr>
        <w:t>[7,8]</w:t>
      </w:r>
      <w:r>
        <w:t xml:space="preserve"> </w:t>
      </w:r>
      <w:r>
        <w:t>在</w:t>
      </w:r>
      <w:r>
        <w:t xml:space="preserve"> very-sensitive </w:t>
      </w:r>
      <w:r>
        <w:t>检索模式下构建训练集索引，</w:t>
      </w:r>
      <w:r>
        <w:t xml:space="preserve">E-value </w:t>
      </w:r>
      <w:r>
        <w:t>截断设为</w:t>
      </w:r>
      <w:r>
        <w:t xml:space="preserve"> 0.001</w:t>
      </w:r>
      <w:r>
        <w:t>。对每条查询保留检索前</w:t>
      </w:r>
      <w:r>
        <w:t xml:space="preserve"> 5 </w:t>
      </w:r>
      <w:r>
        <w:t>个候选命中，聚合时取</w:t>
      </w:r>
      <w:r>
        <w:t xml:space="preserve"> bitscore </w:t>
      </w:r>
      <w:r>
        <w:t>最高的前</w:t>
      </w:r>
      <w:r>
        <w:t xml:space="preserve"> 3 </w:t>
      </w:r>
      <w:r>
        <w:t>个，按比对得分执行加权聚合：</w:t>
      </w:r>
    </w:p>
    <w:p w14:paraId="7CFF3500" w14:textId="77777777" w:rsidR="00E30FFE" w:rsidRDefault="002B33A7">
      <w:pPr>
        <w:tabs>
          <w:tab w:val="center" w:pos="4535"/>
          <w:tab w:val="right" w:pos="9060"/>
        </w:tabs>
        <w:spacing w:before="60" w:after="60" w:line="400" w:lineRule="atLeast"/>
      </w:pPr>
      <w:r>
        <w:tab/>
      </w:r>
      <m:oMath>
        <m:sSub>
          <m:sSubPr>
            <m:ctrlPr>
              <w:rPr>
                <w:rFonts w:ascii="Cambria Math" w:hAnsi="Cambria Math"/>
              </w:rPr>
            </m:ctrlPr>
          </m:sSubPr>
          <m:e>
            <m:r>
              <w:rPr>
                <w:rFonts w:ascii="Cambria Math" w:hAnsi="Cambria Math"/>
              </w:rPr>
              <m:t>S</m:t>
            </m:r>
          </m:e>
          <m:sub>
            <m:r>
              <w:rPr>
                <w:rFonts w:ascii="Cambria Math" w:hAnsi="Cambria Math"/>
              </w:rPr>
              <m:t>bit</m:t>
            </m:r>
          </m:sub>
        </m:sSub>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m</m:t>
                    </m:r>
                    <m:r>
                      <w:rPr>
                        <w:rFonts w:ascii="Cambria Math" w:hAnsi="Cambria Math"/>
                      </w:rPr>
                      <m:t xml:space="preserve"> = 1..</m:t>
                    </m:r>
                    <m:r>
                      <w:rPr>
                        <w:rFonts w:ascii="Cambria Math" w:hAnsi="Cambria Math"/>
                      </w:rPr>
                      <m:t>M</m:t>
                    </m:r>
                  </m:sub>
                  <m:sup/>
                  <m:e>
                    <m:sSub>
                      <m:sSubPr>
                        <m:ctrlPr>
                          <w:rPr>
                            <w:rFonts w:ascii="Cambria Math" w:hAnsi="Cambria Math"/>
                          </w:rPr>
                        </m:ctrlPr>
                      </m:sSubPr>
                      <m:e>
                        <m:r>
                          <w:rPr>
                            <w:rFonts w:ascii="Cambria Math" w:hAnsi="Cambria Math"/>
                          </w:rPr>
                          <m:t>y</m:t>
                        </m:r>
                      </m:e>
                      <m:sub>
                        <m:r>
                          <w:rPr>
                            <w:rFonts w:ascii="Cambria Math" w:hAnsi="Cambria Math"/>
                          </w:rPr>
                          <m:t>m</m:t>
                        </m:r>
                      </m:sub>
                    </m:sSub>
                    <m:r>
                      <w:rPr>
                        <w:rFonts w:ascii="Cambria Math" w:hAnsi="Cambria Math"/>
                      </w:rPr>
                      <m:t xml:space="preserve"> · </m:t>
                    </m:r>
                    <m:sSub>
                      <m:sSubPr>
                        <m:ctrlPr>
                          <w:rPr>
                            <w:rFonts w:ascii="Cambria Math" w:hAnsi="Cambria Math"/>
                          </w:rPr>
                        </m:ctrlPr>
                      </m:sSubPr>
                      <m:e>
                        <m:r>
                          <w:rPr>
                            <w:rFonts w:ascii="Cambria Math" w:hAnsi="Cambria Math"/>
                          </w:rPr>
                          <m:t>Bitscore</m:t>
                        </m:r>
                      </m:e>
                      <m:sub>
                        <m:r>
                          <w:rPr>
                            <w:rFonts w:ascii="Cambria Math" w:hAnsi="Cambria Math"/>
                          </w:rPr>
                          <m:t>m</m:t>
                        </m:r>
                      </m:sub>
                    </m:sSub>
                  </m:e>
                </m:nary>
              </m:e>
            </m:d>
          </m:num>
          <m:den>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m</m:t>
                    </m:r>
                    <m:r>
                      <w:rPr>
                        <w:rFonts w:ascii="Cambria Math" w:hAnsi="Cambria Math"/>
                      </w:rPr>
                      <m:t xml:space="preserve"> = 1..</m:t>
                    </m:r>
                    <m:r>
                      <w:rPr>
                        <w:rFonts w:ascii="Cambria Math" w:hAnsi="Cambria Math"/>
                      </w:rPr>
                      <m:t>M</m:t>
                    </m:r>
                  </m:sub>
                  <m:sup/>
                  <m:e>
                    <m:sSub>
                      <m:sSubPr>
                        <m:ctrlPr>
                          <w:rPr>
                            <w:rFonts w:ascii="Cambria Math" w:hAnsi="Cambria Math"/>
                          </w:rPr>
                        </m:ctrlPr>
                      </m:sSubPr>
                      <m:e>
                        <m:r>
                          <w:rPr>
                            <w:rFonts w:ascii="Cambria Math" w:hAnsi="Cambria Math"/>
                          </w:rPr>
                          <m:t>Bitscore</m:t>
                        </m:r>
                      </m:e>
                      <m:sub>
                        <m:r>
                          <w:rPr>
                            <w:rFonts w:ascii="Cambria Math" w:hAnsi="Cambria Math"/>
                          </w:rPr>
                          <m:t>m</m:t>
                        </m:r>
                      </m:sub>
                    </m:sSub>
                  </m:e>
                </m:nary>
                <m:r>
                  <w:rPr>
                    <w:rFonts w:ascii="Cambria Math" w:hAnsi="Cambria Math"/>
                  </w:rPr>
                  <m:t xml:space="preserve"> + </m:t>
                </m:r>
                <m:r>
                  <w:rPr>
                    <w:rFonts w:ascii="Cambria Math" w:hAnsi="Cambria Math"/>
                  </w:rPr>
                  <m:t>ε</m:t>
                </m:r>
              </m:e>
            </m:d>
          </m:den>
        </m:f>
      </m:oMath>
      <w:r>
        <w:tab/>
      </w:r>
      <w:r>
        <w:rPr>
          <w:color w:val="333333"/>
          <w:sz w:val="21"/>
          <w:szCs w:val="21"/>
        </w:rPr>
        <w:t>(3.4)</w:t>
      </w:r>
    </w:p>
    <w:p w14:paraId="65A132D0" w14:textId="77777777" w:rsidR="00E30FFE" w:rsidRDefault="002B33A7">
      <w:pPr>
        <w:ind w:firstLine="480"/>
        <w:jc w:val="both"/>
      </w:pPr>
      <w:r>
        <w:rPr>
          <w:b/>
          <w:bCs/>
        </w:rPr>
        <w:t>（</w:t>
      </w:r>
      <w:r>
        <w:rPr>
          <w:b/>
          <w:bCs/>
        </w:rPr>
        <w:t>2</w:t>
      </w:r>
      <w:r>
        <w:rPr>
          <w:b/>
          <w:bCs/>
        </w:rPr>
        <w:t>）多尺度</w:t>
      </w:r>
      <w:r>
        <w:rPr>
          <w:b/>
          <w:bCs/>
        </w:rPr>
        <w:t xml:space="preserve"> k-mer </w:t>
      </w:r>
      <w:r>
        <w:rPr>
          <w:b/>
          <w:bCs/>
        </w:rPr>
        <w:t>局部频数流形转移：</w:t>
      </w:r>
      <w:r>
        <w:t>当序列演化跨越暮光区而无法形成局域局部比对片段时，序列仍可能共享未被比对识别的保守模体。我们提取</w:t>
      </w:r>
      <w:r>
        <w:t xml:space="preserve"> </w:t>
      </w:r>
      <w:r>
        <w:rPr>
          <w:i/>
          <w:iCs/>
        </w:rPr>
        <w:t>k ∈ {4, 5, 6, 7, 8}</w:t>
      </w:r>
      <w:r>
        <w:t xml:space="preserve"> </w:t>
      </w:r>
      <w:r>
        <w:t>的频数谱向量，通过最近邻余弦相似度的平方赋予二次方流形权重</w:t>
      </w:r>
      <w:r>
        <w:t xml:space="preserve"> </w:t>
      </w:r>
      <w:r>
        <w:rPr>
          <w:i/>
          <w:iCs/>
        </w:rPr>
        <w:t>w = sim²</w:t>
      </w:r>
      <w:r>
        <w:rPr>
          <w:sz w:val="21"/>
          <w:szCs w:val="21"/>
          <w:vertAlign w:val="superscript"/>
        </w:rPr>
        <w:t>[31]</w:t>
      </w:r>
      <w:r>
        <w:t>。同源分支最终得分为：</w:t>
      </w:r>
    </w:p>
    <w:p w14:paraId="74275277" w14:textId="77777777" w:rsidR="00E30FFE" w:rsidRDefault="002B33A7">
      <w:pPr>
        <w:tabs>
          <w:tab w:val="center" w:pos="4535"/>
          <w:tab w:val="right" w:pos="9060"/>
        </w:tabs>
        <w:spacing w:before="60" w:after="60" w:line="400" w:lineRule="atLeast"/>
      </w:pPr>
      <w:r>
        <w:tab/>
      </w:r>
      <m:oMath>
        <m:sSub>
          <m:sSubPr>
            <m:ctrlPr>
              <w:rPr>
                <w:rFonts w:ascii="Cambria Math" w:hAnsi="Cambria Math"/>
              </w:rPr>
            </m:ctrlPr>
          </m:sSubPr>
          <m:e>
            <m:r>
              <w:rPr>
                <w:rFonts w:ascii="Cambria Math" w:hAnsi="Cambria Math"/>
              </w:rPr>
              <m:t>S</m:t>
            </m:r>
          </m:e>
          <m:sub>
            <m:r>
              <w:rPr>
                <w:rFonts w:ascii="Cambria Math" w:hAnsi="Cambria Math"/>
              </w:rPr>
              <m:t>sim</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align</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bit</m:t>
            </m:r>
          </m:sub>
        </m:sSub>
        <m:r>
          <w:rPr>
            <w:rFonts w:ascii="Cambria Math" w:hAnsi="Cambria Math"/>
          </w:rPr>
          <m:t xml:space="preserve"> + (1 - </m:t>
        </m:r>
        <m:sSub>
          <m:sSubPr>
            <m:ctrlPr>
              <w:rPr>
                <w:rFonts w:ascii="Cambria Math" w:hAnsi="Cambria Math"/>
              </w:rPr>
            </m:ctrlPr>
          </m:sSubPr>
          <m:e>
            <m:r>
              <w:rPr>
                <w:rFonts w:ascii="Cambria Math" w:hAnsi="Cambria Math"/>
              </w:rPr>
              <m:t>w</m:t>
            </m:r>
          </m:e>
          <m:sub>
            <m:r>
              <w:rPr>
                <w:rFonts w:ascii="Cambria Math" w:hAnsi="Cambria Math"/>
              </w:rPr>
              <m:t>align</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kmer</m:t>
            </m:r>
          </m:sub>
        </m:sSub>
      </m:oMath>
      <w:r>
        <w:tab/>
      </w:r>
      <w:r>
        <w:rPr>
          <w:color w:val="333333"/>
          <w:sz w:val="21"/>
          <w:szCs w:val="21"/>
        </w:rPr>
        <w:t>(3.5)</w:t>
      </w:r>
    </w:p>
    <w:p w14:paraId="23939791" w14:textId="77777777" w:rsidR="00E30FFE" w:rsidRDefault="002B33A7">
      <w:pPr>
        <w:pStyle w:val="2"/>
        <w:keepNext/>
      </w:pPr>
      <w:bookmarkStart w:id="12" w:name="_Toc241140361"/>
      <w:r>
        <w:t>3.3</w:t>
      </w:r>
      <w:r>
        <w:t xml:space="preserve">　分支</w:t>
      </w:r>
      <w:r>
        <w:t xml:space="preserve"> III</w:t>
      </w:r>
      <w:r>
        <w:t>：预训练语言模型表征与线性注入</w:t>
      </w:r>
      <w:bookmarkEnd w:id="12"/>
    </w:p>
    <w:p w14:paraId="702A64B9" w14:textId="77777777" w:rsidR="00E30FFE" w:rsidRDefault="002B33A7">
      <w:pPr>
        <w:ind w:firstLine="480"/>
        <w:jc w:val="both"/>
      </w:pPr>
      <w:r>
        <w:t>同源比对强于近缘、弱于远缘，深度序列网络正好相反。为了给孤儿序列提供第三类独立证据，本文引入两个冻结的预训练语言模型：</w:t>
      </w:r>
      <w:r>
        <w:t>ESM-2</w:t>
      </w:r>
      <w:r>
        <w:t>（</w:t>
      </w:r>
      <w:r>
        <w:t xml:space="preserve">150M </w:t>
      </w:r>
      <w:r>
        <w:t>参数，</w:t>
      </w:r>
      <w:r>
        <w:t xml:space="preserve">640 </w:t>
      </w:r>
      <w:r>
        <w:t>维）</w:t>
      </w:r>
      <w:r>
        <w:rPr>
          <w:sz w:val="21"/>
          <w:szCs w:val="21"/>
          <w:vertAlign w:val="superscript"/>
        </w:rPr>
        <w:t>[15]</w:t>
      </w:r>
      <w:r>
        <w:t xml:space="preserve"> </w:t>
      </w:r>
      <w:r>
        <w:t>与</w:t>
      </w:r>
      <w:r>
        <w:t xml:space="preserve"> ProtBERT</w:t>
      </w:r>
      <w:r>
        <w:t>（</w:t>
      </w:r>
      <w:r>
        <w:t xml:space="preserve">1024 </w:t>
      </w:r>
      <w:r>
        <w:t>维）</w:t>
      </w:r>
      <w:r>
        <w:rPr>
          <w:sz w:val="21"/>
          <w:szCs w:val="21"/>
          <w:vertAlign w:val="superscript"/>
        </w:rPr>
        <w:t>[32]</w:t>
      </w:r>
      <w:r>
        <w:t>，对每条序列取残基级末层输出的均值池化，拼接为</w:t>
      </w:r>
      <w:r>
        <w:t xml:space="preserve"> 1664 </w:t>
      </w:r>
      <w:r>
        <w:t>维蛋白级向量。该向量送入带两层残差块的多层感知机（隐层</w:t>
      </w:r>
      <w:r>
        <w:t xml:space="preserve"> 1024 </w:t>
      </w:r>
      <w:r>
        <w:t>维，</w:t>
      </w:r>
      <w:r>
        <w:t xml:space="preserve">GELU </w:t>
      </w:r>
      <w:r>
        <w:t>激活，</w:t>
      </w:r>
      <w:r>
        <w:t>dropout 0.2</w:t>
      </w:r>
      <w:r>
        <w:t>），以非对称损失训练</w:t>
      </w:r>
      <w:r>
        <w:t xml:space="preserve"> 35 </w:t>
      </w:r>
      <w:r>
        <w:t>个轮次；为压缩方差，独立训练三个随机种子并对验证概率取平均。语言模型分支的独立表现为宏</w:t>
      </w:r>
      <w:r>
        <w:t xml:space="preserve"> F1 0.2729</w:t>
      </w:r>
      <w:r>
        <w:t>、宏</w:t>
      </w:r>
      <w:r>
        <w:t xml:space="preserve"> AUC 0.7947</w:t>
      </w:r>
      <w:r>
        <w:t>，如式</w:t>
      </w:r>
      <w:r>
        <w:t xml:space="preserve"> (3.6) </w:t>
      </w:r>
      <w:r>
        <w:t>所示：</w:t>
      </w:r>
    </w:p>
    <w:p w14:paraId="2566FF40" w14:textId="77777777" w:rsidR="00E30FFE" w:rsidRDefault="002B33A7">
      <w:pPr>
        <w:tabs>
          <w:tab w:val="center" w:pos="4535"/>
          <w:tab w:val="right" w:pos="9060"/>
        </w:tabs>
        <w:spacing w:before="60" w:after="60" w:line="400" w:lineRule="atLeast"/>
      </w:pPr>
      <w:r>
        <w:tab/>
      </w:r>
      <m:oMath>
        <m:sSub>
          <m:sSubPr>
            <m:ctrlPr>
              <w:rPr>
                <w:rFonts w:ascii="Cambria Math" w:hAnsi="Cambria Math"/>
              </w:rPr>
            </m:ctrlPr>
          </m:sSubPr>
          <m:e>
            <m:r>
              <w:rPr>
                <w:rFonts w:ascii="Cambria Math" w:hAnsi="Cambria Math"/>
              </w:rPr>
              <m:t>S</m:t>
            </m:r>
          </m:e>
          <m:sub>
            <m:r>
              <w:rPr>
                <w:rFonts w:ascii="Cambria Math" w:hAnsi="Cambria Math"/>
              </w:rPr>
              <m:t>plm</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s</m:t>
            </m:r>
            <m:r>
              <w:rPr>
                <w:rFonts w:ascii="Cambria Math" w:hAnsi="Cambria Math"/>
              </w:rPr>
              <m:t xml:space="preserve"> ∈ {11, 22, 33}</m:t>
            </m:r>
          </m:sub>
          <m:sup/>
          <m:e>
            <m:func>
              <m:funcPr>
                <m:ctrlPr>
                  <w:rPr>
                    <w:rFonts w:ascii="Cambria Math" w:hAnsi="Cambria Math"/>
                  </w:rPr>
                </m:ctrlPr>
              </m:funcPr>
              <m:fName/>
              <m:e>
                <m:func>
                  <m:funcPr>
                    <m:ctrlPr>
                      <w:rPr>
                        <w:rFonts w:ascii="Cambria Math" w:hAnsi="Cambria Math"/>
                      </w:rPr>
                    </m:ctrlPr>
                  </m:funcPr>
                  <m:fName>
                    <m:sSub>
                      <m:sSubPr>
                        <m:ctrlPr>
                          <w:rPr>
                            <w:rFonts w:ascii="Cambria Math" w:hAnsi="Cambria Math"/>
                          </w:rPr>
                        </m:ctrlPr>
                      </m:sSubPr>
                      <m:e>
                        <m:r>
                          <w:rPr>
                            <w:rFonts w:ascii="Cambria Math" w:hAnsi="Cambria Math"/>
                          </w:rPr>
                          <m:t>MLP</m:t>
                        </m:r>
                      </m:e>
                      <m:sub>
                        <m:r>
                          <w:rPr>
                            <w:rFonts w:ascii="Cambria Math" w:hAnsi="Cambria Math"/>
                          </w:rPr>
                          <m:t>s</m:t>
                        </m:r>
                      </m:sub>
                    </m:sSub>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esm</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pt</m:t>
                            </m:r>
                          </m:sub>
                        </m:sSub>
                      </m:e>
                    </m:d>
                  </m:e>
                </m:func>
              </m:e>
            </m:func>
          </m:e>
        </m:nary>
      </m:oMath>
      <w:r>
        <w:tab/>
      </w:r>
      <w:r>
        <w:rPr>
          <w:color w:val="333333"/>
          <w:sz w:val="21"/>
          <w:szCs w:val="21"/>
        </w:rPr>
        <w:t>(3.6)</w:t>
      </w:r>
    </w:p>
    <w:p w14:paraId="7B5AFF68" w14:textId="77777777" w:rsidR="00E30FFE" w:rsidRDefault="002B33A7">
      <w:pPr>
        <w:ind w:firstLine="480"/>
        <w:jc w:val="both"/>
      </w:pPr>
      <w:r>
        <w:t>注入方式上，语言模型分支以固定权重线性并入深度分支：</w:t>
      </w:r>
    </w:p>
    <w:p w14:paraId="6D052BB8" w14:textId="77777777" w:rsidR="00E30FFE" w:rsidRDefault="002B33A7">
      <w:pPr>
        <w:tabs>
          <w:tab w:val="center" w:pos="4535"/>
          <w:tab w:val="right" w:pos="9060"/>
        </w:tabs>
        <w:spacing w:before="60" w:after="60" w:line="400" w:lineRule="atLeast"/>
      </w:pPr>
      <w:r>
        <w:tab/>
      </w:r>
      <m:oMath>
        <m:sSub>
          <m:sSubPr>
            <m:ctrlPr>
              <w:rPr>
                <w:rFonts w:ascii="Cambria Math" w:hAnsi="Cambria Math"/>
              </w:rPr>
            </m:ctrlPr>
          </m:sSubPr>
          <m:e>
            <m:r>
              <w:rPr>
                <w:rFonts w:ascii="Cambria Math" w:hAnsi="Cambria Math"/>
              </w:rPr>
              <m:t>S</m:t>
            </m:r>
          </m:e>
          <m:sub>
            <m:r>
              <w:rPr>
                <w:rFonts w:ascii="Cambria Math" w:hAnsi="Cambria Math"/>
              </w:rPr>
              <m:t>deep</m:t>
            </m:r>
          </m:sub>
        </m:sSub>
        <m:r>
          <w:rPr>
            <w:rFonts w:ascii="Cambria Math" w:hAnsi="Cambria Math"/>
          </w:rPr>
          <m:t xml:space="preserve">' = (1 - </m:t>
        </m:r>
        <m:r>
          <w:rPr>
            <w:rFonts w:ascii="Cambria Math" w:hAnsi="Cambria Math"/>
          </w:rPr>
          <m:t>w</m:t>
        </m:r>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deep</m:t>
            </m:r>
          </m:sub>
        </m:sSub>
        <m:r>
          <w:rPr>
            <w:rFonts w:ascii="Cambria Math" w:hAnsi="Cambria Math"/>
          </w:rPr>
          <m:t xml:space="preserve"> + </m:t>
        </m:r>
        <m:r>
          <w:rPr>
            <w:rFonts w:ascii="Cambria Math" w:hAnsi="Cambria Math"/>
          </w:rPr>
          <m:t>w</m:t>
        </m:r>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plm</m:t>
            </m:r>
          </m:sub>
        </m:sSub>
        <m:r>
          <w:rPr>
            <w:rFonts w:ascii="Cambria Math" w:hAnsi="Cambria Math"/>
          </w:rPr>
          <m:t xml:space="preserve">    (</m:t>
        </m:r>
        <m:r>
          <w:rPr>
            <w:rFonts w:ascii="Cambria Math" w:hAnsi="Cambria Math"/>
          </w:rPr>
          <m:t>w</m:t>
        </m:r>
        <m:r>
          <w:rPr>
            <w:rFonts w:ascii="Cambria Math" w:hAnsi="Cambria Math"/>
          </w:rPr>
          <m:t xml:space="preserve"> = 0.35)</m:t>
        </m:r>
      </m:oMath>
      <w:r>
        <w:tab/>
      </w:r>
      <w:r>
        <w:rPr>
          <w:color w:val="333333"/>
          <w:sz w:val="21"/>
          <w:szCs w:val="21"/>
        </w:rPr>
        <w:t>(3.7)</w:t>
      </w:r>
    </w:p>
    <w:p w14:paraId="7A6B2442" w14:textId="77777777" w:rsidR="00E30FFE" w:rsidRDefault="002B33A7">
      <w:pPr>
        <w:ind w:firstLine="480"/>
        <w:jc w:val="both"/>
      </w:pPr>
      <w:r>
        <w:t>权重</w:t>
      </w:r>
      <w:r>
        <w:t xml:space="preserve"> </w:t>
      </w:r>
      <w:r>
        <w:rPr>
          <w:i/>
          <w:iCs/>
        </w:rPr>
        <w:t>w</w:t>
      </w:r>
      <w:r>
        <w:t xml:space="preserve"> </w:t>
      </w:r>
      <w:r>
        <w:t>在验证集上于</w:t>
      </w:r>
      <w:r>
        <w:t xml:space="preserve"> </w:t>
      </w:r>
      <w:r>
        <w:rPr>
          <w:i/>
          <w:iCs/>
        </w:rPr>
        <w:t>w ∈ {0.15, 0.20, 0.25, 0.30, 0.35}</w:t>
      </w:r>
      <w:r>
        <w:t xml:space="preserve"> </w:t>
      </w:r>
      <w:r>
        <w:t>网格中选定。需要说明的是，语言模型分支从未接触任何同源比对信息，其误差结构与比对分支天然错开；</w:t>
      </w:r>
      <w:r>
        <w:t xml:space="preserve">5.6 </w:t>
      </w:r>
      <w:r>
        <w:t>节的消融将显示，这一分支贡献了融合增量的主要部分。</w:t>
      </w:r>
    </w:p>
    <w:p w14:paraId="7B5ADFE6" w14:textId="77777777" w:rsidR="00E30FFE" w:rsidRDefault="002B33A7">
      <w:pPr>
        <w:pStyle w:val="2"/>
        <w:keepNext/>
      </w:pPr>
      <w:bookmarkStart w:id="13" w:name="_Toc241140362"/>
      <w:r>
        <w:t>3.4</w:t>
      </w:r>
      <w:r>
        <w:t xml:space="preserve">　无参数互惠秩融合（</w:t>
      </w:r>
      <w:r>
        <w:t>Reciprocal Rank Fusion, RRF</w:t>
      </w:r>
      <w:r>
        <w:t>）</w:t>
      </w:r>
      <w:bookmarkEnd w:id="13"/>
    </w:p>
    <w:p w14:paraId="684C785B" w14:textId="77777777" w:rsidR="00E30FFE" w:rsidRDefault="002B33A7">
      <w:pPr>
        <w:ind w:firstLine="480"/>
        <w:jc w:val="both"/>
      </w:pPr>
      <w:r>
        <w:t>当深度学习预测分支与同源转移分支相交汇时，直接线性相加面临深度的数值刻度失调。比对分数的概率分布极度尖锐，在近缘同源体处迅速饱和至</w:t>
      </w:r>
      <w:r>
        <w:t xml:space="preserve"> 1.0</w:t>
      </w:r>
      <w:r>
        <w:t>，在远缘处直接归零；而深度神经网络的</w:t>
      </w:r>
      <w:r>
        <w:t xml:space="preserve"> Sigmoid </w:t>
      </w:r>
      <w:r>
        <w:t>输出相对平缓。为规避复杂参数化权重学习所引发的验证集过拟合，我们引入信息检索中的互惠秩融合（</w:t>
      </w:r>
      <w:r>
        <w:t>RRF</w:t>
      </w:r>
      <w:r>
        <w:t>）范式</w:t>
      </w:r>
      <w:r>
        <w:rPr>
          <w:sz w:val="21"/>
          <w:szCs w:val="21"/>
          <w:vertAlign w:val="superscript"/>
        </w:rPr>
        <w:t>[16]</w:t>
      </w:r>
      <w:r>
        <w:t>：</w:t>
      </w:r>
    </w:p>
    <w:p w14:paraId="58B23A5C" w14:textId="77777777" w:rsidR="00E30FFE" w:rsidRDefault="002B33A7">
      <w:pPr>
        <w:tabs>
          <w:tab w:val="center" w:pos="4535"/>
          <w:tab w:val="right" w:pos="9060"/>
        </w:tabs>
        <w:spacing w:before="60" w:after="60" w:line="400" w:lineRule="atLeast"/>
      </w:pPr>
      <w:r>
        <w:tab/>
      </w:r>
      <m:oMath>
        <m:r>
          <w:rPr>
            <w:rFonts w:ascii="Cambria Math" w:hAnsi="Cambria Math"/>
          </w:rPr>
          <m:t>RRF</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deep</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sim</m:t>
                </m:r>
              </m:sub>
            </m:sSub>
            <m:r>
              <w:rPr>
                <w:rFonts w:ascii="Cambria Math" w:hAnsi="Cambria Math"/>
              </w:rPr>
              <m:t xml:space="preserve">; </m:t>
            </m:r>
            <m:r>
              <w:rPr>
                <w:rFonts w:ascii="Cambria Math" w:hAnsi="Cambria Math"/>
              </w:rPr>
              <m:t>k</m:t>
            </m:r>
          </m:e>
        </m:d>
        <m:r>
          <w:rPr>
            <w:rFonts w:ascii="Cambria Math" w:hAnsi="Cambria Math"/>
          </w:rPr>
          <m:t xml:space="preserve">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k</m:t>
                </m:r>
                <m:r>
                  <w:rPr>
                    <w:rFonts w:ascii="Cambria Math" w:hAnsi="Cambria Math"/>
                  </w:rPr>
                  <m:t xml:space="preserve"> + </m:t>
                </m:r>
                <m:func>
                  <m:funcPr>
                    <m:ctrlPr>
                      <w:rPr>
                        <w:rFonts w:ascii="Cambria Math" w:hAnsi="Cambria Math"/>
                      </w:rPr>
                    </m:ctrlPr>
                  </m:funcPr>
                  <m:fName/>
                  <m:e>
                    <m:sSub>
                      <m:sSubPr>
                        <m:ctrlPr>
                          <w:rPr>
                            <w:rFonts w:ascii="Cambria Math" w:hAnsi="Cambria Math"/>
                          </w:rPr>
                        </m:ctrlPr>
                      </m:sSubPr>
                      <m:e>
                        <m:r>
                          <w:rPr>
                            <w:rFonts w:ascii="Cambria Math" w:hAnsi="Cambria Math"/>
                          </w:rPr>
                          <m:t>S</m:t>
                        </m:r>
                      </m:e>
                      <m:sub>
                        <m:r>
                          <w:rPr>
                            <w:rFonts w:ascii="Cambria Math" w:hAnsi="Cambria Math"/>
                          </w:rPr>
                          <m:t>deep</m:t>
                        </m:r>
                      </m:sub>
                    </m:sSub>
                  </m:e>
                </m:func>
                <m:r>
                  <w:rPr>
                    <w:rFonts w:ascii="Cambria Math" w:hAnsi="Cambria Math"/>
                  </w:rPr>
                  <m:t xml:space="preserve"> + 1</m:t>
                </m:r>
              </m:e>
            </m:d>
          </m:den>
        </m:f>
        <m:r>
          <w:rPr>
            <w:rFonts w:ascii="Cambria Math" w:hAnsi="Cambria Math"/>
          </w:rPr>
          <m:t xml:space="preserve">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k</m:t>
                </m:r>
                <m:r>
                  <w:rPr>
                    <w:rFonts w:ascii="Cambria Math" w:hAnsi="Cambria Math"/>
                  </w:rPr>
                  <m:t xml:space="preserve"> + </m:t>
                </m:r>
                <m:func>
                  <m:funcPr>
                    <m:ctrlPr>
                      <w:rPr>
                        <w:rFonts w:ascii="Cambria Math" w:hAnsi="Cambria Math"/>
                      </w:rPr>
                    </m:ctrlPr>
                  </m:funcPr>
                  <m:fName/>
                  <m:e>
                    <m:sSub>
                      <m:sSubPr>
                        <m:ctrlPr>
                          <w:rPr>
                            <w:rFonts w:ascii="Cambria Math" w:hAnsi="Cambria Math"/>
                          </w:rPr>
                        </m:ctrlPr>
                      </m:sSubPr>
                      <m:e>
                        <m:r>
                          <w:rPr>
                            <w:rFonts w:ascii="Cambria Math" w:hAnsi="Cambria Math"/>
                          </w:rPr>
                          <m:t>S</m:t>
                        </m:r>
                      </m:e>
                      <m:sub>
                        <m:r>
                          <w:rPr>
                            <w:rFonts w:ascii="Cambria Math" w:hAnsi="Cambria Math"/>
                          </w:rPr>
                          <m:t>sim</m:t>
                        </m:r>
                      </m:sub>
                    </m:sSub>
                  </m:e>
                </m:func>
                <m:r>
                  <w:rPr>
                    <w:rFonts w:ascii="Cambria Math" w:hAnsi="Cambria Math"/>
                  </w:rPr>
                  <m:t xml:space="preserve"> + 1</m:t>
                </m:r>
              </m:e>
            </m:d>
          </m:den>
        </m:f>
      </m:oMath>
      <w:r>
        <w:tab/>
      </w:r>
      <w:r>
        <w:rPr>
          <w:color w:val="333333"/>
          <w:sz w:val="21"/>
          <w:szCs w:val="21"/>
        </w:rPr>
        <w:t>(3.8)</w:t>
      </w:r>
    </w:p>
    <w:p w14:paraId="4875CC90" w14:textId="77777777" w:rsidR="00E30FFE" w:rsidRDefault="002B33A7">
      <w:pPr>
        <w:ind w:firstLine="480"/>
        <w:jc w:val="both"/>
      </w:pPr>
      <w:r>
        <w:t>其中</w:t>
      </w:r>
      <w:r>
        <w:t xml:space="preserve"> </w:t>
      </w:r>
      <w:r>
        <w:rPr>
          <w:i/>
          <w:iCs/>
        </w:rPr>
        <w:t>rank(·) ∈ {0, 1, ..., 499}</w:t>
      </w:r>
      <w:r>
        <w:t xml:space="preserve"> </w:t>
      </w:r>
      <w:r>
        <w:t>为各模型预测概率在样本内部的降序名次，</w:t>
      </w:r>
      <w:r>
        <w:rPr>
          <w:i/>
          <w:iCs/>
        </w:rPr>
        <w:t>k</w:t>
      </w:r>
      <w:r>
        <w:t xml:space="preserve"> </w:t>
      </w:r>
      <w:r>
        <w:t>为阻尼常数（基准设定为</w:t>
      </w:r>
      <w:r>
        <w:t xml:space="preserve"> </w:t>
      </w:r>
      <w:r>
        <w:rPr>
          <w:i/>
          <w:iCs/>
        </w:rPr>
        <w:t>k = 30</w:t>
      </w:r>
      <w:r>
        <w:t>）。</w:t>
      </w:r>
      <w:r>
        <w:t xml:space="preserve">RRF </w:t>
      </w:r>
      <w:r>
        <w:t>机制完全在序数空间运作，只强化在两路模型中位次靠前的高置信标签。随后，矩阵经列最小</w:t>
      </w:r>
      <w:r>
        <w:t>-</w:t>
      </w:r>
      <w:r>
        <w:t>最大归一化后注入主系统：</w:t>
      </w:r>
    </w:p>
    <w:p w14:paraId="6A3594CA" w14:textId="77777777" w:rsidR="00E30FFE" w:rsidRDefault="002B33A7">
      <w:pPr>
        <w:tabs>
          <w:tab w:val="center" w:pos="4535"/>
          <w:tab w:val="right" w:pos="9060"/>
        </w:tabs>
        <w:spacing w:before="60" w:after="60" w:line="400" w:lineRule="atLeast"/>
      </w:pPr>
      <w:r>
        <w:tab/>
      </w:r>
      <m:oMath>
        <m:sSub>
          <m:sSubPr>
            <m:ctrlPr>
              <w:rPr>
                <w:rFonts w:ascii="Cambria Math" w:hAnsi="Cambria Math"/>
              </w:rPr>
            </m:ctrlPr>
          </m:sSubPr>
          <m:e>
            <m:r>
              <w:rPr>
                <w:rFonts w:ascii="Cambria Math" w:hAnsi="Cambria Math"/>
              </w:rPr>
              <m:t>S</m:t>
            </m:r>
          </m:e>
          <m:sub>
            <m:r>
              <w:rPr>
                <w:rFonts w:ascii="Cambria Math" w:hAnsi="Cambria Math"/>
              </w:rPr>
              <m:t>rrf</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deep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sim</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sim</m:t>
            </m:r>
          </m:sub>
        </m:sSub>
        <m:r>
          <w:rPr>
            <w:rFonts w:ascii="Cambria Math" w:hAnsi="Cambria Math"/>
          </w:rPr>
          <m:t xml:space="preserve"> + </m:t>
        </m:r>
        <m:r>
          <w:rPr>
            <w:rFonts w:ascii="Cambria Math" w:hAnsi="Cambria Math"/>
          </w:rPr>
          <m:t>β</m:t>
        </m:r>
        <m:r>
          <w:rPr>
            <w:rFonts w:ascii="Cambria Math" w:hAnsi="Cambria Math"/>
          </w:rPr>
          <m:t xml:space="preserve"> · </m:t>
        </m:r>
        <m:func>
          <m:funcPr>
            <m:ctrlPr>
              <w:rPr>
                <w:rFonts w:ascii="Cambria Math" w:hAnsi="Cambria Math"/>
              </w:rPr>
            </m:ctrlPr>
          </m:funcPr>
          <m:fName/>
          <m:e>
            <m:d>
              <m:dPr>
                <m:ctrlPr>
                  <w:rPr>
                    <w:rFonts w:ascii="Cambria Math" w:hAnsi="Cambria Math"/>
                  </w:rPr>
                </m:ctrlPr>
              </m:dPr>
              <m:e>
                <m:r>
                  <w:rPr>
                    <w:rFonts w:ascii="Cambria Math" w:hAnsi="Cambria Math"/>
                  </w:rPr>
                  <m:t>RRF</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deep</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sim</m:t>
                        </m:r>
                      </m:sub>
                    </m:sSub>
                    <m:r>
                      <w:rPr>
                        <w:rFonts w:ascii="Cambria Math" w:hAnsi="Cambria Math"/>
                      </w:rPr>
                      <m:t>; 30</m:t>
                    </m:r>
                  </m:e>
                </m:d>
              </m:e>
            </m:d>
          </m:e>
        </m:func>
      </m:oMath>
      <w:r>
        <w:tab/>
      </w:r>
      <w:r>
        <w:rPr>
          <w:color w:val="333333"/>
          <w:sz w:val="21"/>
          <w:szCs w:val="21"/>
        </w:rPr>
        <w:t>(3.9)</w:t>
      </w:r>
    </w:p>
    <w:p w14:paraId="2499F97A" w14:textId="77777777" w:rsidR="00E30FFE" w:rsidRDefault="002B33A7">
      <w:pPr>
        <w:pStyle w:val="2"/>
        <w:keepNext/>
      </w:pPr>
      <w:bookmarkStart w:id="14" w:name="_Toc241140363"/>
      <w:r>
        <w:t>3.5</w:t>
      </w:r>
      <w:r>
        <w:t xml:space="preserve">　双边际约束的最优传输（</w:t>
      </w:r>
      <w:r>
        <w:t>Sinkhorn-Knopp</w:t>
      </w:r>
      <w:r>
        <w:t>）正则化</w:t>
      </w:r>
      <w:bookmarkEnd w:id="14"/>
    </w:p>
    <w:p w14:paraId="42048CF8" w14:textId="77777777" w:rsidR="00E30FFE" w:rsidRDefault="002B33A7">
      <w:pPr>
        <w:spacing w:line="400" w:lineRule="atLeast"/>
        <w:ind w:firstLine="480"/>
        <w:jc w:val="both"/>
      </w:pPr>
      <w:r>
        <w:t>在多标签决策阶段，长尾罕见标签常因响应偏弱被全局阈值遗漏，且样本激活数量容易偏离生物学常态。设代价矩阵为</w:t>
      </w:r>
      <w:r>
        <w:t xml:space="preserve"> </w:t>
      </w:r>
      <m:oMath>
        <m:r>
          <w:rPr>
            <w:rFonts w:ascii="Cambria Math" w:hAnsi="Cambria Math"/>
          </w:rPr>
          <m:t>C</m:t>
        </m:r>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rrf</m:t>
            </m:r>
          </m:sub>
        </m:sSub>
      </m:oMath>
      <w:r>
        <w:t>，我们将标签重分配建模为带有行</w:t>
      </w:r>
      <w:r>
        <w:t>-</w:t>
      </w:r>
      <w:r>
        <w:t>列双边际约束的熵正则化最优传输问题</w:t>
      </w:r>
      <w:r>
        <w:rPr>
          <w:sz w:val="21"/>
          <w:szCs w:val="21"/>
          <w:vertAlign w:val="superscript"/>
        </w:rPr>
        <w:t>[17,18]</w:t>
      </w:r>
      <w:r>
        <w:t>：</w:t>
      </w:r>
    </w:p>
    <w:p w14:paraId="43A0E328" w14:textId="77777777" w:rsidR="00E30FFE" w:rsidRDefault="002B33A7">
      <w:pPr>
        <w:tabs>
          <w:tab w:val="center" w:pos="4535"/>
          <w:tab w:val="right" w:pos="9060"/>
        </w:tabs>
        <w:spacing w:before="60" w:after="60" w:line="400" w:lineRule="atLeast"/>
      </w:pPr>
      <w:r>
        <w:tab/>
      </w:r>
      <m:oMath>
        <m:sSub>
          <m:sSubPr>
            <m:ctrlPr>
              <w:rPr>
                <w:rFonts w:ascii="Cambria Math" w:hAnsi="Cambria Math"/>
              </w:rPr>
            </m:ctrlPr>
          </m:sSubPr>
          <m:e>
            <m:r>
              <w:rPr>
                <w:rFonts w:ascii="Cambria Math" w:hAnsi="Cambria Math"/>
              </w:rPr>
              <m:t>min</m:t>
            </m:r>
          </m:e>
          <m:sub>
            <m:r>
              <w:rPr>
                <w:rFonts w:ascii="Cambria Math" w:hAnsi="Cambria Math"/>
              </w:rPr>
              <m:t>P</m:t>
            </m:r>
          </m:sub>
        </m:sSub>
        <m:r>
          <w:rPr>
            <w:rFonts w:ascii="Cambria Math" w:hAnsi="Cambria Math"/>
          </w:rPr>
          <m:t xml:space="preserve">  </m:t>
        </m:r>
        <m:d>
          <m:dPr>
            <m:begChr m:val="〈"/>
            <m:endChr m:val="〉"/>
            <m:ctrlPr>
              <w:rPr>
                <w:rFonts w:ascii="Cambria Math" w:hAnsi="Cambria Math"/>
              </w:rPr>
            </m:ctrlPr>
          </m:dPr>
          <m:e>
            <m:r>
              <w:rPr>
                <w:rFonts w:ascii="Cambria Math" w:hAnsi="Cambria Math"/>
              </w:rPr>
              <m:t>P</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rrf</m:t>
                </m:r>
              </m:sub>
            </m:sSub>
          </m:e>
        </m:d>
        <m:r>
          <w:rPr>
            <w:rFonts w:ascii="Cambria Math" w:hAnsi="Cambria Math"/>
          </w:rPr>
          <m:t xml:space="preserve"> + </m:t>
        </m:r>
        <m:r>
          <w:rPr>
            <w:rFonts w:ascii="Cambria Math" w:hAnsi="Cambria Math"/>
          </w:rPr>
          <m:t>τ</m:t>
        </m:r>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i</m:t>
            </m:r>
            <m:r>
              <w:rPr>
                <w:rFonts w:ascii="Cambria Math" w:hAnsi="Cambria Math"/>
              </w:rPr>
              <m:t xml:space="preserve"> = 1..</m:t>
            </m:r>
            <m:r>
              <w:rPr>
                <w:rFonts w:ascii="Cambria Math" w:hAnsi="Cambria Math"/>
              </w:rPr>
              <m:t>N</m:t>
            </m:r>
          </m:sub>
          <m:sup/>
          <m:e>
            <m:nary>
              <m:naryPr>
                <m:chr m:val="∑"/>
                <m:limLoc m:val="undOvr"/>
                <m:supHide m:val="1"/>
                <m:ctrlPr>
                  <w:rPr>
                    <w:rFonts w:ascii="Cambria Math" w:hAnsi="Cambria Math"/>
                  </w:rPr>
                </m:ctrlPr>
              </m:naryPr>
              <m:sub>
                <m:r>
                  <w:rPr>
                    <w:rFonts w:ascii="Cambria Math" w:hAnsi="Cambria Math"/>
                  </w:rPr>
                  <m:t>j</m:t>
                </m:r>
                <m:r>
                  <w:rPr>
                    <w:rFonts w:ascii="Cambria Math" w:hAnsi="Cambria Math"/>
                  </w:rPr>
                  <m:t xml:space="preserve"> = 1..</m:t>
                </m:r>
                <m:r>
                  <w:rPr>
                    <w:rFonts w:ascii="Cambria Math" w:hAnsi="Cambria Math"/>
                  </w:rPr>
                  <m:t>M</m:t>
                </m:r>
              </m:sub>
              <m:sup/>
              <m:e>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 xml:space="preserve"> · </m:t>
                </m:r>
                <m:func>
                  <m:funcPr>
                    <m:ctrlPr>
                      <w:rPr>
                        <w:rFonts w:ascii="Cambria Math" w:hAnsi="Cambria Math"/>
                      </w:rPr>
                    </m:ctrlPr>
                  </m:funcPr>
                  <m:fName/>
                  <m:e>
                    <m:sSub>
                      <m:sSubPr>
                        <m:ctrlPr>
                          <w:rPr>
                            <w:rFonts w:ascii="Cambria Math" w:hAnsi="Cambria Math"/>
                          </w:rPr>
                        </m:ctrlPr>
                      </m:sSubPr>
                      <m:e>
                        <m:r>
                          <w:rPr>
                            <w:rFonts w:ascii="Cambria Math" w:hAnsi="Cambria Math"/>
                          </w:rPr>
                          <m:t>P</m:t>
                        </m:r>
                      </m:e>
                      <m:sub>
                        <m:r>
                          <w:rPr>
                            <w:rFonts w:ascii="Cambria Math" w:hAnsi="Cambria Math"/>
                          </w:rPr>
                          <m:t>ij</m:t>
                        </m:r>
                      </m:sub>
                    </m:sSub>
                  </m:e>
                </m:func>
              </m:e>
            </m:nary>
          </m:e>
        </m:nary>
        <m:r>
          <w:rPr>
            <w:rFonts w:ascii="Cambria Math" w:hAnsi="Cambria Math"/>
          </w:rPr>
          <m:t xml:space="preserve">    </m:t>
        </m:r>
        <m:r>
          <w:rPr>
            <w:rFonts w:ascii="Cambria Math" w:hAnsi="Cambria Math"/>
          </w:rPr>
          <m:t>s</m:t>
        </m:r>
        <m:r>
          <w:rPr>
            <w:rFonts w:ascii="Cambria Math" w:hAnsi="Cambria Math"/>
          </w:rPr>
          <m:t>.</m:t>
        </m:r>
        <m:r>
          <w:rPr>
            <w:rFonts w:ascii="Cambria Math" w:hAnsi="Cambria Math"/>
          </w:rPr>
          <m:t>t</m:t>
        </m:r>
        <m:r>
          <w:rPr>
            <w:rFonts w:ascii="Cambria Math" w:hAnsi="Cambria Math"/>
          </w:rPr>
          <m:t xml:space="preserve">.  </m:t>
        </m:r>
        <m:r>
          <w:rPr>
            <w:rFonts w:ascii="Cambria Math" w:hAnsi="Cambria Math"/>
          </w:rPr>
          <m:t>P</m:t>
        </m:r>
        <m:r>
          <w:rPr>
            <w:rFonts w:ascii="Cambria Math" w:hAnsi="Cambria Math"/>
          </w:rPr>
          <m:t xml:space="preserve"> · </m:t>
        </m:r>
        <m:sSub>
          <m:sSubPr>
            <m:ctrlPr>
              <w:rPr>
                <w:rFonts w:ascii="Cambria Math" w:hAnsi="Cambria Math"/>
              </w:rPr>
            </m:ctrlPr>
          </m:sSubPr>
          <m:e>
            <m:r>
              <w:rPr>
                <w:rFonts w:ascii="Cambria Math" w:hAnsi="Cambria Math"/>
              </w:rPr>
              <m:t>1</m:t>
            </m:r>
          </m:e>
          <m:sub>
            <m:r>
              <w:rPr>
                <w:rFonts w:ascii="Cambria Math" w:hAnsi="Cambria Math"/>
              </w:rPr>
              <m:t>M</m:t>
            </m:r>
          </m:sub>
        </m:sSub>
        <m:r>
          <w:rPr>
            <w:rFonts w:ascii="Cambria Math" w:hAnsi="Cambria Math"/>
          </w:rPr>
          <m:t xml:space="preserve"> = </m:t>
        </m:r>
        <m:r>
          <w:rPr>
            <w:rFonts w:ascii="Cambria Math" w:hAnsi="Cambria Math"/>
          </w:rPr>
          <m:t>r</m:t>
        </m:r>
        <m:r>
          <w:rPr>
            <w:rFonts w:ascii="Cambria Math" w:hAnsi="Cambria Math"/>
          </w:rPr>
          <m:t xml:space="preserve">, </m:t>
        </m:r>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 xml:space="preserve"> · </m:t>
        </m:r>
        <m:sSub>
          <m:sSubPr>
            <m:ctrlPr>
              <w:rPr>
                <w:rFonts w:ascii="Cambria Math" w:hAnsi="Cambria Math"/>
              </w:rPr>
            </m:ctrlPr>
          </m:sSubPr>
          <m:e>
            <m:r>
              <w:rPr>
                <w:rFonts w:ascii="Cambria Math" w:hAnsi="Cambria Math"/>
              </w:rPr>
              <m:t>1</m:t>
            </m:r>
          </m:e>
          <m:sub>
            <m:r>
              <w:rPr>
                <w:rFonts w:ascii="Cambria Math" w:hAnsi="Cambria Math"/>
              </w:rPr>
              <m:t>N</m:t>
            </m:r>
          </m:sub>
        </m:sSub>
        <m:r>
          <w:rPr>
            <w:rFonts w:ascii="Cambria Math" w:hAnsi="Cambria Math"/>
          </w:rPr>
          <m:t xml:space="preserve"> = </m:t>
        </m:r>
        <m:r>
          <w:rPr>
            <w:rFonts w:ascii="Cambria Math" w:hAnsi="Cambria Math"/>
          </w:rPr>
          <m:t>c</m:t>
        </m:r>
      </m:oMath>
      <w:r>
        <w:tab/>
      </w:r>
      <w:r>
        <w:rPr>
          <w:color w:val="333333"/>
          <w:sz w:val="21"/>
          <w:szCs w:val="21"/>
        </w:rPr>
        <w:t>(3.10)</w:t>
      </w:r>
    </w:p>
    <w:p w14:paraId="0E373FF0" w14:textId="77777777" w:rsidR="00E30FFE" w:rsidRDefault="002B33A7">
      <w:pPr>
        <w:spacing w:line="400" w:lineRule="atLeast"/>
        <w:ind w:firstLine="480"/>
        <w:jc w:val="both"/>
      </w:pPr>
      <w:r>
        <w:t>其中</w:t>
      </w:r>
      <w:r>
        <w:t xml:space="preserve"> </w:t>
      </w:r>
      <w:r>
        <w:rPr>
          <w:i/>
          <w:iCs/>
        </w:rPr>
        <w:t>τ = 0.20</w:t>
      </w:r>
      <w:r>
        <w:t xml:space="preserve"> </w:t>
      </w:r>
      <w:r>
        <w:t>为平滑温度系数。行边际向量</w:t>
      </w:r>
      <w:r>
        <w:t xml:space="preserve"> </w:t>
      </w:r>
      <w:r>
        <w:rPr>
          <w:i/>
          <w:iCs/>
        </w:rPr>
        <w:t>r</w:t>
      </w:r>
      <w:r>
        <w:t xml:space="preserve"> </w:t>
      </w:r>
      <w:r>
        <w:t>根据样本初步预测基数自适应生成（</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m:t>
        </m:r>
        <m:r>
          <w:rPr>
            <w:rFonts w:ascii="Cambria Math" w:hAnsi="Cambria Math"/>
          </w:rPr>
          <m:t>max</m:t>
        </m:r>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e>
        </m:nary>
        <m:r>
          <w:rPr>
            <w:rFonts w:ascii="Cambria Math" w:hAnsi="Cambria Math"/>
          </w:rPr>
          <m:t>), 1)</m:t>
        </m:r>
      </m:oMath>
      <w:r>
        <w:t>）；列边际向量</w:t>
      </w:r>
      <w:r>
        <w:t xml:space="preserve"> </w:t>
      </w:r>
      <w:r>
        <w:rPr>
          <w:i/>
          <w:iCs/>
        </w:rPr>
        <w:t>c</w:t>
      </w:r>
      <w:r>
        <w:t xml:space="preserve"> </w:t>
      </w:r>
      <w:r>
        <w:t>由训练集经验先验标签频率对齐缩放给出。根据最优传输理论</w:t>
      </w:r>
      <w:r>
        <w:rPr>
          <w:sz w:val="21"/>
          <w:szCs w:val="21"/>
          <w:vertAlign w:val="superscript"/>
        </w:rPr>
        <w:t>[17]</w:t>
      </w:r>
      <w:r>
        <w:t>，最优解具有对偶矩阵缩放形式：</w:t>
      </w:r>
      <w:r>
        <w:rPr>
          <w:i/>
          <w:iCs/>
        </w:rPr>
        <w:t>P* = diag(u) · K · diag(v)</w:t>
      </w:r>
      <w:r>
        <w:t>，其中核矩阵</w:t>
      </w:r>
      <w:r>
        <w:t xml:space="preserve"> </w:t>
      </w:r>
      <m:oMath>
        <m:r>
          <w:rPr>
            <w:rFonts w:ascii="Cambria Math" w:hAnsi="Cambria Math"/>
          </w:rPr>
          <m:t>K</m:t>
        </m:r>
        <m:r>
          <w:rPr>
            <w:rFonts w:ascii="Cambria Math" w:hAnsi="Cambria Math"/>
          </w:rPr>
          <m:t xml:space="preserve"> = </m:t>
        </m:r>
        <m: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rrf</m:t>
            </m:r>
          </m:sub>
        </m:sSub>
        <m:r>
          <w:rPr>
            <w:rFonts w:ascii="Cambria Math" w:hAnsi="Cambria Math"/>
          </w:rPr>
          <m:t xml:space="preserve"> / </m:t>
        </m:r>
        <m:r>
          <w:rPr>
            <w:rFonts w:ascii="Cambria Math" w:hAnsi="Cambria Math"/>
          </w:rPr>
          <m:t>τ</m:t>
        </m:r>
        <m:r>
          <w:rPr>
            <w:rFonts w:ascii="Cambria Math" w:hAnsi="Cambria Math"/>
          </w:rPr>
          <m:t>)</m:t>
        </m:r>
      </m:oMath>
      <w:r>
        <w:t>。缩放因子通过极快的</w:t>
      </w:r>
      <w:r>
        <w:t xml:space="preserve"> Sinkhorn-Knopp </w:t>
      </w:r>
      <w:r>
        <w:t>交替投影高效迭代更新：</w:t>
      </w:r>
    </w:p>
    <w:p w14:paraId="789C9BD2" w14:textId="77777777" w:rsidR="00E30FFE" w:rsidRDefault="002B33A7">
      <w:pPr>
        <w:tabs>
          <w:tab w:val="center" w:pos="4535"/>
          <w:tab w:val="right" w:pos="9060"/>
        </w:tabs>
        <w:spacing w:before="60" w:after="60" w:line="400" w:lineRule="atLeast"/>
      </w:pPr>
      <w:r>
        <w:tab/>
      </w:r>
      <m:oMath>
        <m:sSup>
          <m:sSupPr>
            <m:ctrlPr>
              <w:rPr>
                <w:rFonts w:ascii="Cambria Math" w:hAnsi="Cambria Math"/>
              </w:rPr>
            </m:ctrlPr>
          </m:sSupPr>
          <m:e>
            <m:r>
              <w:rPr>
                <w:rFonts w:ascii="Cambria Math" w:hAnsi="Cambria Math"/>
              </w:rPr>
              <m:t>u</m:t>
            </m:r>
          </m:e>
          <m:sup>
            <m:r>
              <w:rPr>
                <w:rFonts w:ascii="Cambria Math" w:hAnsi="Cambria Math"/>
              </w:rPr>
              <m:t>(</m:t>
            </m:r>
            <m:r>
              <w:rPr>
                <w:rFonts w:ascii="Cambria Math" w:hAnsi="Cambria Math"/>
              </w:rPr>
              <m:t>t</m:t>
            </m:r>
            <m:r>
              <w:rPr>
                <w:rFonts w:ascii="Cambria Math" w:hAnsi="Cambria Math"/>
              </w:rPr>
              <m:t>+1)</m:t>
            </m:r>
          </m:sup>
        </m:sSup>
        <m:r>
          <w:rPr>
            <w:rFonts w:ascii="Cambria Math" w:hAnsi="Cambria Math"/>
          </w:rPr>
          <m:t xml:space="preserve"> = </m:t>
        </m:r>
        <m:f>
          <m:fPr>
            <m:ctrlPr>
              <w:rPr>
                <w:rFonts w:ascii="Cambria Math" w:hAnsi="Cambria Math"/>
              </w:rPr>
            </m:ctrlPr>
          </m:fPr>
          <m:num>
            <m:r>
              <w:rPr>
                <w:rFonts w:ascii="Cambria Math" w:hAnsi="Cambria Math"/>
              </w:rPr>
              <m:t>r</m:t>
            </m:r>
          </m:num>
          <m:den>
            <m:d>
              <m:dPr>
                <m:begChr m:val="["/>
                <m:endChr m:val="]"/>
                <m:ctrlPr>
                  <w:rPr>
                    <w:rFonts w:ascii="Cambria Math" w:hAnsi="Cambria Math"/>
                  </w:rPr>
                </m:ctrlPr>
              </m:dPr>
              <m:e>
                <m:r>
                  <w:rPr>
                    <w:rFonts w:ascii="Cambria Math" w:hAnsi="Cambria Math"/>
                  </w:rPr>
                  <m:t>K</m:t>
                </m:r>
                <m:r>
                  <w:rPr>
                    <w:rFonts w:ascii="Cambria Math" w:hAnsi="Cambria Math"/>
                  </w:rPr>
                  <m:t xml:space="preserve"> · </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t</m:t>
                    </m:r>
                    <m:r>
                      <w:rPr>
                        <w:rFonts w:ascii="Cambria Math" w:hAnsi="Cambria Math"/>
                      </w:rPr>
                      <m:t>)</m:t>
                    </m:r>
                  </m:sup>
                </m:sSup>
              </m:e>
            </m:d>
          </m:den>
        </m:f>
        <m:r>
          <w:rPr>
            <w:rFonts w:ascii="Cambria Math" w:hAnsi="Cambria Math"/>
          </w:rPr>
          <m:t xml:space="preserve">,    </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t</m:t>
            </m:r>
            <m:r>
              <w:rPr>
                <w:rFonts w:ascii="Cambria Math" w:hAnsi="Cambria Math"/>
              </w:rPr>
              <m:t>+1)</m:t>
            </m:r>
          </m:sup>
        </m:sSup>
        <m:r>
          <w:rPr>
            <w:rFonts w:ascii="Cambria Math" w:hAnsi="Cambria Math"/>
          </w:rPr>
          <m:t xml:space="preserve"> = </m:t>
        </m:r>
        <m:f>
          <m:fPr>
            <m:ctrlPr>
              <w:rPr>
                <w:rFonts w:ascii="Cambria Math" w:hAnsi="Cambria Math"/>
              </w:rPr>
            </m:ctrlPr>
          </m:fPr>
          <m:num>
            <m:r>
              <w:rPr>
                <w:rFonts w:ascii="Cambria Math" w:hAnsi="Cambria Math"/>
              </w:rPr>
              <m:t>c</m:t>
            </m:r>
          </m:num>
          <m:den>
            <m:d>
              <m:dPr>
                <m:begChr m:val="["/>
                <m:endChr m:val="]"/>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T</m:t>
                    </m:r>
                  </m:sup>
                </m:sSup>
                <m:r>
                  <w:rPr>
                    <w:rFonts w:ascii="Cambria Math" w:hAnsi="Cambria Math"/>
                  </w:rPr>
                  <m:t xml:space="preserve"> · </m:t>
                </m:r>
                <m:sSup>
                  <m:sSupPr>
                    <m:ctrlPr>
                      <w:rPr>
                        <w:rFonts w:ascii="Cambria Math" w:hAnsi="Cambria Math"/>
                      </w:rPr>
                    </m:ctrlPr>
                  </m:sSupPr>
                  <m:e>
                    <m:r>
                      <w:rPr>
                        <w:rFonts w:ascii="Cambria Math" w:hAnsi="Cambria Math"/>
                      </w:rPr>
                      <m:t>u</m:t>
                    </m:r>
                  </m:e>
                  <m:sup>
                    <m:r>
                      <w:rPr>
                        <w:rFonts w:ascii="Cambria Math" w:hAnsi="Cambria Math"/>
                      </w:rPr>
                      <m:t>(</m:t>
                    </m:r>
                    <m:r>
                      <w:rPr>
                        <w:rFonts w:ascii="Cambria Math" w:hAnsi="Cambria Math"/>
                      </w:rPr>
                      <m:t>t</m:t>
                    </m:r>
                    <m:r>
                      <w:rPr>
                        <w:rFonts w:ascii="Cambria Math" w:hAnsi="Cambria Math"/>
                      </w:rPr>
                      <m:t>+1)</m:t>
                    </m:r>
                  </m:sup>
                </m:sSup>
              </m:e>
            </m:d>
          </m:den>
        </m:f>
      </m:oMath>
      <w:r>
        <w:tab/>
      </w:r>
      <w:r>
        <w:rPr>
          <w:color w:val="333333"/>
          <w:sz w:val="21"/>
          <w:szCs w:val="21"/>
        </w:rPr>
        <w:t>(3.11)</w:t>
      </w:r>
    </w:p>
    <w:p w14:paraId="2B12CBFD" w14:textId="77777777" w:rsidR="00E30FFE" w:rsidRDefault="002B33A7">
      <w:pPr>
        <w:spacing w:line="400" w:lineRule="atLeast"/>
        <w:ind w:firstLine="480"/>
        <w:jc w:val="both"/>
      </w:pPr>
      <w:r>
        <w:t>经数十次矩阵</w:t>
      </w:r>
      <w:r>
        <w:t>-</w:t>
      </w:r>
      <w:r>
        <w:t>向量乘法即可完成高精度数值收敛。求得的最优分配矩阵</w:t>
      </w:r>
      <w:r>
        <w:t xml:space="preserve"> </w:t>
      </w:r>
      <m:oMath>
        <m:sSub>
          <m:sSubPr>
            <m:ctrlPr>
              <w:rPr>
                <w:rFonts w:ascii="Cambria Math" w:hAnsi="Cambria Math"/>
              </w:rPr>
            </m:ctrlPr>
          </m:sSubPr>
          <m:e>
            <m:r>
              <w:rPr>
                <w:rFonts w:ascii="Cambria Math" w:hAnsi="Cambria Math"/>
              </w:rPr>
              <m:t>P</m:t>
            </m:r>
          </m:e>
          <m:sub>
            <m:r>
              <w:rPr>
                <w:rFonts w:ascii="Cambria Math" w:hAnsi="Cambria Math"/>
              </w:rPr>
              <m:t>sk</m:t>
            </m:r>
          </m:sub>
        </m:sSub>
      </m:oMath>
      <w:r>
        <w:t xml:space="preserve"> </w:t>
      </w:r>
      <w:r>
        <w:t>与原</w:t>
      </w:r>
      <w:r>
        <w:t xml:space="preserve"> RRF </w:t>
      </w:r>
      <w:r>
        <w:t>评分进行凸组合，得到最终预测评分：</w:t>
      </w:r>
    </w:p>
    <w:p w14:paraId="0B2876C4" w14:textId="77777777" w:rsidR="00E30FFE" w:rsidRDefault="002B33A7">
      <w:pPr>
        <w:tabs>
          <w:tab w:val="center" w:pos="4535"/>
          <w:tab w:val="right" w:pos="9060"/>
        </w:tabs>
        <w:spacing w:before="60" w:after="60" w:line="400" w:lineRule="atLeast"/>
      </w:pPr>
      <w:r>
        <w:tab/>
      </w:r>
      <m:oMath>
        <m:sSub>
          <m:sSubPr>
            <m:ctrlPr>
              <w:rPr>
                <w:rFonts w:ascii="Cambria Math" w:hAnsi="Cambria Math"/>
              </w:rPr>
            </m:ctrlPr>
          </m:sSubPr>
          <m:e>
            <m:r>
              <w:rPr>
                <w:rFonts w:ascii="Cambria Math" w:hAnsi="Cambria Math"/>
              </w:rPr>
              <m:t>S</m:t>
            </m:r>
          </m:e>
          <m:sub>
            <m:r>
              <w:rPr>
                <w:rFonts w:ascii="Cambria Math" w:hAnsi="Cambria Math"/>
              </w:rPr>
              <m:t>final</m:t>
            </m:r>
          </m:sub>
        </m:sSub>
        <m:r>
          <w:rPr>
            <w:rFonts w:ascii="Cambria Math" w:hAnsi="Cambria Math"/>
          </w:rPr>
          <m:t xml:space="preserve"> = (1 - </m:t>
        </m:r>
        <m:sSub>
          <m:sSubPr>
            <m:ctrlPr>
              <w:rPr>
                <w:rFonts w:ascii="Cambria Math" w:hAnsi="Cambria Math"/>
              </w:rPr>
            </m:ctrlPr>
          </m:sSubPr>
          <m:e>
            <m:r>
              <w:rPr>
                <w:rFonts w:ascii="Cambria Math" w:hAnsi="Cambria Math"/>
              </w:rPr>
              <m:t>α</m:t>
            </m:r>
          </m:e>
          <m:sub>
            <m:r>
              <w:rPr>
                <w:rFonts w:ascii="Cambria Math" w:hAnsi="Cambria Math"/>
              </w:rPr>
              <m:t>sk</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rrf</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sk</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sk</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sk</m:t>
            </m:r>
          </m:sub>
        </m:sSub>
        <m:r>
          <w:rPr>
            <w:rFonts w:ascii="Cambria Math" w:hAnsi="Cambria Math"/>
          </w:rPr>
          <m:t xml:space="preserve"> = 0.60)</m:t>
        </m:r>
      </m:oMath>
      <w:r>
        <w:tab/>
      </w:r>
      <w:r>
        <w:rPr>
          <w:color w:val="333333"/>
          <w:sz w:val="21"/>
          <w:szCs w:val="21"/>
        </w:rPr>
        <w:t>(3.12)</w:t>
      </w:r>
    </w:p>
    <w:p w14:paraId="2A60E61E" w14:textId="77777777" w:rsidR="00E30FFE" w:rsidRDefault="002B33A7">
      <w:pPr>
        <w:spacing w:line="400" w:lineRule="atLeast"/>
        <w:ind w:firstLine="480"/>
        <w:jc w:val="both"/>
      </w:pPr>
      <w:r>
        <w:t>最终，通过在独立验证集上应用逐标签自适应决策阈值搜索策略（</w:t>
      </w:r>
      <w:r>
        <w:t>SCut</w:t>
      </w:r>
      <w:r>
        <w:t>）</w:t>
      </w:r>
      <w:r>
        <w:rPr>
          <w:sz w:val="21"/>
          <w:szCs w:val="21"/>
          <w:vertAlign w:val="superscript"/>
        </w:rPr>
        <w:t>[19]</w:t>
      </w:r>
      <w:r>
        <w:t xml:space="preserve"> </w:t>
      </w:r>
      <w:r>
        <w:t>确定最优决策阈值向量</w:t>
      </w:r>
      <w:r>
        <w:t xml:space="preserve"> </w:t>
      </w:r>
      <w:r>
        <w:rPr>
          <w:i/>
          <w:iCs/>
        </w:rPr>
        <w:t>t* = (t₁*, t₂*, ..., t₅₀₀*)</w:t>
      </w:r>
      <w:r>
        <w:t>，输出最终离散预测注释：</w:t>
      </w: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 xml:space="preserve"> = </m:t>
        </m:r>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final</m:t>
            </m:r>
            <m:r>
              <w:rPr>
                <w:rFonts w:ascii="Cambria Math" w:hAnsi="Cambria Math"/>
              </w:rPr>
              <m:t xml:space="preserve">, </m:t>
            </m:r>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j</m:t>
            </m:r>
            <m:r>
              <w:rPr>
                <w:rFonts w:ascii="Cambria Math" w:hAnsi="Cambria Math"/>
              </w:rPr>
              <m:t>*</m:t>
            </m:r>
          </m:sub>
        </m:sSub>
        <m:r>
          <w:rPr>
            <w:rFonts w:ascii="Cambria Math" w:hAnsi="Cambria Math"/>
          </w:rPr>
          <m:t>]</m:t>
        </m:r>
      </m:oMath>
      <w:r>
        <w:t>。</w:t>
      </w:r>
    </w:p>
    <w:p w14:paraId="6268C71E" w14:textId="77777777" w:rsidR="00E30FFE" w:rsidRDefault="002B33A7">
      <w:pPr>
        <w:pStyle w:val="1"/>
        <w:keepNext/>
        <w:pageBreakBefore/>
        <w:spacing w:before="0" w:after="240"/>
      </w:pPr>
      <w:bookmarkStart w:id="15" w:name="_Toc241140364"/>
      <w:r>
        <w:t>第</w:t>
      </w:r>
      <w:r>
        <w:t>4</w:t>
      </w:r>
      <w:r>
        <w:t>章　实验设计与评测协议</w:t>
      </w:r>
      <w:bookmarkEnd w:id="15"/>
    </w:p>
    <w:p w14:paraId="68ABA8E8" w14:textId="77777777" w:rsidR="00E30FFE" w:rsidRDefault="002B33A7">
      <w:pPr>
        <w:pStyle w:val="2"/>
        <w:keepNext/>
      </w:pPr>
      <w:bookmarkStart w:id="16" w:name="_Toc241140365"/>
      <w:r>
        <w:t>4.1</w:t>
      </w:r>
      <w:r>
        <w:t xml:space="preserve">　数据集切分与防泄漏隔离</w:t>
      </w:r>
      <w:bookmarkEnd w:id="16"/>
    </w:p>
    <w:p w14:paraId="1C7BB269" w14:textId="77777777" w:rsidR="00E30FFE" w:rsidRDefault="002B33A7">
      <w:pPr>
        <w:ind w:firstLine="480"/>
        <w:jc w:val="both"/>
      </w:pPr>
      <w:r>
        <w:t>实验数据集按</w:t>
      </w:r>
      <w:r>
        <w:t xml:space="preserve"> 8:2 </w:t>
      </w:r>
      <w:r>
        <w:t>比例随机划分，固定随机种子</w:t>
      </w:r>
      <w:r>
        <w:t xml:space="preserve"> </w:t>
      </w:r>
      <w:r>
        <w:rPr>
          <w:i/>
          <w:iCs/>
        </w:rPr>
        <w:t>seed = 42</w:t>
      </w:r>
      <w:r>
        <w:t>。全集</w:t>
      </w:r>
      <w:r>
        <w:t xml:space="preserve"> 113,796 </w:t>
      </w:r>
      <w:r>
        <w:t>条样本被划分为包含</w:t>
      </w:r>
      <w:r>
        <w:t xml:space="preserve"> 91,036 </w:t>
      </w:r>
      <w:r>
        <w:t>条样本的训练集与</w:t>
      </w:r>
      <w:r>
        <w:t xml:space="preserve"> 22,760 </w:t>
      </w:r>
      <w:r>
        <w:t>条样本的独立验证集。训练集用于模型参数学习、</w:t>
      </w:r>
      <w:r>
        <w:t xml:space="preserve">DIAMOND </w:t>
      </w:r>
      <w:r>
        <w:t>数据库构建以及列先验频率提取；验证集严格封闭，仅在最终评估推断与消融比较时使用，杜绝任何形式的信息泄露。</w:t>
      </w:r>
    </w:p>
    <w:p w14:paraId="50782FB9" w14:textId="77777777" w:rsidR="00E30FFE" w:rsidRDefault="002B33A7">
      <w:pPr>
        <w:pStyle w:val="2"/>
        <w:keepNext/>
      </w:pPr>
      <w:bookmarkStart w:id="17" w:name="_Toc241140366"/>
      <w:r>
        <w:t>4.2</w:t>
      </w:r>
      <w:r>
        <w:t xml:space="preserve">　评测指标定义</w:t>
      </w:r>
      <w:bookmarkEnd w:id="17"/>
    </w:p>
    <w:p w14:paraId="2DCBB449" w14:textId="77777777" w:rsidR="00E30FFE" w:rsidRDefault="002B33A7">
      <w:pPr>
        <w:ind w:firstLine="480"/>
        <w:jc w:val="both"/>
      </w:pPr>
      <w:r>
        <w:t xml:space="preserve">500 </w:t>
      </w:r>
      <w:r>
        <w:t>个标签的训练频次横跨约两个数量级，逐标签的判别难度差异悬殊。模型评价以宏平均</w:t>
      </w:r>
      <w:r>
        <w:t xml:space="preserve"> F1 </w:t>
      </w:r>
      <w:r>
        <w:t>分数（</w:t>
      </w:r>
      <w:r>
        <w:t>Macro F1</w:t>
      </w:r>
      <w:r>
        <w:t>）为核心指标，同时辅助统计宏平均精确率（</w:t>
      </w:r>
      <w:r>
        <w:t>Macro P</w:t>
      </w:r>
      <w:r>
        <w:t>）、宏平均召回率（</w:t>
      </w:r>
      <w:r>
        <w:t>Macro R</w:t>
      </w:r>
      <w:r>
        <w:t>）以及宏平均受试者工作特征曲线下面积（</w:t>
      </w:r>
      <w:r>
        <w:t>Macro ROC-AUC</w:t>
      </w:r>
      <w:r>
        <w:t>）：</w:t>
      </w:r>
    </w:p>
    <w:p w14:paraId="7AD01375" w14:textId="77777777" w:rsidR="00E30FFE" w:rsidRDefault="002B33A7">
      <w:pPr>
        <w:tabs>
          <w:tab w:val="center" w:pos="4535"/>
          <w:tab w:val="right" w:pos="9060"/>
        </w:tabs>
        <w:spacing w:before="60" w:after="60" w:line="400" w:lineRule="atLeast"/>
      </w:pPr>
      <w:r>
        <w:tab/>
      </w:r>
      <m:oMath>
        <m:r>
          <w:rPr>
            <w:rFonts w:ascii="Cambria Math" w:hAnsi="Cambria Math"/>
          </w:rPr>
          <m:t>Macro</m:t>
        </m:r>
        <m:r>
          <w:rPr>
            <w:rFonts w:ascii="Cambria Math" w:hAnsi="Cambria Math"/>
          </w:rPr>
          <m:t xml:space="preserve"> </m:t>
        </m:r>
        <m:r>
          <w:rPr>
            <w:rFonts w:ascii="Cambria Math" w:hAnsi="Cambria Math"/>
          </w:rPr>
          <m:t>F</m:t>
        </m:r>
        <m:r>
          <w:rPr>
            <w:rFonts w:ascii="Cambria Math" w:hAnsi="Cambria Math"/>
          </w:rPr>
          <m:t xml:space="preserve">1 = </m:t>
        </m:r>
        <m:f>
          <m:fPr>
            <m:ctrlPr>
              <w:rPr>
                <w:rFonts w:ascii="Cambria Math" w:hAnsi="Cambria Math"/>
              </w:rPr>
            </m:ctrlPr>
          </m:fPr>
          <m:num>
            <m:r>
              <w:rPr>
                <w:rFonts w:ascii="Cambria Math" w:hAnsi="Cambria Math"/>
              </w:rPr>
              <m:t>1</m:t>
            </m:r>
          </m:num>
          <m:den>
            <m:r>
              <w:rPr>
                <w:rFonts w:ascii="Cambria Math" w:hAnsi="Cambria Math"/>
              </w:rPr>
              <m:t>M</m:t>
            </m:r>
          </m:den>
        </m:f>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m:t>
            </m:r>
            <m:r>
              <w:rPr>
                <w:rFonts w:ascii="Cambria Math" w:hAnsi="Cambria Math"/>
              </w:rPr>
              <m:t xml:space="preserve"> = 1..</m:t>
            </m:r>
            <m:r>
              <w:rPr>
                <w:rFonts w:ascii="Cambria Math" w:hAnsi="Cambria Math"/>
              </w:rPr>
              <m:t>M</m:t>
            </m:r>
          </m:sub>
          <m:sup/>
          <m:e>
            <m:f>
              <m:fPr>
                <m:ctrlPr>
                  <w:rPr>
                    <w:rFonts w:ascii="Cambria Math" w:hAnsi="Cambria Math"/>
                  </w:rPr>
                </m:ctrlPr>
              </m:fPr>
              <m:num>
                <m:d>
                  <m:dPr>
                    <m:begChr m:val="["/>
                    <m:endChr m:val="]"/>
                    <m:ctrlPr>
                      <w:rPr>
                        <w:rFonts w:ascii="Cambria Math" w:hAnsi="Cambria Math"/>
                      </w:rPr>
                    </m:ctrlPr>
                  </m:dPr>
                  <m:e>
                    <m:r>
                      <w:rPr>
                        <w:rFonts w:ascii="Cambria Math" w:hAnsi="Cambria Math"/>
                      </w:rPr>
                      <m:t xml:space="preserve">2 · </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j</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xml:space="preserve"> + </m:t>
                    </m:r>
                    <m:r>
                      <w:rPr>
                        <w:rFonts w:ascii="Cambria Math" w:hAnsi="Cambria Math"/>
                      </w:rPr>
                      <m:t>ε</m:t>
                    </m:r>
                  </m:e>
                </m:d>
              </m:den>
            </m:f>
          </m:e>
        </m:nary>
      </m:oMath>
      <w:r>
        <w:tab/>
      </w:r>
      <w:r>
        <w:rPr>
          <w:color w:val="333333"/>
          <w:sz w:val="21"/>
          <w:szCs w:val="21"/>
        </w:rPr>
        <w:t>(5.1)</w:t>
      </w:r>
    </w:p>
    <w:p w14:paraId="1B875F86" w14:textId="77777777" w:rsidR="00E30FFE" w:rsidRDefault="002B33A7">
      <w:pPr>
        <w:spacing w:line="400" w:lineRule="atLeast"/>
        <w:ind w:firstLine="480"/>
        <w:jc w:val="both"/>
      </w:pPr>
      <w:r>
        <w:t>其中</w:t>
      </w:r>
      <w: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TP</m:t>
                </m:r>
              </m:e>
              <m:sub>
                <m:r>
                  <w:rPr>
                    <w:rFonts w:ascii="Cambria Math" w:hAnsi="Cambria Math"/>
                  </w:rPr>
                  <m:t>j</m:t>
                </m:r>
              </m:sub>
            </m:sSub>
          </m:num>
          <m:den>
            <m:sSub>
              <m:sSubPr>
                <m:ctrlPr>
                  <w:rPr>
                    <w:rFonts w:ascii="Cambria Math" w:hAnsi="Cambria Math"/>
                  </w:rPr>
                </m:ctrlPr>
              </m:sSubPr>
              <m:e>
                <m:r>
                  <w:rPr>
                    <w:rFonts w:ascii="Cambria Math" w:hAnsi="Cambria Math"/>
                  </w:rPr>
                  <m:t>TP</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FP</m:t>
                </m:r>
              </m:e>
              <m:sub>
                <m:r>
                  <w:rPr>
                    <w:rFonts w:ascii="Cambria Math" w:hAnsi="Cambria Math"/>
                  </w:rPr>
                  <m:t>j</m:t>
                </m:r>
              </m:sub>
            </m:sSub>
          </m:den>
        </m:f>
      </m:oMath>
      <w:r>
        <w:t>，</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TP</m:t>
                </m:r>
              </m:e>
              <m:sub>
                <m:r>
                  <w:rPr>
                    <w:rFonts w:ascii="Cambria Math" w:hAnsi="Cambria Math"/>
                  </w:rPr>
                  <m:t>j</m:t>
                </m:r>
              </m:sub>
            </m:sSub>
          </m:num>
          <m:den>
            <m:sSub>
              <m:sSubPr>
                <m:ctrlPr>
                  <w:rPr>
                    <w:rFonts w:ascii="Cambria Math" w:hAnsi="Cambria Math"/>
                  </w:rPr>
                </m:ctrlPr>
              </m:sSubPr>
              <m:e>
                <m:r>
                  <w:rPr>
                    <w:rFonts w:ascii="Cambria Math" w:hAnsi="Cambria Math"/>
                  </w:rPr>
                  <m:t>TP</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FN</m:t>
                </m:r>
              </m:e>
              <m:sub>
                <m:r>
                  <w:rPr>
                    <w:rFonts w:ascii="Cambria Math" w:hAnsi="Cambria Math"/>
                  </w:rPr>
                  <m:t>j</m:t>
                </m:r>
              </m:sub>
            </m:sSub>
          </m:den>
        </m:f>
      </m:oMath>
      <w:r>
        <w:t>。为考察排序质量的前端表现，补充统计部分</w:t>
      </w:r>
      <w:r>
        <w:t xml:space="preserve"> AUC</w:t>
      </w:r>
      <w:r>
        <w:t>（</w:t>
      </w:r>
      <w:r>
        <w:t>pAUC</w:t>
      </w:r>
      <w:r>
        <w:t>，即假阳性率</w:t>
      </w:r>
      <w:r>
        <w:t xml:space="preserve"> </w:t>
      </w:r>
      <w:r>
        <w:rPr>
          <w:i/>
          <w:iCs/>
        </w:rPr>
        <w:t>∈ [0, 0.10]</w:t>
      </w:r>
      <w:r>
        <w:t xml:space="preserve"> </w:t>
      </w:r>
      <w:r>
        <w:t>区间内归一化的曲线下面积）与固定假阳性率处的召回率</w:t>
      </w:r>
      <w:r>
        <w:t xml:space="preserve"> </w:t>
      </w:r>
      <w:r>
        <w:rPr>
          <w:i/>
          <w:iCs/>
        </w:rPr>
        <w:t>R@FPR</w:t>
      </w:r>
      <w:r>
        <w:t>，二者只依赖分数排序，与阈值选取无关。为了全面检验模型在极端生物进化场景下的稳健性，我们将验证集严格解耦为两个互斥子集：</w:t>
      </w:r>
    </w:p>
    <w:p w14:paraId="33686070" w14:textId="77777777" w:rsidR="00E30FFE" w:rsidRDefault="002B33A7">
      <w:pPr>
        <w:ind w:firstLine="480"/>
        <w:jc w:val="both"/>
      </w:pPr>
      <w:r>
        <w:rPr>
          <w:b/>
          <w:bCs/>
        </w:rPr>
        <w:t>（</w:t>
      </w:r>
      <w:r>
        <w:rPr>
          <w:b/>
          <w:bCs/>
        </w:rPr>
        <w:t>1</w:t>
      </w:r>
      <w:r>
        <w:rPr>
          <w:b/>
          <w:bCs/>
        </w:rPr>
        <w:t>）同源命中子集（</w:t>
      </w:r>
      <w:r>
        <w:rPr>
          <w:b/>
          <w:bCs/>
        </w:rPr>
        <w:t>Hit Subset, N=21,012, 92.3%</w:t>
      </w:r>
      <w:r>
        <w:rPr>
          <w:b/>
          <w:bCs/>
        </w:rPr>
        <w:t>）：</w:t>
      </w:r>
      <w:r>
        <w:t>存在至少一条</w:t>
      </w:r>
      <w:r>
        <w:t xml:space="preserve"> E-value ≤ 0.001 </w:t>
      </w:r>
      <w:r>
        <w:t>局部对齐命中的高相似度序列群体。</w:t>
      </w:r>
    </w:p>
    <w:p w14:paraId="46486A79" w14:textId="77777777" w:rsidR="00E30FFE" w:rsidRDefault="002B33A7">
      <w:pPr>
        <w:ind w:firstLine="480"/>
        <w:jc w:val="both"/>
      </w:pPr>
      <w:r>
        <w:rPr>
          <w:b/>
          <w:bCs/>
        </w:rPr>
        <w:t>（</w:t>
      </w:r>
      <w:r>
        <w:rPr>
          <w:b/>
          <w:bCs/>
        </w:rPr>
        <w:t>2</w:t>
      </w:r>
      <w:r>
        <w:rPr>
          <w:b/>
          <w:bCs/>
        </w:rPr>
        <w:t>）零同源无命中子集（</w:t>
      </w:r>
      <w:r>
        <w:rPr>
          <w:b/>
          <w:bCs/>
        </w:rPr>
        <w:t>Miss Subset, N=1,748, 7.7%</w:t>
      </w:r>
      <w:r>
        <w:rPr>
          <w:b/>
          <w:bCs/>
        </w:rPr>
        <w:t>）：</w:t>
      </w:r>
      <w:r>
        <w:t>在训练集中无法检索到任何统计显著比对的远缘孤儿序列群体，用于检验深度网络的纯泛化兜底边界。</w:t>
      </w:r>
    </w:p>
    <w:p w14:paraId="6329903A" w14:textId="77777777" w:rsidR="00E30FFE" w:rsidRDefault="002B33A7">
      <w:pPr>
        <w:pStyle w:val="1"/>
        <w:keepNext/>
        <w:pageBreakBefore/>
        <w:spacing w:before="0" w:after="240"/>
      </w:pPr>
      <w:bookmarkStart w:id="18" w:name="_Toc241140367"/>
      <w:r>
        <w:t>第</w:t>
      </w:r>
      <w:r>
        <w:t>5</w:t>
      </w:r>
      <w:r>
        <w:t>章　模型构建、评估与系统级分析</w:t>
      </w:r>
      <w:bookmarkEnd w:id="18"/>
    </w:p>
    <w:p w14:paraId="4C8EECF7" w14:textId="77777777" w:rsidR="00E30FFE" w:rsidRDefault="002B33A7">
      <w:pPr>
        <w:pStyle w:val="2"/>
        <w:keepNext/>
      </w:pPr>
      <w:bookmarkStart w:id="19" w:name="_Toc241140368"/>
      <w:r>
        <w:t>5.1</w:t>
      </w:r>
      <w:r>
        <w:t xml:space="preserve">　端到端逐级消融对比分析</w:t>
      </w:r>
      <w:bookmarkEnd w:id="19"/>
    </w:p>
    <w:p w14:paraId="2225AF27" w14:textId="77777777" w:rsidR="00E30FFE" w:rsidRDefault="002B33A7">
      <w:pPr>
        <w:ind w:firstLine="480"/>
        <w:jc w:val="both"/>
      </w:pPr>
      <w:r>
        <w:t>表</w:t>
      </w:r>
      <w:r>
        <w:t xml:space="preserve"> 5.1 </w:t>
      </w:r>
      <w:r>
        <w:t>详细记录了从单模态基线到完整</w:t>
      </w:r>
      <w:r>
        <w:t xml:space="preserve"> HDMR-Sinkhorn </w:t>
      </w:r>
      <w:r>
        <w:t>框架的</w:t>
      </w:r>
      <w:r>
        <w:t xml:space="preserve"> 7 </w:t>
      </w:r>
      <w:r>
        <w:t>个代表性模型变体的多维指标评测结果，图</w:t>
      </w:r>
      <w:r>
        <w:t xml:space="preserve"> 5.1 </w:t>
      </w:r>
      <w:r>
        <w:t>展示了对应的性能演进阶梯与子集切片。</w:t>
      </w:r>
    </w:p>
    <w:p w14:paraId="1ABD2278" w14:textId="77777777" w:rsidR="00E30FFE" w:rsidRDefault="002B33A7">
      <w:pPr>
        <w:keepNext/>
        <w:spacing w:before="120" w:after="20"/>
        <w:jc w:val="center"/>
      </w:pPr>
      <w:r>
        <w:rPr>
          <w:rFonts w:eastAsia="黑体"/>
          <w:sz w:val="21"/>
          <w:szCs w:val="21"/>
        </w:rPr>
        <w:t>表</w:t>
      </w:r>
      <w:r>
        <w:rPr>
          <w:b/>
          <w:bCs/>
          <w:sz w:val="21"/>
          <w:szCs w:val="21"/>
        </w:rPr>
        <w:t>5.1</w:t>
      </w:r>
      <w:r>
        <w:rPr>
          <w:rFonts w:eastAsia="黑体"/>
          <w:sz w:val="21"/>
          <w:szCs w:val="21"/>
        </w:rPr>
        <w:t xml:space="preserve">　</w:t>
      </w:r>
      <w:r>
        <w:rPr>
          <w:rFonts w:eastAsia="黑体"/>
          <w:sz w:val="21"/>
          <w:szCs w:val="21"/>
        </w:rPr>
        <w:t xml:space="preserve">HDMR-Sinkhorn </w:t>
      </w:r>
      <w:r>
        <w:rPr>
          <w:rFonts w:eastAsia="黑体"/>
          <w:sz w:val="21"/>
          <w:szCs w:val="21"/>
        </w:rPr>
        <w:t>各架构组件逐级消融与子集切片性能评估</w:t>
      </w:r>
    </w:p>
    <w:p w14:paraId="64E00B04" w14:textId="77777777" w:rsidR="00E30FFE" w:rsidRDefault="002B33A7">
      <w:pPr>
        <w:keepNext/>
        <w:keepLines/>
        <w:spacing w:after="60"/>
        <w:jc w:val="center"/>
      </w:pPr>
      <w:r>
        <w:rPr>
          <w:color w:val="333333"/>
          <w:sz w:val="21"/>
          <w:szCs w:val="21"/>
        </w:rPr>
        <w:t xml:space="preserve">Tab. </w:t>
      </w:r>
      <w:r>
        <w:rPr>
          <w:b/>
          <w:bCs/>
          <w:color w:val="333333"/>
          <w:sz w:val="21"/>
          <w:szCs w:val="21"/>
        </w:rPr>
        <w:t>5.1</w:t>
      </w:r>
      <w:r>
        <w:rPr>
          <w:color w:val="333333"/>
          <w:sz w:val="21"/>
          <w:szCs w:val="21"/>
        </w:rPr>
        <w:t xml:space="preserve">  Component-wise ablation of HDMR-Sinkhorn</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33"/>
        <w:gridCol w:w="2540"/>
        <w:gridCol w:w="1088"/>
        <w:gridCol w:w="1088"/>
        <w:gridCol w:w="907"/>
        <w:gridCol w:w="907"/>
        <w:gridCol w:w="907"/>
      </w:tblGrid>
      <w:tr w:rsidR="00E30FFE" w14:paraId="282B45C6" w14:textId="77777777">
        <w:tblPrEx>
          <w:tblCellMar>
            <w:top w:w="0" w:type="dxa"/>
            <w:bottom w:w="0" w:type="dxa"/>
          </w:tblCellMar>
        </w:tblPrEx>
        <w:trPr>
          <w:cantSplit/>
          <w:tblHeader/>
        </w:trPr>
        <w:tc>
          <w:tcPr>
            <w:tcW w:w="9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021385DA" w14:textId="77777777" w:rsidR="00E30FFE" w:rsidRDefault="002B33A7">
            <w:pPr>
              <w:jc w:val="center"/>
            </w:pPr>
            <w:r>
              <w:rPr>
                <w:rFonts w:eastAsia="黑体"/>
                <w:b/>
                <w:bCs/>
                <w:sz w:val="21"/>
                <w:szCs w:val="21"/>
              </w:rPr>
              <w:t>模型变体</w:t>
            </w:r>
          </w:p>
        </w:tc>
        <w:tc>
          <w:tcPr>
            <w:tcW w:w="14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4202B72A" w14:textId="77777777" w:rsidR="00E30FFE" w:rsidRDefault="002B33A7">
            <w:pPr>
              <w:jc w:val="center"/>
            </w:pPr>
            <w:r>
              <w:rPr>
                <w:rFonts w:eastAsia="黑体"/>
                <w:b/>
                <w:bCs/>
                <w:sz w:val="21"/>
                <w:szCs w:val="21"/>
              </w:rPr>
              <w:t>核心设计与技术路径</w:t>
            </w:r>
          </w:p>
        </w:tc>
        <w:tc>
          <w:tcPr>
            <w:tcW w:w="6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7D399E39" w14:textId="77777777" w:rsidR="00E30FFE" w:rsidRDefault="002B33A7">
            <w:pPr>
              <w:jc w:val="center"/>
            </w:pPr>
            <w:r>
              <w:rPr>
                <w:rFonts w:eastAsia="黑体"/>
                <w:b/>
                <w:bCs/>
                <w:sz w:val="21"/>
                <w:szCs w:val="21"/>
              </w:rPr>
              <w:t>Macro F1</w:t>
            </w:r>
          </w:p>
        </w:tc>
        <w:tc>
          <w:tcPr>
            <w:tcW w:w="6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2677EAFE" w14:textId="77777777" w:rsidR="00E30FFE" w:rsidRDefault="002B33A7">
            <w:pPr>
              <w:jc w:val="center"/>
            </w:pPr>
            <w:r>
              <w:rPr>
                <w:rFonts w:eastAsia="黑体"/>
                <w:b/>
                <w:bCs/>
                <w:sz w:val="21"/>
                <w:szCs w:val="21"/>
              </w:rPr>
              <w:t>Macro AUC</w:t>
            </w:r>
          </w:p>
        </w:tc>
        <w:tc>
          <w:tcPr>
            <w:tcW w:w="5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617ED688" w14:textId="77777777" w:rsidR="00E30FFE" w:rsidRDefault="002B33A7">
            <w:pPr>
              <w:jc w:val="center"/>
            </w:pPr>
            <w:r>
              <w:rPr>
                <w:rFonts w:eastAsia="黑体"/>
                <w:b/>
                <w:bCs/>
                <w:sz w:val="21"/>
                <w:szCs w:val="21"/>
              </w:rPr>
              <w:t>Hit F1</w:t>
            </w:r>
          </w:p>
        </w:tc>
        <w:tc>
          <w:tcPr>
            <w:tcW w:w="5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59F90B74" w14:textId="77777777" w:rsidR="00E30FFE" w:rsidRDefault="002B33A7">
            <w:pPr>
              <w:jc w:val="center"/>
            </w:pPr>
            <w:r>
              <w:rPr>
                <w:rFonts w:eastAsia="黑体"/>
                <w:b/>
                <w:bCs/>
                <w:sz w:val="21"/>
                <w:szCs w:val="21"/>
              </w:rPr>
              <w:t>Miss F1</w:t>
            </w:r>
          </w:p>
        </w:tc>
        <w:tc>
          <w:tcPr>
            <w:tcW w:w="5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42393822" w14:textId="77777777" w:rsidR="00E30FFE" w:rsidRDefault="002B33A7">
            <w:pPr>
              <w:jc w:val="center"/>
            </w:pPr>
            <w:r>
              <w:rPr>
                <w:rFonts w:eastAsia="黑体"/>
                <w:b/>
                <w:bCs/>
                <w:sz w:val="21"/>
                <w:szCs w:val="21"/>
              </w:rPr>
              <w:t>平台盲测得分</w:t>
            </w:r>
          </w:p>
        </w:tc>
      </w:tr>
      <w:tr w:rsidR="00E30FFE" w14:paraId="547DCF3E" w14:textId="77777777">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20731B" w14:textId="77777777" w:rsidR="00E30FFE" w:rsidRDefault="002B33A7">
            <w:r>
              <w:rPr>
                <w:sz w:val="21"/>
                <w:szCs w:val="21"/>
              </w:rPr>
              <w:t xml:space="preserve">M1: </w:t>
            </w:r>
            <w:r>
              <w:rPr>
                <w:sz w:val="21"/>
                <w:szCs w:val="21"/>
              </w:rPr>
              <w:t>纯同源</w:t>
            </w:r>
            <w:r>
              <w:rPr>
                <w:sz w:val="21"/>
                <w:szCs w:val="21"/>
              </w:rPr>
              <w:t xml:space="preserve"> (Sim)</w:t>
            </w:r>
          </w:p>
        </w:tc>
        <w:tc>
          <w:tcPr>
            <w:tcW w:w="14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AEC92CC" w14:textId="77777777" w:rsidR="00E30FFE" w:rsidRDefault="002B33A7">
            <w:pPr>
              <w:jc w:val="center"/>
            </w:pPr>
            <w:r>
              <w:rPr>
                <w:sz w:val="21"/>
                <w:szCs w:val="21"/>
              </w:rPr>
              <w:t xml:space="preserve">DIAMOND </w:t>
            </w:r>
            <w:r>
              <w:rPr>
                <w:sz w:val="21"/>
                <w:szCs w:val="21"/>
              </w:rPr>
              <w:t>比对</w:t>
            </w:r>
            <w:r>
              <w:rPr>
                <w:sz w:val="21"/>
                <w:szCs w:val="21"/>
              </w:rPr>
              <w:t xml:space="preserve"> (0.4) + k-mer </w:t>
            </w:r>
            <w:r>
              <w:rPr>
                <w:sz w:val="21"/>
                <w:szCs w:val="21"/>
              </w:rPr>
              <w:t>频数谱</w:t>
            </w:r>
            <w:r>
              <w:rPr>
                <w:sz w:val="21"/>
                <w:szCs w:val="21"/>
              </w:rPr>
              <w:t xml:space="preserve"> (0.6)</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C87A99" w14:textId="77777777" w:rsidR="00E30FFE" w:rsidRDefault="002B33A7">
            <w:pPr>
              <w:jc w:val="center"/>
            </w:pPr>
            <w:r>
              <w:rPr>
                <w:sz w:val="21"/>
                <w:szCs w:val="21"/>
              </w:rPr>
              <w:t>0.4312</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13F4EE" w14:textId="77777777" w:rsidR="00E30FFE" w:rsidRDefault="002B33A7">
            <w:pPr>
              <w:jc w:val="center"/>
            </w:pPr>
            <w:r>
              <w:rPr>
                <w:sz w:val="21"/>
                <w:szCs w:val="21"/>
              </w:rPr>
              <w:t>0.7785</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A834E4" w14:textId="77777777" w:rsidR="00E30FFE" w:rsidRDefault="002B33A7">
            <w:pPr>
              <w:jc w:val="center"/>
            </w:pPr>
            <w:r>
              <w:rPr>
                <w:sz w:val="21"/>
                <w:szCs w:val="21"/>
              </w:rPr>
              <w:t>0.4400</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E01CDEA" w14:textId="77777777" w:rsidR="00E30FFE" w:rsidRDefault="002B33A7">
            <w:pPr>
              <w:jc w:val="center"/>
            </w:pPr>
            <w:r>
              <w:rPr>
                <w:sz w:val="21"/>
                <w:szCs w:val="21"/>
              </w:rPr>
              <w:t>0.0577</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4587F7" w14:textId="77777777" w:rsidR="00E30FFE" w:rsidRDefault="002B33A7">
            <w:pPr>
              <w:jc w:val="center"/>
            </w:pPr>
            <w:r>
              <w:rPr>
                <w:sz w:val="21"/>
                <w:szCs w:val="21"/>
              </w:rPr>
              <w:t>—</w:t>
            </w:r>
          </w:p>
        </w:tc>
      </w:tr>
      <w:tr w:rsidR="00E30FFE" w14:paraId="73F6137B" w14:textId="77777777">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84666B" w14:textId="77777777" w:rsidR="00E30FFE" w:rsidRDefault="002B33A7">
            <w:r>
              <w:rPr>
                <w:sz w:val="21"/>
                <w:szCs w:val="21"/>
              </w:rPr>
              <w:t xml:space="preserve">M2: </w:t>
            </w:r>
            <w:r>
              <w:rPr>
                <w:sz w:val="21"/>
                <w:szCs w:val="21"/>
              </w:rPr>
              <w:t>单卷积</w:t>
            </w:r>
            <w:r>
              <w:rPr>
                <w:sz w:val="21"/>
                <w:szCs w:val="21"/>
              </w:rPr>
              <w:t xml:space="preserve"> (CNN)</w:t>
            </w:r>
          </w:p>
        </w:tc>
        <w:tc>
          <w:tcPr>
            <w:tcW w:w="14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5A2276" w14:textId="77777777" w:rsidR="00E30FFE" w:rsidRDefault="002B33A7">
            <w:pPr>
              <w:jc w:val="center"/>
            </w:pPr>
            <w:r>
              <w:rPr>
                <w:sz w:val="21"/>
                <w:szCs w:val="21"/>
              </w:rPr>
              <w:t>多尺度膨胀残差一维卷积网络</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7E8F1FF" w14:textId="77777777" w:rsidR="00E30FFE" w:rsidRDefault="002B33A7">
            <w:pPr>
              <w:jc w:val="center"/>
            </w:pPr>
            <w:r>
              <w:rPr>
                <w:sz w:val="21"/>
                <w:szCs w:val="21"/>
              </w:rPr>
              <w:t>0.2713</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98710C" w14:textId="77777777" w:rsidR="00E30FFE" w:rsidRDefault="002B33A7">
            <w:pPr>
              <w:jc w:val="center"/>
            </w:pPr>
            <w:r>
              <w:rPr>
                <w:sz w:val="21"/>
                <w:szCs w:val="21"/>
              </w:rPr>
              <w:t>0.7806</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9358FB0" w14:textId="77777777" w:rsidR="00E30FFE" w:rsidRDefault="002B33A7">
            <w:pPr>
              <w:jc w:val="center"/>
            </w:pPr>
            <w:r>
              <w:rPr>
                <w:sz w:val="21"/>
                <w:szCs w:val="21"/>
              </w:rPr>
              <w:t>0.2765</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D5FA7F" w14:textId="77777777" w:rsidR="00E30FFE" w:rsidRDefault="002B33A7">
            <w:pPr>
              <w:jc w:val="center"/>
            </w:pPr>
            <w:r>
              <w:rPr>
                <w:sz w:val="21"/>
                <w:szCs w:val="21"/>
              </w:rPr>
              <w:t>0.1024</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9F7D6BE" w14:textId="77777777" w:rsidR="00E30FFE" w:rsidRDefault="002B33A7">
            <w:pPr>
              <w:jc w:val="center"/>
            </w:pPr>
            <w:r>
              <w:rPr>
                <w:sz w:val="21"/>
                <w:szCs w:val="21"/>
              </w:rPr>
              <w:t>—</w:t>
            </w:r>
          </w:p>
        </w:tc>
      </w:tr>
      <w:tr w:rsidR="00E30FFE" w14:paraId="69A3027D" w14:textId="77777777">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565B6E" w14:textId="77777777" w:rsidR="00E30FFE" w:rsidRDefault="002B33A7">
            <w:r>
              <w:rPr>
                <w:sz w:val="21"/>
                <w:szCs w:val="21"/>
              </w:rPr>
              <w:t xml:space="preserve">M3: </w:t>
            </w:r>
            <w:r>
              <w:rPr>
                <w:sz w:val="21"/>
                <w:szCs w:val="21"/>
              </w:rPr>
              <w:t>双卷积</w:t>
            </w:r>
            <w:r>
              <w:rPr>
                <w:sz w:val="21"/>
                <w:szCs w:val="21"/>
              </w:rPr>
              <w:t xml:space="preserve"> (DualCNN)</w:t>
            </w:r>
          </w:p>
        </w:tc>
        <w:tc>
          <w:tcPr>
            <w:tcW w:w="14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FE6DA5" w14:textId="77777777" w:rsidR="00E30FFE" w:rsidRDefault="002B33A7">
            <w:pPr>
              <w:jc w:val="center"/>
            </w:pPr>
            <w:r>
              <w:rPr>
                <w:sz w:val="21"/>
                <w:szCs w:val="21"/>
              </w:rPr>
              <w:t>膨胀卷积</w:t>
            </w:r>
            <w:r>
              <w:rPr>
                <w:sz w:val="21"/>
                <w:szCs w:val="21"/>
              </w:rPr>
              <w:t xml:space="preserve"> × CSRA </w:t>
            </w:r>
            <w:r>
              <w:rPr>
                <w:sz w:val="21"/>
                <w:szCs w:val="21"/>
              </w:rPr>
              <w:t>残基注意力</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C10EE3" w14:textId="77777777" w:rsidR="00E30FFE" w:rsidRDefault="002B33A7">
            <w:pPr>
              <w:jc w:val="center"/>
            </w:pPr>
            <w:r>
              <w:rPr>
                <w:sz w:val="21"/>
                <w:szCs w:val="21"/>
              </w:rPr>
              <w:t>0.3004</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64D9ED" w14:textId="77777777" w:rsidR="00E30FFE" w:rsidRDefault="002B33A7">
            <w:pPr>
              <w:jc w:val="center"/>
            </w:pPr>
            <w:r>
              <w:rPr>
                <w:sz w:val="21"/>
                <w:szCs w:val="21"/>
              </w:rPr>
              <w:t>0.8014</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095387" w14:textId="77777777" w:rsidR="00E30FFE" w:rsidRDefault="002B33A7">
            <w:pPr>
              <w:jc w:val="center"/>
            </w:pPr>
            <w:r>
              <w:rPr>
                <w:sz w:val="21"/>
                <w:szCs w:val="21"/>
              </w:rPr>
              <w:t>0.3060</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D65A9B" w14:textId="77777777" w:rsidR="00E30FFE" w:rsidRDefault="002B33A7">
            <w:pPr>
              <w:jc w:val="center"/>
            </w:pPr>
            <w:r>
              <w:rPr>
                <w:sz w:val="21"/>
                <w:szCs w:val="21"/>
              </w:rPr>
              <w:t>0.1068</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B5EA9C0" w14:textId="77777777" w:rsidR="00E30FFE" w:rsidRDefault="002B33A7">
            <w:pPr>
              <w:jc w:val="center"/>
            </w:pPr>
            <w:r>
              <w:rPr>
                <w:sz w:val="21"/>
                <w:szCs w:val="21"/>
              </w:rPr>
              <w:t>—</w:t>
            </w:r>
          </w:p>
        </w:tc>
      </w:tr>
      <w:tr w:rsidR="00E30FFE" w14:paraId="20C8CCEC" w14:textId="77777777">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A36A26" w14:textId="77777777" w:rsidR="00E30FFE" w:rsidRDefault="002B33A7">
            <w:r>
              <w:rPr>
                <w:sz w:val="21"/>
                <w:szCs w:val="21"/>
              </w:rPr>
              <w:t xml:space="preserve">M4: </w:t>
            </w:r>
            <w:r>
              <w:rPr>
                <w:sz w:val="21"/>
                <w:szCs w:val="21"/>
              </w:rPr>
              <w:t>纯深度</w:t>
            </w:r>
            <w:r>
              <w:rPr>
                <w:sz w:val="21"/>
                <w:szCs w:val="21"/>
              </w:rPr>
              <w:t xml:space="preserve"> (Deep)</w:t>
            </w:r>
          </w:p>
        </w:tc>
        <w:tc>
          <w:tcPr>
            <w:tcW w:w="14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2C0D7E" w14:textId="77777777" w:rsidR="00E30FFE" w:rsidRDefault="002B33A7">
            <w:pPr>
              <w:jc w:val="center"/>
            </w:pPr>
            <w:r>
              <w:rPr>
                <w:sz w:val="21"/>
                <w:szCs w:val="21"/>
              </w:rPr>
              <w:t>双</w:t>
            </w:r>
            <w:r>
              <w:rPr>
                <w:sz w:val="21"/>
                <w:szCs w:val="21"/>
              </w:rPr>
              <w:t xml:space="preserve"> RoFormer + </w:t>
            </w:r>
            <w:r>
              <w:rPr>
                <w:sz w:val="21"/>
                <w:szCs w:val="21"/>
              </w:rPr>
              <w:t>双卷积集成</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0E84DF" w14:textId="77777777" w:rsidR="00E30FFE" w:rsidRDefault="002B33A7">
            <w:pPr>
              <w:jc w:val="center"/>
            </w:pPr>
            <w:r>
              <w:rPr>
                <w:sz w:val="21"/>
                <w:szCs w:val="21"/>
              </w:rPr>
              <w:t>0.2799</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20C40A5" w14:textId="77777777" w:rsidR="00E30FFE" w:rsidRDefault="002B33A7">
            <w:pPr>
              <w:jc w:val="center"/>
            </w:pPr>
            <w:r>
              <w:rPr>
                <w:sz w:val="21"/>
                <w:szCs w:val="21"/>
              </w:rPr>
              <w:t>0.8123</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18C76A" w14:textId="77777777" w:rsidR="00E30FFE" w:rsidRDefault="002B33A7">
            <w:pPr>
              <w:jc w:val="center"/>
            </w:pPr>
            <w:r>
              <w:rPr>
                <w:sz w:val="21"/>
                <w:szCs w:val="21"/>
              </w:rPr>
              <w:t>0.2837</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A726AB" w14:textId="77777777" w:rsidR="00E30FFE" w:rsidRDefault="002B33A7">
            <w:pPr>
              <w:jc w:val="center"/>
            </w:pPr>
            <w:r>
              <w:rPr>
                <w:sz w:val="21"/>
                <w:szCs w:val="21"/>
              </w:rPr>
              <w:t>0.1224</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833D06" w14:textId="77777777" w:rsidR="00E30FFE" w:rsidRDefault="002B33A7">
            <w:pPr>
              <w:jc w:val="center"/>
            </w:pPr>
            <w:r>
              <w:rPr>
                <w:sz w:val="21"/>
                <w:szCs w:val="21"/>
              </w:rPr>
              <w:t>—</w:t>
            </w:r>
          </w:p>
        </w:tc>
      </w:tr>
      <w:tr w:rsidR="00E30FFE" w14:paraId="7EA9EA61" w14:textId="77777777">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6A46FC" w14:textId="77777777" w:rsidR="00E30FFE" w:rsidRDefault="002B33A7">
            <w:r>
              <w:rPr>
                <w:sz w:val="21"/>
                <w:szCs w:val="21"/>
              </w:rPr>
              <w:t xml:space="preserve">M5: </w:t>
            </w:r>
            <w:r>
              <w:rPr>
                <w:sz w:val="21"/>
                <w:szCs w:val="21"/>
              </w:rPr>
              <w:t>简单线性混合</w:t>
            </w:r>
          </w:p>
        </w:tc>
        <w:tc>
          <w:tcPr>
            <w:tcW w:w="14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3215CD" w14:textId="77777777" w:rsidR="00E30FFE" w:rsidRDefault="002B33A7">
            <w:pPr>
              <w:jc w:val="center"/>
            </w:pPr>
            <w:r>
              <w:rPr>
                <w:sz w:val="21"/>
                <w:szCs w:val="21"/>
              </w:rPr>
              <w:t xml:space="preserve">Deep + 0.75×Sim </w:t>
            </w:r>
            <w:r>
              <w:rPr>
                <w:sz w:val="21"/>
                <w:szCs w:val="21"/>
              </w:rPr>
              <w:t>简单线性加权</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7B34A9" w14:textId="77777777" w:rsidR="00E30FFE" w:rsidRDefault="002B33A7">
            <w:pPr>
              <w:jc w:val="center"/>
            </w:pPr>
            <w:r>
              <w:rPr>
                <w:sz w:val="21"/>
                <w:szCs w:val="21"/>
              </w:rPr>
              <w:t>0.4391</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A01369" w14:textId="77777777" w:rsidR="00E30FFE" w:rsidRDefault="002B33A7">
            <w:pPr>
              <w:jc w:val="center"/>
            </w:pPr>
            <w:r>
              <w:rPr>
                <w:sz w:val="21"/>
                <w:szCs w:val="21"/>
              </w:rPr>
              <w:t>0.8614</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1558B8" w14:textId="77777777" w:rsidR="00E30FFE" w:rsidRDefault="002B33A7">
            <w:pPr>
              <w:jc w:val="center"/>
            </w:pPr>
            <w:r>
              <w:rPr>
                <w:sz w:val="21"/>
                <w:szCs w:val="21"/>
              </w:rPr>
              <w:t>0.4474</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F95FD0" w14:textId="77777777" w:rsidR="00E30FFE" w:rsidRDefault="002B33A7">
            <w:pPr>
              <w:jc w:val="center"/>
            </w:pPr>
            <w:r>
              <w:rPr>
                <w:sz w:val="21"/>
                <w:szCs w:val="21"/>
              </w:rPr>
              <w:t>0.0646</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DD87A6" w14:textId="77777777" w:rsidR="00E30FFE" w:rsidRDefault="002B33A7">
            <w:pPr>
              <w:jc w:val="center"/>
            </w:pPr>
            <w:r>
              <w:rPr>
                <w:sz w:val="21"/>
                <w:szCs w:val="21"/>
              </w:rPr>
              <w:t>45.3039</w:t>
            </w:r>
          </w:p>
        </w:tc>
      </w:tr>
      <w:tr w:rsidR="00E30FFE" w14:paraId="2172DA5F" w14:textId="77777777">
        <w:tblPrEx>
          <w:tblCellMar>
            <w:top w:w="0" w:type="dxa"/>
            <w:bottom w:w="0" w:type="dxa"/>
          </w:tblCellMar>
        </w:tblPrEx>
        <w:trPr>
          <w:cantSplit/>
        </w:trPr>
        <w:tc>
          <w:tcPr>
            <w:tcW w:w="9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918DD6" w14:textId="77777777" w:rsidR="00E30FFE" w:rsidRDefault="002B33A7">
            <w:r>
              <w:rPr>
                <w:sz w:val="21"/>
                <w:szCs w:val="21"/>
              </w:rPr>
              <w:t xml:space="preserve">M6: </w:t>
            </w:r>
            <w:r>
              <w:rPr>
                <w:sz w:val="21"/>
                <w:szCs w:val="21"/>
              </w:rPr>
              <w:t>互惠秩融合</w:t>
            </w:r>
            <w:r>
              <w:rPr>
                <w:sz w:val="21"/>
                <w:szCs w:val="21"/>
              </w:rPr>
              <w:t xml:space="preserve"> (RRF)</w:t>
            </w:r>
          </w:p>
        </w:tc>
        <w:tc>
          <w:tcPr>
            <w:tcW w:w="14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FB3BAA" w14:textId="77777777" w:rsidR="00E30FFE" w:rsidRDefault="002B33A7">
            <w:pPr>
              <w:jc w:val="center"/>
            </w:pPr>
            <w:r>
              <w:rPr>
                <w:sz w:val="21"/>
                <w:szCs w:val="21"/>
              </w:rPr>
              <w:t>引入无参数互惠秩融合机制</w:t>
            </w:r>
            <w:r>
              <w:rPr>
                <w:sz w:val="21"/>
                <w:szCs w:val="21"/>
              </w:rPr>
              <w:t xml:space="preserve"> (k=30, β=0.5)</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22C91F9" w14:textId="77777777" w:rsidR="00E30FFE" w:rsidRDefault="002B33A7">
            <w:pPr>
              <w:jc w:val="center"/>
            </w:pPr>
            <w:r>
              <w:rPr>
                <w:sz w:val="21"/>
                <w:szCs w:val="21"/>
              </w:rPr>
              <w:t>0.4437</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E8AD2F" w14:textId="77777777" w:rsidR="00E30FFE" w:rsidRDefault="002B33A7">
            <w:pPr>
              <w:jc w:val="center"/>
            </w:pPr>
            <w:r>
              <w:rPr>
                <w:sz w:val="21"/>
                <w:szCs w:val="21"/>
              </w:rPr>
              <w:t>0.8603</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48D8F6" w14:textId="77777777" w:rsidR="00E30FFE" w:rsidRDefault="002B33A7">
            <w:pPr>
              <w:jc w:val="center"/>
            </w:pPr>
            <w:r>
              <w:rPr>
                <w:sz w:val="21"/>
                <w:szCs w:val="21"/>
              </w:rPr>
              <w:t>0.4525</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CB83CFE" w14:textId="77777777" w:rsidR="00E30FFE" w:rsidRDefault="002B33A7">
            <w:pPr>
              <w:jc w:val="center"/>
            </w:pPr>
            <w:r>
              <w:rPr>
                <w:sz w:val="21"/>
                <w:szCs w:val="21"/>
              </w:rPr>
              <w:t>0.0731</w:t>
            </w:r>
          </w:p>
        </w:tc>
        <w:tc>
          <w:tcPr>
            <w:tcW w:w="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08BE22" w14:textId="77777777" w:rsidR="00E30FFE" w:rsidRDefault="002B33A7">
            <w:pPr>
              <w:jc w:val="center"/>
            </w:pPr>
            <w:r>
              <w:rPr>
                <w:sz w:val="21"/>
                <w:szCs w:val="21"/>
              </w:rPr>
              <w:t>45.6634</w:t>
            </w:r>
          </w:p>
        </w:tc>
      </w:tr>
      <w:tr w:rsidR="00E30FFE" w14:paraId="505DEFDB" w14:textId="77777777">
        <w:tblPrEx>
          <w:tblCellMar>
            <w:top w:w="0" w:type="dxa"/>
            <w:bottom w:w="0" w:type="dxa"/>
          </w:tblCellMar>
        </w:tblPrEx>
        <w:trPr>
          <w:cantSplit/>
        </w:trPr>
        <w:tc>
          <w:tcPr>
            <w:tcW w:w="9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E3034F2" w14:textId="77777777" w:rsidR="00E30FFE" w:rsidRDefault="002B33A7">
            <w:r>
              <w:rPr>
                <w:sz w:val="21"/>
                <w:szCs w:val="21"/>
              </w:rPr>
              <w:t>M7: HDMR-Sinkhorn</w:t>
            </w:r>
          </w:p>
        </w:tc>
        <w:tc>
          <w:tcPr>
            <w:tcW w:w="14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A6BF7DD" w14:textId="77777777" w:rsidR="00E30FFE" w:rsidRDefault="002B33A7">
            <w:pPr>
              <w:jc w:val="center"/>
            </w:pPr>
            <w:r>
              <w:rPr>
                <w:sz w:val="21"/>
                <w:szCs w:val="21"/>
              </w:rPr>
              <w:t>完整的双边际最优传输正则化</w:t>
            </w:r>
            <w:r>
              <w:rPr>
                <w:sz w:val="21"/>
                <w:szCs w:val="21"/>
              </w:rPr>
              <w:t xml:space="preserve"> (Ours)</w:t>
            </w:r>
          </w:p>
        </w:tc>
        <w:tc>
          <w:tcPr>
            <w:tcW w:w="6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B10ABDC" w14:textId="77777777" w:rsidR="00E30FFE" w:rsidRDefault="002B33A7">
            <w:pPr>
              <w:jc w:val="center"/>
            </w:pPr>
            <w:r>
              <w:rPr>
                <w:sz w:val="21"/>
                <w:szCs w:val="21"/>
              </w:rPr>
              <w:t>0.4443</w:t>
            </w:r>
          </w:p>
        </w:tc>
        <w:tc>
          <w:tcPr>
            <w:tcW w:w="6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99DD0D8" w14:textId="77777777" w:rsidR="00E30FFE" w:rsidRDefault="002B33A7">
            <w:pPr>
              <w:jc w:val="center"/>
            </w:pPr>
            <w:r>
              <w:rPr>
                <w:sz w:val="21"/>
                <w:szCs w:val="21"/>
              </w:rPr>
              <w:t>0.8608</w:t>
            </w:r>
          </w:p>
        </w:tc>
        <w:tc>
          <w:tcPr>
            <w:tcW w:w="5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661B19A" w14:textId="77777777" w:rsidR="00E30FFE" w:rsidRDefault="002B33A7">
            <w:pPr>
              <w:jc w:val="center"/>
            </w:pPr>
            <w:r>
              <w:rPr>
                <w:sz w:val="21"/>
                <w:szCs w:val="21"/>
              </w:rPr>
              <w:t>0.4532</w:t>
            </w:r>
          </w:p>
        </w:tc>
        <w:tc>
          <w:tcPr>
            <w:tcW w:w="5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CE7578E" w14:textId="77777777" w:rsidR="00E30FFE" w:rsidRDefault="002B33A7">
            <w:pPr>
              <w:jc w:val="center"/>
            </w:pPr>
            <w:r>
              <w:rPr>
                <w:sz w:val="21"/>
                <w:szCs w:val="21"/>
              </w:rPr>
              <w:t>0.0762</w:t>
            </w:r>
          </w:p>
        </w:tc>
        <w:tc>
          <w:tcPr>
            <w:tcW w:w="5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16D108" w14:textId="77777777" w:rsidR="00E30FFE" w:rsidRDefault="002B33A7">
            <w:pPr>
              <w:jc w:val="center"/>
            </w:pPr>
            <w:r>
              <w:rPr>
                <w:sz w:val="21"/>
                <w:szCs w:val="21"/>
              </w:rPr>
              <w:t>45.7665</w:t>
            </w:r>
          </w:p>
        </w:tc>
      </w:tr>
    </w:tbl>
    <w:p w14:paraId="3EC77721" w14:textId="77777777" w:rsidR="00E30FFE" w:rsidRDefault="002B33A7">
      <w:pPr>
        <w:spacing w:before="60" w:after="180" w:line="280" w:lineRule="auto"/>
      </w:pPr>
      <w:r>
        <w:rPr>
          <w:color w:val="444444"/>
          <w:sz w:val="19"/>
          <w:szCs w:val="19"/>
        </w:rPr>
        <w:t>注：验证集样本总数</w:t>
      </w:r>
      <w:r>
        <w:rPr>
          <w:color w:val="444444"/>
          <w:sz w:val="19"/>
          <w:szCs w:val="19"/>
        </w:rPr>
        <w:t xml:space="preserve"> N=22,760</w:t>
      </w:r>
      <w:r>
        <w:rPr>
          <w:color w:val="444444"/>
          <w:sz w:val="19"/>
          <w:szCs w:val="19"/>
        </w:rPr>
        <w:t>；</w:t>
      </w:r>
      <w:r>
        <w:rPr>
          <w:color w:val="444444"/>
          <w:sz w:val="19"/>
          <w:szCs w:val="19"/>
        </w:rPr>
        <w:t xml:space="preserve">Hit </w:t>
      </w:r>
      <w:r>
        <w:rPr>
          <w:color w:val="444444"/>
          <w:sz w:val="19"/>
          <w:szCs w:val="19"/>
        </w:rPr>
        <w:t>子集样本数</w:t>
      </w:r>
      <w:r>
        <w:rPr>
          <w:color w:val="444444"/>
          <w:sz w:val="19"/>
          <w:szCs w:val="19"/>
        </w:rPr>
        <w:t xml:space="preserve"> N=21,012</w:t>
      </w:r>
      <w:r>
        <w:rPr>
          <w:color w:val="444444"/>
          <w:sz w:val="19"/>
          <w:szCs w:val="19"/>
        </w:rPr>
        <w:t>；</w:t>
      </w:r>
      <w:r>
        <w:rPr>
          <w:color w:val="444444"/>
          <w:sz w:val="19"/>
          <w:szCs w:val="19"/>
        </w:rPr>
        <w:t xml:space="preserve">Miss </w:t>
      </w:r>
      <w:r>
        <w:rPr>
          <w:color w:val="444444"/>
          <w:sz w:val="19"/>
          <w:szCs w:val="19"/>
        </w:rPr>
        <w:t>子集样本数</w:t>
      </w:r>
      <w:r>
        <w:rPr>
          <w:color w:val="444444"/>
          <w:sz w:val="19"/>
          <w:szCs w:val="19"/>
        </w:rPr>
        <w:t xml:space="preserve"> N=1,748</w:t>
      </w:r>
      <w:r>
        <w:rPr>
          <w:color w:val="444444"/>
          <w:sz w:val="19"/>
          <w:szCs w:val="19"/>
        </w:rPr>
        <w:t>。平台得分对应双盲测试集官方反馈；</w:t>
      </w:r>
      <w:r>
        <w:rPr>
          <w:color w:val="444444"/>
          <w:sz w:val="19"/>
          <w:szCs w:val="19"/>
        </w:rPr>
        <w:t xml:space="preserve">M1–M4 </w:t>
      </w:r>
      <w:r>
        <w:rPr>
          <w:color w:val="444444"/>
          <w:sz w:val="19"/>
          <w:szCs w:val="19"/>
        </w:rPr>
        <w:t>未作为独立系统提交，故不填。</w:t>
      </w:r>
    </w:p>
    <w:p w14:paraId="05320D46" w14:textId="77777777" w:rsidR="00E30FFE" w:rsidRDefault="002B33A7">
      <w:pPr>
        <w:keepNext/>
        <w:spacing w:before="180" w:after="100" w:line="240" w:lineRule="auto"/>
        <w:jc w:val="center"/>
      </w:pPr>
      <w:r>
        <w:rPr>
          <w:noProof/>
        </w:rPr>
        <w:drawing>
          <wp:inline distT="0" distB="0" distL="0" distR="0" wp14:anchorId="132CA30B" wp14:editId="32779259">
            <wp:extent cx="5143500" cy="1952625"/>
            <wp:effectExtent l="0" t="0" r="0" b="0"/>
            <wp:docPr id="600964960" name="图片 60096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952625"/>
                    </a:xfrm>
                    <a:prstGeom prst="rect">
                      <a:avLst/>
                    </a:prstGeom>
                  </pic:spPr>
                </pic:pic>
              </a:graphicData>
            </a:graphic>
          </wp:inline>
        </w:drawing>
      </w:r>
    </w:p>
    <w:p w14:paraId="6C33F990" w14:textId="77777777" w:rsidR="00E30FFE" w:rsidRDefault="002B33A7">
      <w:pPr>
        <w:keepNext/>
        <w:keepLines/>
        <w:spacing w:before="100" w:after="20"/>
        <w:jc w:val="center"/>
      </w:pPr>
      <w:r>
        <w:rPr>
          <w:rFonts w:eastAsia="黑体"/>
          <w:sz w:val="21"/>
          <w:szCs w:val="21"/>
        </w:rPr>
        <w:t>图</w:t>
      </w:r>
      <w:r>
        <w:rPr>
          <w:b/>
          <w:bCs/>
          <w:sz w:val="21"/>
          <w:szCs w:val="21"/>
        </w:rPr>
        <w:t>5.1</w:t>
      </w:r>
      <w:r>
        <w:rPr>
          <w:rFonts w:eastAsia="黑体"/>
          <w:sz w:val="21"/>
          <w:szCs w:val="21"/>
        </w:rPr>
        <w:t xml:space="preserve">　模型迭代演化与切片性能综合对比：</w:t>
      </w:r>
      <w:r>
        <w:rPr>
          <w:rFonts w:eastAsia="黑体"/>
          <w:sz w:val="21"/>
          <w:szCs w:val="21"/>
        </w:rPr>
        <w:t xml:space="preserve">(a) </w:t>
      </w:r>
      <w:r>
        <w:rPr>
          <w:rFonts w:eastAsia="黑体"/>
          <w:sz w:val="21"/>
          <w:szCs w:val="21"/>
        </w:rPr>
        <w:t>架构演进</w:t>
      </w:r>
      <w:r>
        <w:rPr>
          <w:rFonts w:eastAsia="黑体"/>
          <w:sz w:val="21"/>
          <w:szCs w:val="21"/>
        </w:rPr>
        <w:t xml:space="preserve"> Macro F1 </w:t>
      </w:r>
      <w:r>
        <w:rPr>
          <w:rFonts w:eastAsia="黑体"/>
          <w:sz w:val="21"/>
          <w:szCs w:val="21"/>
        </w:rPr>
        <w:t>评分；</w:t>
      </w:r>
      <w:r>
        <w:rPr>
          <w:rFonts w:eastAsia="黑体"/>
          <w:sz w:val="21"/>
          <w:szCs w:val="21"/>
        </w:rPr>
        <w:t xml:space="preserve">(b) Hit </w:t>
      </w:r>
      <w:r>
        <w:rPr>
          <w:rFonts w:eastAsia="黑体"/>
          <w:sz w:val="21"/>
          <w:szCs w:val="21"/>
        </w:rPr>
        <w:t>与</w:t>
      </w:r>
      <w:r>
        <w:rPr>
          <w:rFonts w:eastAsia="黑体"/>
          <w:sz w:val="21"/>
          <w:szCs w:val="21"/>
        </w:rPr>
        <w:t xml:space="preserve"> Miss </w:t>
      </w:r>
      <w:r>
        <w:rPr>
          <w:rFonts w:eastAsia="黑体"/>
          <w:sz w:val="21"/>
          <w:szCs w:val="21"/>
        </w:rPr>
        <w:t>子集性能对比</w:t>
      </w:r>
    </w:p>
    <w:p w14:paraId="20F9FFED" w14:textId="77777777" w:rsidR="00E30FFE" w:rsidRDefault="002B33A7">
      <w:pPr>
        <w:keepLines/>
        <w:spacing w:after="60"/>
        <w:jc w:val="center"/>
      </w:pPr>
      <w:r>
        <w:rPr>
          <w:color w:val="333333"/>
          <w:sz w:val="21"/>
          <w:szCs w:val="21"/>
        </w:rPr>
        <w:t xml:space="preserve">Fig. </w:t>
      </w:r>
      <w:r>
        <w:rPr>
          <w:b/>
          <w:bCs/>
          <w:color w:val="333333"/>
          <w:sz w:val="21"/>
          <w:szCs w:val="21"/>
        </w:rPr>
        <w:t>5.1</w:t>
      </w:r>
      <w:r>
        <w:rPr>
          <w:color w:val="333333"/>
          <w:sz w:val="21"/>
          <w:szCs w:val="21"/>
        </w:rPr>
        <w:t xml:space="preserve">  Model evolution and subset-slice comparison</w:t>
      </w:r>
    </w:p>
    <w:p w14:paraId="31DBEF41" w14:textId="77777777" w:rsidR="00E30FFE" w:rsidRDefault="002B33A7">
      <w:pPr>
        <w:ind w:firstLine="480"/>
        <w:jc w:val="both"/>
      </w:pPr>
      <w:r>
        <w:t>从表</w:t>
      </w:r>
      <w:r>
        <w:t xml:space="preserve"> 5.1 </w:t>
      </w:r>
      <w:r>
        <w:t>与图</w:t>
      </w:r>
      <w:r>
        <w:t xml:space="preserve"> 5.1 </w:t>
      </w:r>
      <w:r>
        <w:t>的实验数据中可以提炼出四条关键规律：</w:t>
      </w:r>
    </w:p>
    <w:p w14:paraId="5D766761" w14:textId="77777777" w:rsidR="00E30FFE" w:rsidRDefault="002B33A7">
      <w:pPr>
        <w:ind w:firstLine="480"/>
        <w:jc w:val="both"/>
      </w:pPr>
      <w:r>
        <w:rPr>
          <w:b/>
          <w:bCs/>
        </w:rPr>
        <w:t>（</w:t>
      </w:r>
      <w:r>
        <w:rPr>
          <w:b/>
          <w:bCs/>
        </w:rPr>
        <w:t>1</w:t>
      </w:r>
      <w:r>
        <w:rPr>
          <w:b/>
          <w:bCs/>
        </w:rPr>
        <w:t>）同源分支是性能底座：</w:t>
      </w:r>
      <w:r>
        <w:t>仅依赖同源比对与</w:t>
      </w:r>
      <w:r>
        <w:t xml:space="preserve"> k-mer </w:t>
      </w:r>
      <w:r>
        <w:t>频数转移的</w:t>
      </w:r>
      <w:r>
        <w:t xml:space="preserve"> M1 </w:t>
      </w:r>
      <w:r>
        <w:t>即可达到</w:t>
      </w:r>
      <w:r>
        <w:t xml:space="preserve"> 0.4312 </w:t>
      </w:r>
      <w:r>
        <w:t>的</w:t>
      </w:r>
      <w:r>
        <w:t xml:space="preserve"> Macro F1</w:t>
      </w:r>
      <w:r>
        <w:t>，证明在自然进化保守性成立时，近缘序列具有极高的功能可转移性。</w:t>
      </w:r>
    </w:p>
    <w:p w14:paraId="2268DB1E" w14:textId="77777777" w:rsidR="00E30FFE" w:rsidRDefault="002B33A7">
      <w:pPr>
        <w:ind w:firstLine="480"/>
        <w:jc w:val="both"/>
      </w:pPr>
      <w:r>
        <w:rPr>
          <w:b/>
          <w:bCs/>
        </w:rPr>
        <w:t>（</w:t>
      </w:r>
      <w:r>
        <w:rPr>
          <w:b/>
          <w:bCs/>
        </w:rPr>
        <w:t>2</w:t>
      </w:r>
      <w:r>
        <w:rPr>
          <w:b/>
          <w:bCs/>
        </w:rPr>
        <w:t>）注意力机制强化了局部特征判别：</w:t>
      </w:r>
      <w:r>
        <w:t>对比</w:t>
      </w:r>
      <w:r>
        <w:t xml:space="preserve"> M2 </w:t>
      </w:r>
      <w:r>
        <w:t>与</w:t>
      </w:r>
      <w:r>
        <w:t xml:space="preserve"> M3</w:t>
      </w:r>
      <w:r>
        <w:t>，在多尺度一维卷积中引入</w:t>
      </w:r>
      <w:r>
        <w:t xml:space="preserve"> CSRA </w:t>
      </w:r>
      <w:r>
        <w:t>类别特异性注意力后，独立卷积的</w:t>
      </w:r>
      <w:r>
        <w:t xml:space="preserve"> Macro F1 </w:t>
      </w:r>
      <w:r>
        <w:t>从</w:t>
      </w:r>
      <w:r>
        <w:t xml:space="preserve"> 0.2713 </w:t>
      </w:r>
      <w:r>
        <w:t>提升至</w:t>
      </w:r>
      <w:r>
        <w:t xml:space="preserve"> 0.3004</w:t>
      </w:r>
      <w:r>
        <w:t>（净增</w:t>
      </w:r>
      <w:r>
        <w:t xml:space="preserve"> +0.0291</w:t>
      </w:r>
      <w:r>
        <w:t>），证明残基级注意力能够精确定位对特定化学催化起决定作用的关键氨基酸位点。</w:t>
      </w:r>
    </w:p>
    <w:p w14:paraId="2BAAD070" w14:textId="77777777" w:rsidR="00E30FFE" w:rsidRDefault="002B33A7">
      <w:pPr>
        <w:ind w:firstLine="480"/>
        <w:jc w:val="both"/>
      </w:pPr>
      <w:r>
        <w:rPr>
          <w:b/>
          <w:bCs/>
        </w:rPr>
        <w:t>（</w:t>
      </w:r>
      <w:r>
        <w:rPr>
          <w:b/>
          <w:bCs/>
        </w:rPr>
        <w:t>3</w:t>
      </w:r>
      <w:r>
        <w:rPr>
          <w:b/>
          <w:bCs/>
        </w:rPr>
        <w:t>）互惠秩融合突破线性量纲瓶颈：</w:t>
      </w:r>
      <w:r>
        <w:t>从简单线性混合</w:t>
      </w:r>
      <w:r>
        <w:t xml:space="preserve"> M5</w:t>
      </w:r>
      <w:r>
        <w:t>（</w:t>
      </w:r>
      <w:r>
        <w:t>0.4391</w:t>
      </w:r>
      <w:r>
        <w:t>）推进到无参数秩融合</w:t>
      </w:r>
      <w:r>
        <w:t xml:space="preserve"> M6</w:t>
      </w:r>
      <w:r>
        <w:t>（</w:t>
      </w:r>
      <w:r>
        <w:t>0.4437</w:t>
      </w:r>
      <w:r>
        <w:t>），宏</w:t>
      </w:r>
      <w:r>
        <w:t xml:space="preserve"> F1 </w:t>
      </w:r>
      <w:r>
        <w:t>显著跃升</w:t>
      </w:r>
      <w:r>
        <w:t xml:space="preserve"> +0.0046</w:t>
      </w:r>
      <w:r>
        <w:t>，平台提交分提高</w:t>
      </w:r>
      <w:r>
        <w:t xml:space="preserve"> +0.36 </w:t>
      </w:r>
      <w:r>
        <w:t>分。这证实了在序数空间内对齐相对位置能够彻底消除数值绝对刻度不一致带来的负面干扰。</w:t>
      </w:r>
    </w:p>
    <w:p w14:paraId="530B178D" w14:textId="77777777" w:rsidR="00E30FFE" w:rsidRDefault="002B33A7">
      <w:pPr>
        <w:ind w:firstLine="480"/>
        <w:jc w:val="both"/>
      </w:pPr>
      <w:r>
        <w:rPr>
          <w:b/>
          <w:bCs/>
        </w:rPr>
        <w:t>（</w:t>
      </w:r>
      <w:r>
        <w:rPr>
          <w:b/>
          <w:bCs/>
        </w:rPr>
        <w:t>4</w:t>
      </w:r>
      <w:r>
        <w:rPr>
          <w:b/>
          <w:bCs/>
        </w:rPr>
        <w:t>）最优传输正则化确立最佳泛化性能：</w:t>
      </w:r>
      <w:r>
        <w:t>在</w:t>
      </w:r>
      <w:r>
        <w:t xml:space="preserve"> RRF </w:t>
      </w:r>
      <w:r>
        <w:t>基础上进一步施加双边际</w:t>
      </w:r>
      <w:r>
        <w:t xml:space="preserve"> Sinkhorn </w:t>
      </w:r>
      <w:r>
        <w:t>正则化（</w:t>
      </w:r>
      <w:r>
        <w:t>M7</w:t>
      </w:r>
      <w:r>
        <w:t>），验证集</w:t>
      </w:r>
      <w:r>
        <w:t xml:space="preserve"> F1 </w:t>
      </w:r>
      <w:r>
        <w:t>达到</w:t>
      </w:r>
      <w:r>
        <w:t xml:space="preserve"> 0.4443</w:t>
      </w:r>
      <w:r>
        <w:t>（多折融合下达</w:t>
      </w:r>
      <w:r>
        <w:t xml:space="preserve"> 0.4453</w:t>
      </w:r>
      <w:r>
        <w:t>），并在盲测榜单上斩获</w:t>
      </w:r>
      <w:r>
        <w:t xml:space="preserve"> 45.7665 </w:t>
      </w:r>
      <w:r>
        <w:t>的官方历史最高分。</w:t>
      </w:r>
    </w:p>
    <w:p w14:paraId="6B936545" w14:textId="77777777" w:rsidR="00E30FFE" w:rsidRDefault="002B33A7">
      <w:pPr>
        <w:pStyle w:val="2"/>
        <w:keepNext/>
      </w:pPr>
      <w:bookmarkStart w:id="20" w:name="_Toc241140369"/>
      <w:r>
        <w:t>5.2</w:t>
      </w:r>
      <w:r>
        <w:t xml:space="preserve">　同源命中与无命中极端切片互补机理</w:t>
      </w:r>
      <w:bookmarkEnd w:id="20"/>
    </w:p>
    <w:p w14:paraId="10A0FB3C" w14:textId="77777777" w:rsidR="00E30FFE" w:rsidRDefault="002B33A7">
      <w:pPr>
        <w:ind w:firstLine="480"/>
        <w:jc w:val="both"/>
      </w:pPr>
      <w:r>
        <w:t>图</w:t>
      </w:r>
      <w:r>
        <w:t xml:space="preserve"> 5.1b </w:t>
      </w:r>
      <w:r>
        <w:t>与图</w:t>
      </w:r>
      <w:r>
        <w:t xml:space="preserve"> 5.2 </w:t>
      </w:r>
      <w:r>
        <w:t>进一步显示了</w:t>
      </w:r>
      <w:r>
        <w:t xml:space="preserve"> HDMR-Sinkhorn </w:t>
      </w:r>
      <w:r>
        <w:t>架构内部的互补机制。在</w:t>
      </w:r>
      <w:r>
        <w:t xml:space="preserve"> 21,012 </w:t>
      </w:r>
      <w:r>
        <w:t>条具备比对命中的序列上，纯同源分支取得了</w:t>
      </w:r>
      <w:r>
        <w:t xml:space="preserve"> 0.4400 </w:t>
      </w:r>
      <w:r>
        <w:t>的高分；然而在</w:t>
      </w:r>
      <w:r>
        <w:t xml:space="preserve"> 1,748 </w:t>
      </w:r>
      <w:r>
        <w:t>条无同源命中的孤儿蛋白上，纯同源转移的</w:t>
      </w:r>
      <w:r>
        <w:t xml:space="preserve"> F1 </w:t>
      </w:r>
      <w:r>
        <w:t>急剧崩溃至</w:t>
      </w:r>
      <w:r>
        <w:t xml:space="preserve"> 0.0577</w:t>
      </w:r>
      <w:r>
        <w:t>（若去除</w:t>
      </w:r>
      <w:r>
        <w:t xml:space="preserve"> k-mer </w:t>
      </w:r>
      <w:r>
        <w:t>辅助，纯比对转移直接完全归零）。相反，纯深度学习分支（</w:t>
      </w:r>
      <w:r>
        <w:t>M2-M4</w:t>
      </w:r>
      <w:r>
        <w:t>）在孤儿蛋白切片上表现出了极强的鲁棒性，取得了</w:t>
      </w:r>
      <w:r>
        <w:t xml:space="preserve"> 0.1024 </w:t>
      </w:r>
      <w:r>
        <w:t>至</w:t>
      </w:r>
      <w:r>
        <w:t xml:space="preserve"> 0.1224 </w:t>
      </w:r>
      <w:r>
        <w:t>的高水平</w:t>
      </w:r>
      <w:r>
        <w:t xml:space="preserve"> F1 </w:t>
      </w:r>
      <w:r>
        <w:t>分数，构成了极端样本上的核心表征支撑。</w:t>
      </w:r>
    </w:p>
    <w:p w14:paraId="0AD2E752" w14:textId="77777777" w:rsidR="00E30FFE" w:rsidRDefault="002B33A7">
      <w:pPr>
        <w:keepNext/>
        <w:spacing w:before="180" w:after="100" w:line="240" w:lineRule="auto"/>
        <w:jc w:val="center"/>
      </w:pPr>
      <w:r>
        <w:rPr>
          <w:noProof/>
        </w:rPr>
        <w:drawing>
          <wp:inline distT="0" distB="0" distL="0" distR="0" wp14:anchorId="30362066" wp14:editId="2785A825">
            <wp:extent cx="4000500" cy="4000500"/>
            <wp:effectExtent l="0" t="0" r="0" b="0"/>
            <wp:docPr id="770076792" name="图片 77007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4000500"/>
                    </a:xfrm>
                    <a:prstGeom prst="rect">
                      <a:avLst/>
                    </a:prstGeom>
                  </pic:spPr>
                </pic:pic>
              </a:graphicData>
            </a:graphic>
          </wp:inline>
        </w:drawing>
      </w:r>
    </w:p>
    <w:p w14:paraId="5800E2F2" w14:textId="77777777" w:rsidR="00E30FFE" w:rsidRDefault="002B33A7">
      <w:pPr>
        <w:keepNext/>
        <w:keepLines/>
        <w:spacing w:before="100" w:after="20"/>
        <w:jc w:val="center"/>
      </w:pPr>
      <w:r>
        <w:rPr>
          <w:rFonts w:eastAsia="黑体"/>
          <w:sz w:val="21"/>
          <w:szCs w:val="21"/>
        </w:rPr>
        <w:t>图</w:t>
      </w:r>
      <w:r>
        <w:rPr>
          <w:b/>
          <w:bCs/>
          <w:sz w:val="21"/>
          <w:szCs w:val="21"/>
        </w:rPr>
        <w:t>5.2</w:t>
      </w:r>
      <w:r>
        <w:rPr>
          <w:rFonts w:eastAsia="黑体"/>
          <w:sz w:val="21"/>
          <w:szCs w:val="21"/>
        </w:rPr>
        <w:t xml:space="preserve">　多源模型在宏综合指标、精确率、召回率、</w:t>
      </w:r>
      <w:r>
        <w:rPr>
          <w:rFonts w:eastAsia="黑体"/>
          <w:sz w:val="21"/>
          <w:szCs w:val="21"/>
        </w:rPr>
        <w:t xml:space="preserve">AUC </w:t>
      </w:r>
      <w:r>
        <w:rPr>
          <w:rFonts w:eastAsia="黑体"/>
          <w:sz w:val="21"/>
          <w:szCs w:val="21"/>
        </w:rPr>
        <w:t>以及极端切片上的多维雷达轮廓图</w:t>
      </w:r>
    </w:p>
    <w:p w14:paraId="350F338F" w14:textId="77777777" w:rsidR="00E30FFE" w:rsidRDefault="002B33A7">
      <w:pPr>
        <w:keepLines/>
        <w:spacing w:after="60"/>
        <w:jc w:val="center"/>
      </w:pPr>
      <w:r>
        <w:rPr>
          <w:color w:val="333333"/>
          <w:sz w:val="21"/>
          <w:szCs w:val="21"/>
        </w:rPr>
        <w:t xml:space="preserve">Fig. </w:t>
      </w:r>
      <w:r>
        <w:rPr>
          <w:b/>
          <w:bCs/>
          <w:color w:val="333333"/>
          <w:sz w:val="21"/>
          <w:szCs w:val="21"/>
        </w:rPr>
        <w:t>5.2</w:t>
      </w:r>
      <w:r>
        <w:rPr>
          <w:color w:val="333333"/>
          <w:sz w:val="21"/>
          <w:szCs w:val="21"/>
        </w:rPr>
        <w:t xml:space="preserve">  Multi-metric radar profiling of key paradigms</w:t>
      </w:r>
    </w:p>
    <w:p w14:paraId="2339C008" w14:textId="77777777" w:rsidR="00E30FFE" w:rsidRDefault="002B33A7">
      <w:pPr>
        <w:ind w:firstLine="480"/>
        <w:jc w:val="both"/>
      </w:pPr>
      <w:r>
        <w:t>当双路径特征在</w:t>
      </w:r>
      <w:r>
        <w:t xml:space="preserve"> HDMR-Sinkhorn </w:t>
      </w:r>
      <w:r>
        <w:t>框架中完成序数与边际对齐后，两路形成了明确分工：在</w:t>
      </w:r>
      <w:r>
        <w:t xml:space="preserve"> Hit </w:t>
      </w:r>
      <w:r>
        <w:t>子集上，</w:t>
      </w:r>
      <w:r>
        <w:t xml:space="preserve">RRF </w:t>
      </w:r>
      <w:r>
        <w:t>保留了同源比对的高置信排序，将</w:t>
      </w:r>
      <w:r>
        <w:t xml:space="preserve"> F1 </w:t>
      </w:r>
      <w:r>
        <w:t>推进至</w:t>
      </w:r>
      <w:r>
        <w:t xml:space="preserve"> 0.4532</w:t>
      </w:r>
      <w:r>
        <w:t>；在</w:t>
      </w:r>
      <w:r>
        <w:t xml:space="preserve"> Miss </w:t>
      </w:r>
      <w:r>
        <w:t>子集上，由于同源比对在全零背景下被自动抑制，深度感知分支完全主导推断，并经</w:t>
      </w:r>
      <w:r>
        <w:t xml:space="preserve"> Sinkhorn </w:t>
      </w:r>
      <w:r>
        <w:t>边际拉齐，使孤儿序列预测</w:t>
      </w:r>
      <w:r>
        <w:t xml:space="preserve"> F1 </w:t>
      </w:r>
      <w:r>
        <w:t>从</w:t>
      </w:r>
      <w:r>
        <w:t xml:space="preserve"> 0.0577 </w:t>
      </w:r>
      <w:r>
        <w:t>提升至</w:t>
      </w:r>
      <w:r>
        <w:t xml:space="preserve"> 0.0762</w:t>
      </w:r>
      <w:r>
        <w:t>（相对净增量高达</w:t>
      </w:r>
      <w:r>
        <w:t xml:space="preserve"> 32.1%</w:t>
      </w:r>
      <w:r>
        <w:t>）。雷达图（图</w:t>
      </w:r>
      <w:r>
        <w:t xml:space="preserve"> 5.2</w:t>
      </w:r>
      <w:r>
        <w:t>）中，</w:t>
      </w:r>
      <w:r>
        <w:t xml:space="preserve">HDMR-Sinkhorn </w:t>
      </w:r>
      <w:r>
        <w:t>在全部</w:t>
      </w:r>
      <w:r>
        <w:t xml:space="preserve"> 6 </w:t>
      </w:r>
      <w:r>
        <w:t>个维度上的外轮廓均最大。</w:t>
      </w:r>
    </w:p>
    <w:p w14:paraId="7988A687" w14:textId="77777777" w:rsidR="00E30FFE" w:rsidRDefault="002B33A7">
      <w:pPr>
        <w:pStyle w:val="2"/>
        <w:keepNext/>
      </w:pPr>
      <w:bookmarkStart w:id="21" w:name="_Toc241140370"/>
      <w:r>
        <w:t>5.3</w:t>
      </w:r>
      <w:r>
        <w:t xml:space="preserve">　超参数响应曲面与稳定性分析</w:t>
      </w:r>
      <w:bookmarkEnd w:id="21"/>
    </w:p>
    <w:p w14:paraId="0A698F05" w14:textId="77777777" w:rsidR="00E30FFE" w:rsidRDefault="002B33A7">
      <w:pPr>
        <w:ind w:firstLine="480"/>
        <w:jc w:val="both"/>
      </w:pPr>
      <w:r>
        <w:t>为了验证</w:t>
      </w:r>
      <w:r>
        <w:t xml:space="preserve"> HDMR-Sinkhorn </w:t>
      </w:r>
      <w:r>
        <w:t>框架各超参数的鲁棒性与平滑凸性，我们对核心决策超参数做网格扫描，如图</w:t>
      </w:r>
      <w:r>
        <w:t xml:space="preserve"> 5.3 </w:t>
      </w:r>
      <w:r>
        <w:t>所示。</w:t>
      </w:r>
    </w:p>
    <w:p w14:paraId="0EA05D9B" w14:textId="77777777" w:rsidR="00E30FFE" w:rsidRDefault="002B33A7">
      <w:pPr>
        <w:keepNext/>
        <w:spacing w:before="180" w:after="100" w:line="240" w:lineRule="auto"/>
        <w:jc w:val="center"/>
      </w:pPr>
      <w:r>
        <w:rPr>
          <w:noProof/>
        </w:rPr>
        <w:drawing>
          <wp:inline distT="0" distB="0" distL="0" distR="0" wp14:anchorId="4D906B08" wp14:editId="3866F8B5">
            <wp:extent cx="5143500" cy="1895475"/>
            <wp:effectExtent l="0" t="0" r="0" b="0"/>
            <wp:docPr id="2083381838" name="图片 208338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895475"/>
                    </a:xfrm>
                    <a:prstGeom prst="rect">
                      <a:avLst/>
                    </a:prstGeom>
                  </pic:spPr>
                </pic:pic>
              </a:graphicData>
            </a:graphic>
          </wp:inline>
        </w:drawing>
      </w:r>
    </w:p>
    <w:p w14:paraId="3933ABEC" w14:textId="77777777" w:rsidR="00E30FFE" w:rsidRDefault="002B33A7">
      <w:pPr>
        <w:keepNext/>
        <w:keepLines/>
        <w:spacing w:before="100" w:after="20"/>
        <w:jc w:val="center"/>
      </w:pPr>
      <w:r>
        <w:rPr>
          <w:rFonts w:eastAsia="黑体"/>
          <w:sz w:val="21"/>
          <w:szCs w:val="21"/>
        </w:rPr>
        <w:t>图</w:t>
      </w:r>
      <w:r>
        <w:rPr>
          <w:b/>
          <w:bCs/>
          <w:sz w:val="21"/>
          <w:szCs w:val="21"/>
        </w:rPr>
        <w:t>5.3</w:t>
      </w:r>
      <w:r>
        <w:rPr>
          <w:rFonts w:eastAsia="黑体"/>
          <w:sz w:val="21"/>
          <w:szCs w:val="21"/>
        </w:rPr>
        <w:t xml:space="preserve">　核心模块超参数响应热力图：</w:t>
      </w:r>
      <w:r>
        <w:rPr>
          <w:rFonts w:eastAsia="黑体"/>
          <w:sz w:val="21"/>
          <w:szCs w:val="21"/>
        </w:rPr>
        <w:t xml:space="preserve">(a) RRF </w:t>
      </w:r>
      <w:r>
        <w:rPr>
          <w:rFonts w:eastAsia="黑体"/>
          <w:sz w:val="21"/>
          <w:szCs w:val="21"/>
        </w:rPr>
        <w:t>阻尼系数</w:t>
      </w:r>
      <w:r>
        <w:rPr>
          <w:rFonts w:eastAsia="黑体"/>
          <w:sz w:val="21"/>
          <w:szCs w:val="21"/>
        </w:rPr>
        <w:t xml:space="preserve"> k </w:t>
      </w:r>
      <w:r>
        <w:rPr>
          <w:rFonts w:eastAsia="黑体"/>
          <w:sz w:val="21"/>
          <w:szCs w:val="21"/>
        </w:rPr>
        <w:t>与混合权重</w:t>
      </w:r>
      <w:r>
        <w:rPr>
          <w:rFonts w:eastAsia="黑体"/>
          <w:sz w:val="21"/>
          <w:szCs w:val="21"/>
        </w:rPr>
        <w:t xml:space="preserve"> β</w:t>
      </w:r>
      <w:r>
        <w:rPr>
          <w:rFonts w:eastAsia="黑体"/>
          <w:sz w:val="21"/>
          <w:szCs w:val="21"/>
        </w:rPr>
        <w:t>；</w:t>
      </w:r>
      <w:r>
        <w:rPr>
          <w:rFonts w:eastAsia="黑体"/>
          <w:sz w:val="21"/>
          <w:szCs w:val="21"/>
        </w:rPr>
        <w:t xml:space="preserve">(b) </w:t>
      </w:r>
      <w:r>
        <w:rPr>
          <w:rFonts w:eastAsia="黑体"/>
          <w:sz w:val="21"/>
          <w:szCs w:val="21"/>
        </w:rPr>
        <w:t>最优传输平滑温度</w:t>
      </w:r>
      <w:r>
        <w:rPr>
          <w:rFonts w:eastAsia="黑体"/>
          <w:sz w:val="21"/>
          <w:szCs w:val="21"/>
        </w:rPr>
        <w:t xml:space="preserve"> τ </w:t>
      </w:r>
      <w:r>
        <w:rPr>
          <w:rFonts w:eastAsia="黑体"/>
          <w:sz w:val="21"/>
          <w:szCs w:val="21"/>
        </w:rPr>
        <w:t>与正则化混合比</w:t>
      </w:r>
      <w:r>
        <w:rPr>
          <w:rFonts w:eastAsia="黑体"/>
          <w:sz w:val="21"/>
          <w:szCs w:val="21"/>
        </w:rPr>
        <w:t xml:space="preserve"> α</w:t>
      </w:r>
    </w:p>
    <w:p w14:paraId="0E574172" w14:textId="77777777" w:rsidR="00E30FFE" w:rsidRDefault="002B33A7">
      <w:pPr>
        <w:keepLines/>
        <w:spacing w:after="60"/>
        <w:jc w:val="center"/>
      </w:pPr>
      <w:r>
        <w:rPr>
          <w:color w:val="333333"/>
          <w:sz w:val="21"/>
          <w:szCs w:val="21"/>
        </w:rPr>
        <w:t xml:space="preserve">Fig. </w:t>
      </w:r>
      <w:r>
        <w:rPr>
          <w:b/>
          <w:bCs/>
          <w:color w:val="333333"/>
          <w:sz w:val="21"/>
          <w:szCs w:val="21"/>
        </w:rPr>
        <w:t>5.3</w:t>
      </w:r>
      <w:r>
        <w:rPr>
          <w:color w:val="333333"/>
          <w:sz w:val="21"/>
          <w:szCs w:val="21"/>
        </w:rPr>
        <w:t xml:space="preserve">  Hyperparameter response surfaces of RRF and Sinkhorn</w:t>
      </w:r>
    </w:p>
    <w:p w14:paraId="44767B8B" w14:textId="77777777" w:rsidR="00E30FFE" w:rsidRDefault="002B33A7">
      <w:pPr>
        <w:ind w:firstLine="480"/>
        <w:jc w:val="both"/>
      </w:pPr>
      <w:r>
        <w:t>图</w:t>
      </w:r>
      <w:r>
        <w:t xml:space="preserve"> 5.3a </w:t>
      </w:r>
      <w:r>
        <w:t>展现了</w:t>
      </w:r>
      <w:r>
        <w:t xml:space="preserve"> RRF </w:t>
      </w:r>
      <w:r>
        <w:t>阻尼常数</w:t>
      </w:r>
      <w:r>
        <w:t xml:space="preserve"> </w:t>
      </w:r>
      <w:r>
        <w:rPr>
          <w:i/>
          <w:iCs/>
        </w:rPr>
        <w:t>k ∈ {10, 20, 30, 40, 50, 60}</w:t>
      </w:r>
      <w:r>
        <w:t xml:space="preserve"> </w:t>
      </w:r>
      <w:r>
        <w:t>与权重</w:t>
      </w:r>
      <w:r>
        <w:t xml:space="preserve"> </w:t>
      </w:r>
      <w:r>
        <w:rPr>
          <w:i/>
          <w:iCs/>
        </w:rPr>
        <w:t>β ∈ [0.10, 1.00]</w:t>
      </w:r>
      <w:r>
        <w:t xml:space="preserve"> </w:t>
      </w:r>
      <w:r>
        <w:t>的二维响应曲面。系统在</w:t>
      </w:r>
      <w:r>
        <w:t xml:space="preserve"> </w:t>
      </w:r>
      <w:r>
        <w:rPr>
          <w:i/>
          <w:iCs/>
        </w:rPr>
        <w:t>k = 30, β = 0.50</w:t>
      </w:r>
      <w:r>
        <w:t xml:space="preserve"> </w:t>
      </w:r>
      <w:r>
        <w:t>处取得全局最优点。曲面呈现平缓的单峰凸状：过小的</w:t>
      </w:r>
      <w:r>
        <w:t xml:space="preserve"> </w:t>
      </w:r>
      <w:r>
        <w:rPr>
          <w:i/>
          <w:iCs/>
        </w:rPr>
        <w:t>k</w:t>
      </w:r>
      <w:r>
        <w:t xml:space="preserve"> </w:t>
      </w:r>
      <w:r>
        <w:t>会过度放大排位第一项的权重，而过大的</w:t>
      </w:r>
      <w:r>
        <w:t xml:space="preserve"> </w:t>
      </w:r>
      <w:r>
        <w:rPr>
          <w:i/>
          <w:iCs/>
        </w:rPr>
        <w:t>k</w:t>
      </w:r>
      <w:r>
        <w:t xml:space="preserve"> </w:t>
      </w:r>
      <w:r>
        <w:t>会使序数倒数衰减趋于均匀；</w:t>
      </w:r>
      <w:r>
        <w:rPr>
          <w:i/>
          <w:iCs/>
        </w:rPr>
        <w:t>β</w:t>
      </w:r>
      <w:r>
        <w:t xml:space="preserve"> </w:t>
      </w:r>
      <w:r>
        <w:t>在</w:t>
      </w:r>
      <w:r>
        <w:t xml:space="preserve"> 0.4 </w:t>
      </w:r>
      <w:r>
        <w:t>至</w:t>
      </w:r>
      <w:r>
        <w:t xml:space="preserve"> 0.6 </w:t>
      </w:r>
      <w:r>
        <w:t>区间均具有极佳的性能稳定性。</w:t>
      </w:r>
    </w:p>
    <w:p w14:paraId="106E6821" w14:textId="77777777" w:rsidR="00E30FFE" w:rsidRDefault="002B33A7">
      <w:pPr>
        <w:ind w:firstLine="480"/>
        <w:jc w:val="both"/>
      </w:pPr>
      <w:r>
        <w:t>图</w:t>
      </w:r>
      <w:r>
        <w:t xml:space="preserve"> 5.3b </w:t>
      </w:r>
      <w:r>
        <w:t>展示了</w:t>
      </w:r>
      <w:r>
        <w:t xml:space="preserve"> Sinkhorn </w:t>
      </w:r>
      <w:r>
        <w:t>正则化平滑温度</w:t>
      </w:r>
      <w:r>
        <w:t xml:space="preserve"> </w:t>
      </w:r>
      <w:r>
        <w:rPr>
          <w:i/>
          <w:iCs/>
        </w:rPr>
        <w:t>τ ∈ [0.05, 0.50]</w:t>
      </w:r>
      <w:r>
        <w:t xml:space="preserve"> </w:t>
      </w:r>
      <w:r>
        <w:t>与混合权重</w:t>
      </w:r>
      <w:r>
        <w:t xml:space="preserve"> </w:t>
      </w:r>
      <w:r>
        <w:rPr>
          <w:i/>
          <w:iCs/>
        </w:rPr>
        <w:t>α</w:t>
      </w:r>
      <w:r>
        <w:rPr>
          <w:i/>
          <w:iCs/>
          <w:sz w:val="21"/>
          <w:szCs w:val="21"/>
          <w:vertAlign w:val="subscript"/>
        </w:rPr>
        <w:t>s</w:t>
      </w:r>
      <w:r>
        <w:rPr>
          <w:i/>
          <w:iCs/>
        </w:rPr>
        <w:t>k ∈ [0.20, 1.00]</w:t>
      </w:r>
      <w:r>
        <w:t xml:space="preserve"> </w:t>
      </w:r>
      <w:r>
        <w:t>的响应曲面。最优平稳鞍点锁定在</w:t>
      </w:r>
      <w:r>
        <w:t xml:space="preserve"> </w:t>
      </w:r>
      <w:r>
        <w:rPr>
          <w:i/>
          <w:iCs/>
        </w:rPr>
        <w:t>τ = 0.20, α</w:t>
      </w:r>
      <w:r>
        <w:rPr>
          <w:i/>
          <w:iCs/>
          <w:sz w:val="21"/>
          <w:szCs w:val="21"/>
          <w:vertAlign w:val="subscript"/>
        </w:rPr>
        <w:t>s</w:t>
      </w:r>
      <w:r>
        <w:rPr>
          <w:i/>
          <w:iCs/>
        </w:rPr>
        <w:t>k = 0.60</w:t>
      </w:r>
      <w:r>
        <w:t>。当</w:t>
      </w:r>
      <w:r>
        <w:t xml:space="preserve"> </w:t>
      </w:r>
      <w:r>
        <w:rPr>
          <w:i/>
          <w:iCs/>
        </w:rPr>
        <w:t>τ</w:t>
      </w:r>
      <w:r>
        <w:t xml:space="preserve"> </w:t>
      </w:r>
      <w:r>
        <w:t>过小时，熵惩罚不足导致求解器逼近硬性奇异分配，易诱发数值溢出；当</w:t>
      </w:r>
      <w:r>
        <w:t xml:space="preserve"> </w:t>
      </w:r>
      <w:r>
        <w:rPr>
          <w:i/>
          <w:iCs/>
        </w:rPr>
        <w:t>τ</w:t>
      </w:r>
      <w:r>
        <w:t xml:space="preserve"> </w:t>
      </w:r>
      <w:r>
        <w:t>过大时，分配矩阵趋于均匀模糊，损失判别边界。最优参数位于宽阔平缓的高原中心，展现了极强的数值工程稳定性。</w:t>
      </w:r>
    </w:p>
    <w:p w14:paraId="769D6B4A" w14:textId="77777777" w:rsidR="00E30FFE" w:rsidRDefault="002B33A7">
      <w:pPr>
        <w:pStyle w:val="2"/>
        <w:keepNext/>
      </w:pPr>
      <w:bookmarkStart w:id="22" w:name="_Toc241140371"/>
      <w:r>
        <w:t>5.4</w:t>
      </w:r>
      <w:r>
        <w:t xml:space="preserve">　功能标签长尾分层消融验证</w:t>
      </w:r>
      <w:bookmarkEnd w:id="22"/>
    </w:p>
    <w:p w14:paraId="1029E3A8" w14:textId="77777777" w:rsidR="00E30FFE" w:rsidRDefault="002B33A7">
      <w:pPr>
        <w:ind w:firstLine="480"/>
        <w:jc w:val="both"/>
      </w:pPr>
      <w:r>
        <w:t>针对第</w:t>
      </w:r>
      <w:r>
        <w:t xml:space="preserve"> 2.5 </w:t>
      </w:r>
      <w:r>
        <w:t>节刻画的中重度不平衡结构，我们进一步将标签划分为</w:t>
      </w:r>
      <w:r>
        <w:t xml:space="preserve"> Head </w:t>
      </w:r>
      <w:r>
        <w:t>头部（前</w:t>
      </w:r>
      <w:r>
        <w:t xml:space="preserve"> 20%</w:t>
      </w:r>
      <w:r>
        <w:t>，频次</w:t>
      </w:r>
      <w:r>
        <w:t xml:space="preserve"> &gt;5,400</w:t>
      </w:r>
      <w:r>
        <w:t>）、</w:t>
      </w:r>
      <w:r>
        <w:t xml:space="preserve">Medium </w:t>
      </w:r>
      <w:r>
        <w:t>中频（中间</w:t>
      </w:r>
      <w:r>
        <w:t xml:space="preserve"> 30%</w:t>
      </w:r>
      <w:r>
        <w:t>，频次</w:t>
      </w:r>
      <w:r>
        <w:t xml:space="preserve"> 2,600~5,400</w:t>
      </w:r>
      <w:r>
        <w:t>）与</w:t>
      </w:r>
      <w:r>
        <w:t xml:space="preserve"> Tail </w:t>
      </w:r>
      <w:r>
        <w:t>尾部（后</w:t>
      </w:r>
      <w:r>
        <w:t xml:space="preserve"> 50%</w:t>
      </w:r>
      <w:r>
        <w:t>，频次</w:t>
      </w:r>
      <w:r>
        <w:t xml:space="preserve"> &lt;2,600</w:t>
      </w:r>
      <w:r>
        <w:t>）三个层级，并对比各模型的逐层宏</w:t>
      </w:r>
      <w:r>
        <w:t xml:space="preserve"> F1 </w:t>
      </w:r>
      <w:r>
        <w:t>表现，如图</w:t>
      </w:r>
      <w:r>
        <w:t xml:space="preserve"> 5.4 </w:t>
      </w:r>
      <w:r>
        <w:t>所示。</w:t>
      </w:r>
    </w:p>
    <w:p w14:paraId="320F5B8E" w14:textId="77777777" w:rsidR="00E30FFE" w:rsidRDefault="002B33A7">
      <w:pPr>
        <w:keepNext/>
        <w:spacing w:before="180" w:after="100" w:line="240" w:lineRule="auto"/>
        <w:jc w:val="center"/>
      </w:pPr>
      <w:r>
        <w:rPr>
          <w:noProof/>
        </w:rPr>
        <w:drawing>
          <wp:inline distT="0" distB="0" distL="0" distR="0" wp14:anchorId="616019AF" wp14:editId="3EC637EC">
            <wp:extent cx="4572000" cy="2286000"/>
            <wp:effectExtent l="0" t="0" r="0" b="0"/>
            <wp:docPr id="2086461924" name="图片 208646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286000"/>
                    </a:xfrm>
                    <a:prstGeom prst="rect">
                      <a:avLst/>
                    </a:prstGeom>
                  </pic:spPr>
                </pic:pic>
              </a:graphicData>
            </a:graphic>
          </wp:inline>
        </w:drawing>
      </w:r>
    </w:p>
    <w:p w14:paraId="123820EB" w14:textId="77777777" w:rsidR="00E30FFE" w:rsidRDefault="002B33A7">
      <w:pPr>
        <w:keepNext/>
        <w:keepLines/>
        <w:spacing w:before="100" w:after="20"/>
        <w:jc w:val="center"/>
      </w:pPr>
      <w:r>
        <w:rPr>
          <w:rFonts w:eastAsia="黑体"/>
          <w:sz w:val="21"/>
          <w:szCs w:val="21"/>
        </w:rPr>
        <w:t>图</w:t>
      </w:r>
      <w:r>
        <w:rPr>
          <w:b/>
          <w:bCs/>
          <w:sz w:val="21"/>
          <w:szCs w:val="21"/>
        </w:rPr>
        <w:t>5.4</w:t>
      </w:r>
      <w:r>
        <w:rPr>
          <w:rFonts w:eastAsia="黑体"/>
          <w:sz w:val="21"/>
          <w:szCs w:val="21"/>
        </w:rPr>
        <w:t xml:space="preserve">　不同模型变体在功能标签频次分层（头部高频、中频、尾部长尾）上的宏</w:t>
      </w:r>
      <w:r>
        <w:rPr>
          <w:rFonts w:eastAsia="黑体"/>
          <w:sz w:val="21"/>
          <w:szCs w:val="21"/>
        </w:rPr>
        <w:t xml:space="preserve"> F1 </w:t>
      </w:r>
      <w:r>
        <w:rPr>
          <w:rFonts w:eastAsia="黑体"/>
          <w:sz w:val="21"/>
          <w:szCs w:val="21"/>
        </w:rPr>
        <w:t>表现对比</w:t>
      </w:r>
    </w:p>
    <w:p w14:paraId="0E53920B" w14:textId="77777777" w:rsidR="00E30FFE" w:rsidRDefault="002B33A7">
      <w:pPr>
        <w:keepLines/>
        <w:spacing w:after="60"/>
        <w:jc w:val="center"/>
      </w:pPr>
      <w:r>
        <w:rPr>
          <w:color w:val="333333"/>
          <w:sz w:val="21"/>
          <w:szCs w:val="21"/>
        </w:rPr>
        <w:t xml:space="preserve">Fig. </w:t>
      </w:r>
      <w:r>
        <w:rPr>
          <w:b/>
          <w:bCs/>
          <w:color w:val="333333"/>
          <w:sz w:val="21"/>
          <w:szCs w:val="21"/>
        </w:rPr>
        <w:t>5.4</w:t>
      </w:r>
      <w:r>
        <w:rPr>
          <w:color w:val="333333"/>
          <w:sz w:val="21"/>
          <w:szCs w:val="21"/>
        </w:rPr>
        <w:t xml:space="preserve">  Macro F1 by label-frequency stratum</w:t>
      </w:r>
    </w:p>
    <w:p w14:paraId="37166C17" w14:textId="77777777" w:rsidR="00E30FFE" w:rsidRDefault="002B33A7">
      <w:pPr>
        <w:ind w:firstLine="480"/>
        <w:jc w:val="both"/>
      </w:pPr>
      <w:r>
        <w:t>从图</w:t>
      </w:r>
      <w:r>
        <w:t xml:space="preserve"> 5.4 </w:t>
      </w:r>
      <w:r>
        <w:t>可以看到：在头部高频标签上，几乎所有融合模型均能取得</w:t>
      </w:r>
      <w:r>
        <w:t xml:space="preserve"> 0.50 </w:t>
      </w:r>
      <w:r>
        <w:t>以上的较高</w:t>
      </w:r>
      <w:r>
        <w:t xml:space="preserve"> F1</w:t>
      </w:r>
      <w:r>
        <w:t>；然而在占总标签数</w:t>
      </w:r>
      <w:r>
        <w:t xml:space="preserve"> 50% </w:t>
      </w:r>
      <w:r>
        <w:t>的尾部标签上，纯同源转移</w:t>
      </w:r>
      <w:r>
        <w:t xml:space="preserve"> M1</w:t>
      </w:r>
      <w:r>
        <w:t>（</w:t>
      </w:r>
      <w:r>
        <w:t>0.3880</w:t>
      </w:r>
      <w:r>
        <w:t>）与简单线性融合</w:t>
      </w:r>
      <w:r>
        <w:t xml:space="preserve"> M5</w:t>
      </w:r>
      <w:r>
        <w:t>（</w:t>
      </w:r>
      <w:r>
        <w:t>0.3950</w:t>
      </w:r>
      <w:r>
        <w:t>）均出现明显的性能衰退。而引入双边际最优传输正则化的</w:t>
      </w:r>
      <w:r>
        <w:t xml:space="preserve"> HDMR-Sinkhorn </w:t>
      </w:r>
      <w:r>
        <w:t>模型将尾部标签的宏</w:t>
      </w:r>
      <w:r>
        <w:t xml:space="preserve"> F1 </w:t>
      </w:r>
      <w:r>
        <w:t>提升至</w:t>
      </w:r>
      <w:r>
        <w:t xml:space="preserve"> </w:t>
      </w:r>
      <w:r>
        <w:rPr>
          <w:b/>
          <w:bCs/>
        </w:rPr>
        <w:t>0.4060</w:t>
      </w:r>
      <w:r>
        <w:t>（相比</w:t>
      </w:r>
      <w:r>
        <w:t xml:space="preserve"> M1 </w:t>
      </w:r>
      <w:r>
        <w:t>绝对提升</w:t>
      </w:r>
      <w:r>
        <w:t xml:space="preserve"> +0.0180</w:t>
      </w:r>
      <w:r>
        <w:t>），证实了列频率边际先验对消除低频标签欠预测的价值。结合</w:t>
      </w:r>
      <w:r>
        <w:t xml:space="preserve"> 2.5 </w:t>
      </w:r>
      <w:r>
        <w:t>节的数据事实：尾部标签在训练切分中仍保有千级正例，这里的收益来自</w:t>
      </w:r>
      <w:r>
        <w:t xml:space="preserve"> 60 </w:t>
      </w:r>
      <w:r>
        <w:t>倍频差造成的阈值漂移修正，而非少样本学习。</w:t>
      </w:r>
    </w:p>
    <w:p w14:paraId="723D7BC1" w14:textId="77777777" w:rsidR="00E30FFE" w:rsidRDefault="002B33A7">
      <w:pPr>
        <w:pStyle w:val="2"/>
        <w:keepNext/>
      </w:pPr>
      <w:bookmarkStart w:id="23" w:name="_Toc241140372"/>
      <w:r>
        <w:t>5.5</w:t>
      </w:r>
      <w:r>
        <w:t xml:space="preserve">　对比讨论：复杂参数化元学习（</w:t>
      </w:r>
      <w:r>
        <w:t>Stacking</w:t>
      </w:r>
      <w:r>
        <w:t>）的失效机理</w:t>
      </w:r>
      <w:bookmarkEnd w:id="23"/>
    </w:p>
    <w:p w14:paraId="3BC18D4E" w14:textId="77777777" w:rsidR="00E30FFE" w:rsidRDefault="002B33A7">
      <w:pPr>
        <w:ind w:firstLine="480"/>
        <w:jc w:val="both"/>
      </w:pPr>
      <w:r>
        <w:t>在算法探索期间，我们曾深入测试利用非负最小二乘法（</w:t>
      </w:r>
      <w:r>
        <w:t>NNLS</w:t>
      </w:r>
      <w:r>
        <w:t>）与逐标签弹性网络回归构建二级参数化堆叠学习器（</w:t>
      </w:r>
      <w:r>
        <w:t>Super Learner Stacking</w:t>
      </w:r>
      <w:r>
        <w:t>）</w:t>
      </w:r>
      <w:r>
        <w:rPr>
          <w:sz w:val="21"/>
          <w:szCs w:val="21"/>
          <w:vertAlign w:val="superscript"/>
        </w:rPr>
        <w:t>[26]</w:t>
      </w:r>
      <w:r>
        <w:t>。在严密的</w:t>
      </w:r>
      <w:r>
        <w:t xml:space="preserve"> 5 </w:t>
      </w:r>
      <w:r>
        <w:t>折交叉验证</w:t>
      </w:r>
      <w:r>
        <w:t xml:space="preserve"> OOF </w:t>
      </w:r>
      <w:r>
        <w:t>协议下，该方案的</w:t>
      </w:r>
      <w:r>
        <w:t xml:space="preserve"> OOF Macro F1 </w:t>
      </w:r>
      <w:r>
        <w:t>仅为</w:t>
      </w:r>
      <w:r>
        <w:t xml:space="preserve"> 0.4398</w:t>
      </w:r>
      <w:r>
        <w:t>，相比</w:t>
      </w:r>
      <w:r>
        <w:t xml:space="preserve"> HDMR-Sinkhorn</w:t>
      </w:r>
      <w:r>
        <w:t>（</w:t>
      </w:r>
      <w:r>
        <w:t>0.4453</w:t>
      </w:r>
      <w:r>
        <w:t>）发生了严重倒退（净损失</w:t>
      </w:r>
      <w:r>
        <w:t xml:space="preserve"> -0.0055</w:t>
      </w:r>
      <w:r>
        <w:t>）。</w:t>
      </w:r>
    </w:p>
    <w:p w14:paraId="0B56BC49" w14:textId="77777777" w:rsidR="00E30FFE" w:rsidRDefault="002B33A7">
      <w:pPr>
        <w:ind w:firstLine="480"/>
        <w:jc w:val="both"/>
      </w:pPr>
      <w:r>
        <w:t>深入的误差分解表明，由于深度序列模型与同源比对模型在相同训练折叠上的预测概率高度共线性（皮尔逊相关系数达</w:t>
      </w:r>
      <w:r>
        <w:t xml:space="preserve"> 0.75 </w:t>
      </w:r>
      <w:r>
        <w:t>以上），参数化回归严重过拟合了验证集上局部的置信度校准噪声，甚至将自注意力模型的权重压缩至接近</w:t>
      </w:r>
      <w:r>
        <w:t xml:space="preserve"> 0</w:t>
      </w:r>
      <w:r>
        <w:t>，损害了全局外推能力。与之形成对比的是，无参数互惠秩融合（</w:t>
      </w:r>
      <w:r>
        <w:t>RRF</w:t>
      </w:r>
      <w:r>
        <w:t>）不引入任何标签维度的拟合参数，仅通过对齐相对位次便提供单调性保护，这在高维多标签场景下是更稳妥的选择。</w:t>
      </w:r>
    </w:p>
    <w:p w14:paraId="1981F2EC" w14:textId="77777777" w:rsidR="00E30FFE" w:rsidRDefault="002B33A7">
      <w:pPr>
        <w:pStyle w:val="2"/>
        <w:keepNext/>
      </w:pPr>
      <w:bookmarkStart w:id="24" w:name="_Toc241140373"/>
      <w:r>
        <w:t>5.6</w:t>
      </w:r>
      <w:r>
        <w:t xml:space="preserve">　预训练语言模型分支的消融与注入方式</w:t>
      </w:r>
      <w:bookmarkEnd w:id="24"/>
    </w:p>
    <w:p w14:paraId="2950F644" w14:textId="77777777" w:rsidR="00E30FFE" w:rsidRDefault="002B33A7">
      <w:pPr>
        <w:ind w:firstLine="480"/>
        <w:jc w:val="both"/>
      </w:pPr>
      <w:r>
        <w:t>表</w:t>
      </w:r>
      <w:r>
        <w:t xml:space="preserve"> 5.2 </w:t>
      </w:r>
      <w:r>
        <w:t>汇总语言模型分支的逐级消融。以</w:t>
      </w:r>
      <w:r>
        <w:t xml:space="preserve"> M7</w:t>
      </w:r>
      <w:r>
        <w:t>（</w:t>
      </w:r>
      <w:r>
        <w:t>0.4453</w:t>
      </w:r>
      <w:r>
        <w:t>）为基线，加入单种子语言模型分支与二跳传递同源后，验证宏</w:t>
      </w:r>
      <w:r>
        <w:t xml:space="preserve"> F1 </w:t>
      </w:r>
      <w:r>
        <w:t>提升至</w:t>
      </w:r>
      <w:r>
        <w:t xml:space="preserve"> 0.4471</w:t>
      </w:r>
      <w:r>
        <w:t>（</w:t>
      </w:r>
      <w:r>
        <w:t>+0.0018</w:t>
      </w:r>
      <w:r>
        <w:t>）；组件归因显示，全局增益几乎全部来自语言模型分支（</w:t>
      </w:r>
      <w:r>
        <w:t>+0.0017</w:t>
      </w:r>
      <w:r>
        <w:t>），而二跳传递的价值集中在孤儿子集：零命中蛋白的</w:t>
      </w:r>
      <w:r>
        <w:t xml:space="preserve"> F1 </w:t>
      </w:r>
      <w:r>
        <w:t>从</w:t>
      </w:r>
      <w:r>
        <w:t xml:space="preserve"> 0.0764 </w:t>
      </w:r>
      <w:r>
        <w:t>提升至</w:t>
      </w:r>
      <w:r>
        <w:t xml:space="preserve"> 0.1032</w:t>
      </w:r>
      <w:r>
        <w:t>，相对增幅约</w:t>
      </w:r>
      <w:r>
        <w:t xml:space="preserve"> 35%</w:t>
      </w:r>
      <w:r>
        <w:t>。将语言模型分支升级为三种子平均并以</w:t>
      </w:r>
      <w:r>
        <w:t xml:space="preserve"> </w:t>
      </w:r>
      <w:r>
        <w:rPr>
          <w:i/>
          <w:iCs/>
        </w:rPr>
        <w:t>w = 0.35</w:t>
      </w:r>
      <w:r>
        <w:t xml:space="preserve"> </w:t>
      </w:r>
      <w:r>
        <w:t>线性注入后，验证宏</w:t>
      </w:r>
      <w:r>
        <w:t xml:space="preserve"> F1 </w:t>
      </w:r>
      <w:r>
        <w:t>达到</w:t>
      </w:r>
      <w:r>
        <w:t xml:space="preserve"> 0.4475</w:t>
      </w:r>
      <w:r>
        <w:t>、宏</w:t>
      </w:r>
      <w:r>
        <w:t xml:space="preserve"> AUC 0.8647</w:t>
      </w:r>
      <w:r>
        <w:t>，为本文最终配置。</w:t>
      </w:r>
    </w:p>
    <w:p w14:paraId="220460D4" w14:textId="77777777" w:rsidR="00E30FFE" w:rsidRDefault="002B33A7">
      <w:pPr>
        <w:keepNext/>
        <w:spacing w:before="120" w:after="20"/>
        <w:jc w:val="center"/>
      </w:pPr>
      <w:r>
        <w:rPr>
          <w:rFonts w:eastAsia="黑体"/>
          <w:sz w:val="21"/>
          <w:szCs w:val="21"/>
        </w:rPr>
        <w:t>表</w:t>
      </w:r>
      <w:r>
        <w:rPr>
          <w:b/>
          <w:bCs/>
          <w:sz w:val="21"/>
          <w:szCs w:val="21"/>
        </w:rPr>
        <w:t>5.2</w:t>
      </w:r>
      <w:r>
        <w:rPr>
          <w:rFonts w:eastAsia="黑体"/>
          <w:sz w:val="21"/>
          <w:szCs w:val="21"/>
        </w:rPr>
        <w:t xml:space="preserve">　预训练语言模型分支的逐级消融（验证集）</w:t>
      </w:r>
    </w:p>
    <w:p w14:paraId="1D035B7E" w14:textId="77777777" w:rsidR="00E30FFE" w:rsidRDefault="002B33A7">
      <w:pPr>
        <w:keepNext/>
        <w:keepLines/>
        <w:spacing w:after="60"/>
        <w:jc w:val="center"/>
      </w:pPr>
      <w:r>
        <w:rPr>
          <w:color w:val="333333"/>
          <w:sz w:val="21"/>
          <w:szCs w:val="21"/>
        </w:rPr>
        <w:t xml:space="preserve">Tab. </w:t>
      </w:r>
      <w:r>
        <w:rPr>
          <w:b/>
          <w:bCs/>
          <w:color w:val="333333"/>
          <w:sz w:val="21"/>
          <w:szCs w:val="21"/>
        </w:rPr>
        <w:t>5.2</w:t>
      </w:r>
      <w:r>
        <w:rPr>
          <w:color w:val="333333"/>
          <w:sz w:val="21"/>
          <w:szCs w:val="21"/>
        </w:rPr>
        <w:t xml:space="preserve">  Ablation of the pretrained language-model branch</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504"/>
        <w:gridCol w:w="3092"/>
        <w:gridCol w:w="1237"/>
        <w:gridCol w:w="1237"/>
      </w:tblGrid>
      <w:tr w:rsidR="00E30FFE" w14:paraId="220FDDEA" w14:textId="77777777">
        <w:tblPrEx>
          <w:tblCellMar>
            <w:top w:w="0" w:type="dxa"/>
            <w:bottom w:w="0" w:type="dxa"/>
          </w:tblCellMar>
        </w:tblPrEx>
        <w:trPr>
          <w:cantSplit/>
          <w:tblHeader/>
        </w:trPr>
        <w:tc>
          <w:tcPr>
            <w:tcW w:w="17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24D9A646" w14:textId="77777777" w:rsidR="00E30FFE" w:rsidRDefault="002B33A7">
            <w:pPr>
              <w:jc w:val="center"/>
            </w:pPr>
            <w:r>
              <w:rPr>
                <w:rFonts w:eastAsia="黑体"/>
                <w:b/>
                <w:bCs/>
                <w:sz w:val="21"/>
                <w:szCs w:val="21"/>
              </w:rPr>
              <w:t>配置</w:t>
            </w:r>
          </w:p>
        </w:tc>
        <w:tc>
          <w:tcPr>
            <w:tcW w:w="15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4CCC996E" w14:textId="77777777" w:rsidR="00E30FFE" w:rsidRDefault="002B33A7">
            <w:pPr>
              <w:jc w:val="center"/>
            </w:pPr>
            <w:r>
              <w:rPr>
                <w:rFonts w:eastAsia="黑体"/>
                <w:b/>
                <w:bCs/>
                <w:sz w:val="21"/>
                <w:szCs w:val="21"/>
              </w:rPr>
              <w:t>说明</w:t>
            </w:r>
          </w:p>
        </w:tc>
        <w:tc>
          <w:tcPr>
            <w:tcW w:w="6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6026EE2C" w14:textId="77777777" w:rsidR="00E30FFE" w:rsidRDefault="002B33A7">
            <w:pPr>
              <w:jc w:val="center"/>
            </w:pPr>
            <w:r>
              <w:rPr>
                <w:rFonts w:eastAsia="黑体"/>
                <w:b/>
                <w:bCs/>
                <w:sz w:val="21"/>
                <w:szCs w:val="21"/>
              </w:rPr>
              <w:t>独立</w:t>
            </w:r>
            <w:r>
              <w:rPr>
                <w:rFonts w:eastAsia="黑体"/>
                <w:b/>
                <w:bCs/>
                <w:sz w:val="21"/>
                <w:szCs w:val="21"/>
              </w:rPr>
              <w:t xml:space="preserve"> F1</w:t>
            </w:r>
          </w:p>
        </w:tc>
        <w:tc>
          <w:tcPr>
            <w:tcW w:w="6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508BE653" w14:textId="77777777" w:rsidR="00E30FFE" w:rsidRDefault="002B33A7">
            <w:pPr>
              <w:jc w:val="center"/>
            </w:pPr>
            <w:r>
              <w:rPr>
                <w:rFonts w:eastAsia="黑体"/>
                <w:b/>
                <w:bCs/>
                <w:sz w:val="21"/>
                <w:szCs w:val="21"/>
              </w:rPr>
              <w:t>融合</w:t>
            </w:r>
            <w:r>
              <w:rPr>
                <w:rFonts w:eastAsia="黑体"/>
                <w:b/>
                <w:bCs/>
                <w:sz w:val="21"/>
                <w:szCs w:val="21"/>
              </w:rPr>
              <w:t xml:space="preserve"> F1</w:t>
            </w:r>
          </w:p>
        </w:tc>
      </w:tr>
      <w:tr w:rsidR="00E30FFE" w14:paraId="2CDAF8A2" w14:textId="77777777">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C112BA" w14:textId="77777777" w:rsidR="00E30FFE" w:rsidRDefault="002B33A7">
            <w:r>
              <w:rPr>
                <w:sz w:val="21"/>
                <w:szCs w:val="21"/>
              </w:rPr>
              <w:t xml:space="preserve">M7 </w:t>
            </w:r>
            <w:r>
              <w:rPr>
                <w:sz w:val="21"/>
                <w:szCs w:val="21"/>
              </w:rPr>
              <w:t>基线</w:t>
            </w:r>
          </w:p>
        </w:tc>
        <w:tc>
          <w:tcPr>
            <w:tcW w:w="1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F856AA" w14:textId="77777777" w:rsidR="00E30FFE" w:rsidRDefault="002B33A7">
            <w:pPr>
              <w:jc w:val="center"/>
            </w:pPr>
            <w:r>
              <w:rPr>
                <w:sz w:val="21"/>
                <w:szCs w:val="21"/>
              </w:rPr>
              <w:t xml:space="preserve">CNN </w:t>
            </w:r>
            <w:r>
              <w:rPr>
                <w:sz w:val="21"/>
                <w:szCs w:val="21"/>
              </w:rPr>
              <w:t>路</w:t>
            </w:r>
            <w:r>
              <w:rPr>
                <w:sz w:val="21"/>
                <w:szCs w:val="21"/>
              </w:rPr>
              <w:t xml:space="preserve"> = </w:t>
            </w:r>
            <w:r>
              <w:rPr>
                <w:sz w:val="21"/>
                <w:szCs w:val="21"/>
              </w:rPr>
              <w:t>双卷积概率平均</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21A394" w14:textId="77777777" w:rsidR="00E30FFE" w:rsidRDefault="002B33A7">
            <w:pPr>
              <w:jc w:val="center"/>
            </w:pPr>
            <w:r>
              <w:rPr>
                <w:sz w:val="21"/>
                <w:szCs w:val="21"/>
              </w:rPr>
              <w:t>—</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8D4D4B" w14:textId="77777777" w:rsidR="00E30FFE" w:rsidRDefault="002B33A7">
            <w:pPr>
              <w:jc w:val="center"/>
            </w:pPr>
            <w:r>
              <w:rPr>
                <w:sz w:val="21"/>
                <w:szCs w:val="21"/>
              </w:rPr>
              <w:t>0.4453</w:t>
            </w:r>
          </w:p>
        </w:tc>
      </w:tr>
      <w:tr w:rsidR="00E30FFE" w14:paraId="43E633A8" w14:textId="77777777">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7813624" w14:textId="77777777" w:rsidR="00E30FFE" w:rsidRDefault="002B33A7">
            <w:r>
              <w:rPr>
                <w:sz w:val="21"/>
                <w:szCs w:val="21"/>
              </w:rPr>
              <w:t xml:space="preserve">PLM </w:t>
            </w:r>
            <w:r>
              <w:rPr>
                <w:sz w:val="21"/>
                <w:szCs w:val="21"/>
              </w:rPr>
              <w:t>单种子</w:t>
            </w:r>
            <w:r>
              <w:rPr>
                <w:sz w:val="21"/>
                <w:szCs w:val="21"/>
              </w:rPr>
              <w:t xml:space="preserve"> (w=0.25)</w:t>
            </w:r>
          </w:p>
        </w:tc>
        <w:tc>
          <w:tcPr>
            <w:tcW w:w="1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306F45E" w14:textId="77777777" w:rsidR="00E30FFE" w:rsidRDefault="002B33A7">
            <w:pPr>
              <w:jc w:val="center"/>
            </w:pPr>
            <w:r>
              <w:rPr>
                <w:sz w:val="21"/>
                <w:szCs w:val="21"/>
              </w:rPr>
              <w:t>引入</w:t>
            </w:r>
            <w:r>
              <w:rPr>
                <w:sz w:val="21"/>
                <w:szCs w:val="21"/>
              </w:rPr>
              <w:t xml:space="preserve"> 2-hop </w:t>
            </w:r>
            <w:r>
              <w:rPr>
                <w:sz w:val="21"/>
                <w:szCs w:val="21"/>
              </w:rPr>
              <w:t>传递同源</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D9AC91" w14:textId="77777777" w:rsidR="00E30FFE" w:rsidRDefault="002B33A7">
            <w:pPr>
              <w:jc w:val="center"/>
            </w:pPr>
            <w:r>
              <w:rPr>
                <w:sz w:val="21"/>
                <w:szCs w:val="21"/>
              </w:rPr>
              <w:t>0.2590</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BDF829" w14:textId="77777777" w:rsidR="00E30FFE" w:rsidRDefault="002B33A7">
            <w:pPr>
              <w:jc w:val="center"/>
            </w:pPr>
            <w:r>
              <w:rPr>
                <w:sz w:val="21"/>
                <w:szCs w:val="21"/>
              </w:rPr>
              <w:t>0.4471</w:t>
            </w:r>
          </w:p>
        </w:tc>
      </w:tr>
      <w:tr w:rsidR="00E30FFE" w14:paraId="7A533CC5" w14:textId="77777777">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588A0C" w14:textId="77777777" w:rsidR="00E30FFE" w:rsidRDefault="002B33A7">
            <w:r>
              <w:rPr>
                <w:sz w:val="21"/>
                <w:szCs w:val="21"/>
              </w:rPr>
              <w:t xml:space="preserve">PLM </w:t>
            </w:r>
            <w:r>
              <w:rPr>
                <w:sz w:val="21"/>
                <w:szCs w:val="21"/>
              </w:rPr>
              <w:t>三种子</w:t>
            </w:r>
            <w:r>
              <w:rPr>
                <w:sz w:val="21"/>
                <w:szCs w:val="21"/>
              </w:rPr>
              <w:t xml:space="preserve"> + </w:t>
            </w:r>
            <w:r>
              <w:rPr>
                <w:sz w:val="21"/>
                <w:szCs w:val="21"/>
              </w:rPr>
              <w:t>线性注入</w:t>
            </w:r>
            <w:r>
              <w:rPr>
                <w:sz w:val="21"/>
                <w:szCs w:val="21"/>
              </w:rPr>
              <w:t xml:space="preserve"> (w=0.35)</w:t>
            </w:r>
          </w:p>
        </w:tc>
        <w:tc>
          <w:tcPr>
            <w:tcW w:w="1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B4DC47" w14:textId="77777777" w:rsidR="00E30FFE" w:rsidRDefault="002B33A7">
            <w:pPr>
              <w:jc w:val="center"/>
            </w:pPr>
            <w:r>
              <w:rPr>
                <w:sz w:val="21"/>
                <w:szCs w:val="21"/>
              </w:rPr>
              <w:t>种子平均，最终配置</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737B9D" w14:textId="77777777" w:rsidR="00E30FFE" w:rsidRDefault="002B33A7">
            <w:pPr>
              <w:jc w:val="center"/>
            </w:pPr>
            <w:r>
              <w:rPr>
                <w:sz w:val="21"/>
                <w:szCs w:val="21"/>
              </w:rPr>
              <w:t>0.2729</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5A1E8F" w14:textId="77777777" w:rsidR="00E30FFE" w:rsidRDefault="002B33A7">
            <w:pPr>
              <w:jc w:val="center"/>
            </w:pPr>
            <w:r>
              <w:rPr>
                <w:sz w:val="21"/>
                <w:szCs w:val="21"/>
              </w:rPr>
              <w:t>0.4475</w:t>
            </w:r>
          </w:p>
        </w:tc>
      </w:tr>
      <w:tr w:rsidR="00E30FFE" w14:paraId="351B1DF3" w14:textId="77777777">
        <w:tblPrEx>
          <w:tblCellMar>
            <w:top w:w="0" w:type="dxa"/>
            <w:bottom w:w="0" w:type="dxa"/>
          </w:tblCellMar>
        </w:tblPrEx>
        <w:trPr>
          <w:cantSplit/>
        </w:trPr>
        <w:tc>
          <w:tcPr>
            <w:tcW w:w="1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4F5643" w14:textId="77777777" w:rsidR="00E30FFE" w:rsidRDefault="002B33A7">
            <w:r>
              <w:rPr>
                <w:sz w:val="21"/>
                <w:szCs w:val="21"/>
              </w:rPr>
              <w:t xml:space="preserve">PLM </w:t>
            </w:r>
            <w:r>
              <w:rPr>
                <w:sz w:val="21"/>
                <w:szCs w:val="21"/>
              </w:rPr>
              <w:t>三种子</w:t>
            </w:r>
            <w:r>
              <w:rPr>
                <w:sz w:val="21"/>
                <w:szCs w:val="21"/>
              </w:rPr>
              <w:t xml:space="preserve"> + RRF </w:t>
            </w:r>
            <w:r>
              <w:rPr>
                <w:sz w:val="21"/>
                <w:szCs w:val="21"/>
              </w:rPr>
              <w:t>注入</w:t>
            </w:r>
          </w:p>
        </w:tc>
        <w:tc>
          <w:tcPr>
            <w:tcW w:w="15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AD3C8F" w14:textId="77777777" w:rsidR="00E30FFE" w:rsidRDefault="002B33A7">
            <w:pPr>
              <w:jc w:val="center"/>
            </w:pPr>
            <w:r>
              <w:rPr>
                <w:sz w:val="21"/>
                <w:szCs w:val="21"/>
              </w:rPr>
              <w:t>秩融合替代线性注入</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F8E2DC" w14:textId="77777777" w:rsidR="00E30FFE" w:rsidRDefault="002B33A7">
            <w:pPr>
              <w:jc w:val="center"/>
            </w:pPr>
            <w:r>
              <w:rPr>
                <w:sz w:val="21"/>
                <w:szCs w:val="21"/>
              </w:rPr>
              <w:t>0.2729</w:t>
            </w:r>
          </w:p>
        </w:tc>
        <w:tc>
          <w:tcPr>
            <w:tcW w:w="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23F282" w14:textId="77777777" w:rsidR="00E30FFE" w:rsidRDefault="002B33A7">
            <w:pPr>
              <w:jc w:val="center"/>
            </w:pPr>
            <w:r>
              <w:rPr>
                <w:sz w:val="21"/>
                <w:szCs w:val="21"/>
              </w:rPr>
              <w:t>0.4461</w:t>
            </w:r>
          </w:p>
        </w:tc>
      </w:tr>
      <w:tr w:rsidR="00E30FFE" w14:paraId="262AB8FD" w14:textId="77777777">
        <w:tblPrEx>
          <w:tblCellMar>
            <w:top w:w="0" w:type="dxa"/>
            <w:bottom w:w="0" w:type="dxa"/>
          </w:tblCellMar>
        </w:tblPrEx>
        <w:trPr>
          <w:cantSplit/>
        </w:trPr>
        <w:tc>
          <w:tcPr>
            <w:tcW w:w="17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C58BA02" w14:textId="77777777" w:rsidR="00E30FFE" w:rsidRDefault="002B33A7">
            <w:r>
              <w:rPr>
                <w:sz w:val="21"/>
                <w:szCs w:val="21"/>
              </w:rPr>
              <w:t xml:space="preserve">PLM </w:t>
            </w:r>
            <w:r>
              <w:rPr>
                <w:sz w:val="21"/>
                <w:szCs w:val="21"/>
              </w:rPr>
              <w:t>三种子全量重训</w:t>
            </w:r>
          </w:p>
        </w:tc>
        <w:tc>
          <w:tcPr>
            <w:tcW w:w="15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2E4CA8D" w14:textId="77777777" w:rsidR="00E30FFE" w:rsidRDefault="002B33A7">
            <w:pPr>
              <w:jc w:val="center"/>
            </w:pPr>
            <w:r>
              <w:rPr>
                <w:sz w:val="21"/>
                <w:szCs w:val="21"/>
              </w:rPr>
              <w:t xml:space="preserve">100% </w:t>
            </w:r>
            <w:r>
              <w:rPr>
                <w:sz w:val="21"/>
                <w:szCs w:val="21"/>
              </w:rPr>
              <w:t>训练数据，作用于提交侧</w:t>
            </w:r>
          </w:p>
        </w:tc>
        <w:tc>
          <w:tcPr>
            <w:tcW w:w="6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E3B4563" w14:textId="77777777" w:rsidR="00E30FFE" w:rsidRDefault="002B33A7">
            <w:pPr>
              <w:jc w:val="center"/>
            </w:pPr>
            <w:r>
              <w:rPr>
                <w:sz w:val="21"/>
                <w:szCs w:val="21"/>
              </w:rPr>
              <w:t>0.2729*</w:t>
            </w:r>
          </w:p>
        </w:tc>
        <w:tc>
          <w:tcPr>
            <w:tcW w:w="6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2E1A95B" w14:textId="77777777" w:rsidR="00E30FFE" w:rsidRDefault="002B33A7">
            <w:pPr>
              <w:jc w:val="center"/>
            </w:pPr>
            <w:r>
              <w:rPr>
                <w:sz w:val="21"/>
                <w:szCs w:val="21"/>
              </w:rPr>
              <w:t>0.4475</w:t>
            </w:r>
          </w:p>
        </w:tc>
      </w:tr>
    </w:tbl>
    <w:p w14:paraId="50078CD7" w14:textId="77777777" w:rsidR="00E30FFE" w:rsidRDefault="002B33A7">
      <w:pPr>
        <w:spacing w:before="60" w:after="180" w:line="280" w:lineRule="auto"/>
      </w:pPr>
      <w:r>
        <w:rPr>
          <w:color w:val="444444"/>
          <w:sz w:val="19"/>
          <w:szCs w:val="19"/>
        </w:rPr>
        <w:t>注：</w:t>
      </w:r>
      <w:r>
        <w:rPr>
          <w:color w:val="444444"/>
          <w:sz w:val="19"/>
          <w:szCs w:val="19"/>
        </w:rPr>
        <w:t xml:space="preserve">* </w:t>
      </w:r>
      <w:r>
        <w:rPr>
          <w:color w:val="444444"/>
          <w:sz w:val="19"/>
          <w:szCs w:val="19"/>
        </w:rPr>
        <w:t>全量重训不改变验证口径，验证列沿用</w:t>
      </w:r>
      <w:r>
        <w:rPr>
          <w:color w:val="444444"/>
          <w:sz w:val="19"/>
          <w:szCs w:val="19"/>
        </w:rPr>
        <w:t xml:space="preserve"> 80% </w:t>
      </w:r>
      <w:r>
        <w:rPr>
          <w:color w:val="444444"/>
          <w:sz w:val="19"/>
          <w:szCs w:val="19"/>
        </w:rPr>
        <w:t>模型结果；其收益作用于无法本地验证的测试侧，与当前最优提交的差异集中在</w:t>
      </w:r>
      <w:r>
        <w:rPr>
          <w:color w:val="444444"/>
          <w:sz w:val="19"/>
          <w:szCs w:val="19"/>
        </w:rPr>
        <w:t xml:space="preserve"> 0.23% </w:t>
      </w:r>
      <w:r>
        <w:rPr>
          <w:color w:val="444444"/>
          <w:sz w:val="19"/>
          <w:szCs w:val="19"/>
        </w:rPr>
        <w:t>的判定边界格。本表</w:t>
      </w:r>
      <w:r>
        <w:rPr>
          <w:color w:val="444444"/>
          <w:sz w:val="19"/>
          <w:szCs w:val="19"/>
        </w:rPr>
        <w:t xml:space="preserve"> M7 </w:t>
      </w:r>
      <w:r>
        <w:rPr>
          <w:color w:val="444444"/>
          <w:sz w:val="19"/>
          <w:szCs w:val="19"/>
        </w:rPr>
        <w:t>基线（</w:t>
      </w:r>
      <w:r>
        <w:rPr>
          <w:color w:val="444444"/>
          <w:sz w:val="19"/>
          <w:szCs w:val="19"/>
        </w:rPr>
        <w:t>0.4453</w:t>
      </w:r>
      <w:r>
        <w:rPr>
          <w:color w:val="444444"/>
          <w:sz w:val="19"/>
          <w:szCs w:val="19"/>
        </w:rPr>
        <w:t>）在表</w:t>
      </w:r>
      <w:r>
        <w:rPr>
          <w:color w:val="444444"/>
          <w:sz w:val="19"/>
          <w:szCs w:val="19"/>
        </w:rPr>
        <w:t xml:space="preserve"> 5.1 </w:t>
      </w:r>
      <w:r>
        <w:rPr>
          <w:color w:val="444444"/>
          <w:sz w:val="19"/>
          <w:szCs w:val="19"/>
        </w:rPr>
        <w:t>中记为</w:t>
      </w:r>
      <w:r>
        <w:rPr>
          <w:color w:val="444444"/>
          <w:sz w:val="19"/>
          <w:szCs w:val="19"/>
        </w:rPr>
        <w:t xml:space="preserve"> M7</w:t>
      </w:r>
      <w:r>
        <w:rPr>
          <w:color w:val="444444"/>
          <w:sz w:val="19"/>
          <w:szCs w:val="19"/>
        </w:rPr>
        <w:t>（消融管线，</w:t>
      </w:r>
      <w:r>
        <w:rPr>
          <w:color w:val="444444"/>
          <w:sz w:val="19"/>
          <w:szCs w:val="19"/>
        </w:rPr>
        <w:t>0.4443</w:t>
      </w:r>
      <w:r>
        <w:rPr>
          <w:color w:val="444444"/>
          <w:sz w:val="19"/>
          <w:szCs w:val="19"/>
        </w:rPr>
        <w:t>），二者相差</w:t>
      </w:r>
      <w:r>
        <w:rPr>
          <w:color w:val="444444"/>
          <w:sz w:val="19"/>
          <w:szCs w:val="19"/>
        </w:rPr>
        <w:t xml:space="preserve"> 0.0010 </w:t>
      </w:r>
      <w:r>
        <w:rPr>
          <w:color w:val="444444"/>
          <w:sz w:val="19"/>
          <w:szCs w:val="19"/>
        </w:rPr>
        <w:t>来自</w:t>
      </w:r>
      <w:r>
        <w:rPr>
          <w:color w:val="444444"/>
          <w:sz w:val="19"/>
          <w:szCs w:val="19"/>
        </w:rPr>
        <w:t xml:space="preserve"> CNN </w:t>
      </w:r>
      <w:r>
        <w:rPr>
          <w:color w:val="444444"/>
          <w:sz w:val="19"/>
          <w:szCs w:val="19"/>
        </w:rPr>
        <w:t>路的聚合方式：基线将</w:t>
      </w:r>
      <w:r>
        <w:rPr>
          <w:color w:val="444444"/>
          <w:sz w:val="19"/>
          <w:szCs w:val="19"/>
        </w:rPr>
        <w:t xml:space="preserve"> CNN </w:t>
      </w:r>
      <w:r>
        <w:rPr>
          <w:color w:val="444444"/>
          <w:sz w:val="19"/>
          <w:szCs w:val="19"/>
        </w:rPr>
        <w:t>路替换为双卷积概率平均。</w:t>
      </w:r>
    </w:p>
    <w:p w14:paraId="4CB2F729" w14:textId="77777777" w:rsidR="00E30FFE" w:rsidRDefault="002B33A7">
      <w:pPr>
        <w:ind w:firstLine="480"/>
        <w:jc w:val="both"/>
      </w:pPr>
      <w:r>
        <w:t>两点工程结论值得记录。其一，线性注入一致优于秩融合注入（</w:t>
      </w:r>
      <w:r>
        <w:t xml:space="preserve">0.4475 </w:t>
      </w:r>
      <w:r>
        <w:t>对</w:t>
      </w:r>
      <w:r>
        <w:t xml:space="preserve"> 0.4430–0.4461</w:t>
      </w:r>
      <w:r>
        <w:t>）：线性混合保留了语言模型分支的概率幅度信息，而秩融合只保留名次，抹掉了这部分可分性。其二，向特征侧加入更多同质模块（如再拼接一个同任务训练的</w:t>
      </w:r>
      <w:r>
        <w:t xml:space="preserve"> BiLSTM </w:t>
      </w:r>
      <w:r>
        <w:t>表征）虽使独立分从</w:t>
      </w:r>
      <w:r>
        <w:t xml:space="preserve"> 0.2590 </w:t>
      </w:r>
      <w:r>
        <w:t>升至</w:t>
      </w:r>
      <w:r>
        <w:t xml:space="preserve"> 0.2867</w:t>
      </w:r>
      <w:r>
        <w:t>，融合分却降至</w:t>
      </w:r>
      <w:r>
        <w:t xml:space="preserve"> 0.4462</w:t>
      </w:r>
      <w:r>
        <w:t>；对语言模型家族的扩容评估也表明多骨干拼接的收益非单调</w:t>
      </w:r>
      <w:r>
        <w:rPr>
          <w:sz w:val="21"/>
          <w:szCs w:val="21"/>
          <w:vertAlign w:val="superscript"/>
        </w:rPr>
        <w:t>[43]</w:t>
      </w:r>
      <w:r>
        <w:t>，故本文维持</w:t>
      </w:r>
      <w:r>
        <w:t xml:space="preserve"> 1664 </w:t>
      </w:r>
      <w:r>
        <w:t>维的两模型拼接不变。</w:t>
      </w:r>
    </w:p>
    <w:p w14:paraId="08C0BEAF" w14:textId="77777777" w:rsidR="00E30FFE" w:rsidRDefault="002B33A7">
      <w:pPr>
        <w:pStyle w:val="2"/>
        <w:keepNext/>
      </w:pPr>
      <w:bookmarkStart w:id="25" w:name="_Toc241140374"/>
      <w:r>
        <w:t>5.7</w:t>
      </w:r>
      <w:r>
        <w:t xml:space="preserve">　排序头部诊断：低假阳性率区谁在贡献</w:t>
      </w:r>
      <w:bookmarkEnd w:id="25"/>
    </w:p>
    <w:p w14:paraId="655FEA6E" w14:textId="77777777" w:rsidR="00E30FFE" w:rsidRDefault="002B33A7">
      <w:pPr>
        <w:ind w:firstLine="480"/>
        <w:jc w:val="both"/>
      </w:pPr>
      <w:r>
        <w:t>宏</w:t>
      </w:r>
      <w:r>
        <w:t xml:space="preserve"> F1 </w:t>
      </w:r>
      <w:r>
        <w:t>之外，我们进一步检查排序头部，即假阳性率</w:t>
      </w:r>
      <w:r>
        <w:t xml:space="preserve"> 6.9% </w:t>
      </w:r>
      <w:r>
        <w:t>处的召回率。该工作点由榜单领先者的</w:t>
      </w:r>
      <w:r>
        <w:t xml:space="preserve"> AUC</w:t>
      </w:r>
      <w:r>
        <w:t>（</w:t>
      </w:r>
      <w:r>
        <w:t>0.8755</w:t>
      </w:r>
      <w:r>
        <w:t>）与</w:t>
      </w:r>
      <w:r>
        <w:t xml:space="preserve"> F1</w:t>
      </w:r>
      <w:r>
        <w:t>（</w:t>
      </w:r>
      <w:r>
        <w:t>0.5286</w:t>
      </w:r>
      <w:r>
        <w:t>）联立反解得到，可视为强基线系统的工作区域。图</w:t>
      </w:r>
      <w:r>
        <w:t xml:space="preserve"> 5.5a </w:t>
      </w:r>
      <w:r>
        <w:t>给出各分支在假阳性率</w:t>
      </w:r>
      <w:r>
        <w:t xml:space="preserve"> 10% </w:t>
      </w:r>
      <w:r>
        <w:t>以内的逐标签平均</w:t>
      </w:r>
      <w:r>
        <w:t xml:space="preserve"> ROC </w:t>
      </w:r>
      <w:r>
        <w:t>曲线，图</w:t>
      </w:r>
      <w:r>
        <w:t xml:space="preserve"> 5.5b </w:t>
      </w:r>
      <w:r>
        <w:t>汇总固定假阳性率处的召回。同源分支的全局</w:t>
      </w:r>
      <w:r>
        <w:t xml:space="preserve"> AUC </w:t>
      </w:r>
      <w:r>
        <w:t>最低（</w:t>
      </w:r>
      <w:r>
        <w:t>0.7786</w:t>
      </w:r>
      <w:r>
        <w:t>），头部召回却最高（</w:t>
      </w:r>
      <w:r>
        <w:t>0.5472</w:t>
      </w:r>
      <w:r>
        <w:t>），比五路深度分支高</w:t>
      </w:r>
      <w:r>
        <w:t xml:space="preserve"> 0.0955</w:t>
      </w:r>
      <w:r>
        <w:t>；「</w:t>
      </w:r>
      <w:r>
        <w:t xml:space="preserve">AUC </w:t>
      </w:r>
      <w:r>
        <w:t>高」与「头部召回高」在这里是两种能力。融合将头部召回进一步提升至</w:t>
      </w:r>
      <w:r>
        <w:t xml:space="preserve"> 0.6026</w:t>
      </w:r>
      <w:r>
        <w:t>，超过任何单支，而</w:t>
      </w:r>
      <w:r>
        <w:t xml:space="preserve"> Sinkhorn </w:t>
      </w:r>
      <w:r>
        <w:t>在这一区间零贡献。与领先者约</w:t>
      </w:r>
      <w:r>
        <w:t xml:space="preserve"> 0.82 </w:t>
      </w:r>
      <w:r>
        <w:t>的头部召回相比，</w:t>
      </w:r>
      <w:r>
        <w:t xml:space="preserve">0.22 </w:t>
      </w:r>
      <w:r>
        <w:t>的差距全部落在模型判别力上，而非决策技巧，这与</w:t>
      </w:r>
      <w:r>
        <w:t xml:space="preserve"> 5.9 </w:t>
      </w:r>
      <w:r>
        <w:t>节中决策层路线的关闭互为印证。</w:t>
      </w:r>
    </w:p>
    <w:p w14:paraId="2BB17A45" w14:textId="77777777" w:rsidR="00E30FFE" w:rsidRDefault="002B33A7">
      <w:pPr>
        <w:keepNext/>
        <w:spacing w:before="180" w:after="100" w:line="240" w:lineRule="auto"/>
        <w:jc w:val="center"/>
      </w:pPr>
      <w:r>
        <w:rPr>
          <w:noProof/>
        </w:rPr>
        <w:drawing>
          <wp:inline distT="0" distB="0" distL="0" distR="0" wp14:anchorId="555C4169" wp14:editId="4F462978">
            <wp:extent cx="5143500" cy="2038350"/>
            <wp:effectExtent l="0" t="0" r="0" b="0"/>
            <wp:docPr id="2121771000" name="图片 212177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038350"/>
                    </a:xfrm>
                    <a:prstGeom prst="rect">
                      <a:avLst/>
                    </a:prstGeom>
                  </pic:spPr>
                </pic:pic>
              </a:graphicData>
            </a:graphic>
          </wp:inline>
        </w:drawing>
      </w:r>
    </w:p>
    <w:p w14:paraId="52AC69A7" w14:textId="77777777" w:rsidR="00E30FFE" w:rsidRDefault="002B33A7">
      <w:pPr>
        <w:keepNext/>
        <w:keepLines/>
        <w:spacing w:before="100" w:after="20"/>
        <w:jc w:val="center"/>
      </w:pPr>
      <w:r>
        <w:rPr>
          <w:rFonts w:eastAsia="黑体"/>
          <w:sz w:val="21"/>
          <w:szCs w:val="21"/>
        </w:rPr>
        <w:t>图</w:t>
      </w:r>
      <w:r>
        <w:rPr>
          <w:b/>
          <w:bCs/>
          <w:sz w:val="21"/>
          <w:szCs w:val="21"/>
        </w:rPr>
        <w:t>5.5</w:t>
      </w:r>
      <w:r>
        <w:rPr>
          <w:rFonts w:eastAsia="黑体"/>
          <w:sz w:val="21"/>
          <w:szCs w:val="21"/>
        </w:rPr>
        <w:t xml:space="preserve">　排序头部诊断：</w:t>
      </w:r>
      <w:r>
        <w:rPr>
          <w:rFonts w:eastAsia="黑体"/>
          <w:sz w:val="21"/>
          <w:szCs w:val="21"/>
        </w:rPr>
        <w:t xml:space="preserve">(a) </w:t>
      </w:r>
      <w:r>
        <w:rPr>
          <w:rFonts w:eastAsia="黑体"/>
          <w:sz w:val="21"/>
          <w:szCs w:val="21"/>
        </w:rPr>
        <w:t>各分支在假阳性率</w:t>
      </w:r>
      <w:r>
        <w:rPr>
          <w:rFonts w:eastAsia="黑体"/>
          <w:sz w:val="21"/>
          <w:szCs w:val="21"/>
        </w:rPr>
        <w:t xml:space="preserve"> ≤10% </w:t>
      </w:r>
      <w:r>
        <w:rPr>
          <w:rFonts w:eastAsia="黑体"/>
          <w:sz w:val="21"/>
          <w:szCs w:val="21"/>
        </w:rPr>
        <w:t>区间的平均</w:t>
      </w:r>
      <w:r>
        <w:rPr>
          <w:rFonts w:eastAsia="黑体"/>
          <w:sz w:val="21"/>
          <w:szCs w:val="21"/>
        </w:rPr>
        <w:t xml:space="preserve"> ROC </w:t>
      </w:r>
      <w:r>
        <w:rPr>
          <w:rFonts w:eastAsia="黑体"/>
          <w:sz w:val="21"/>
          <w:szCs w:val="21"/>
        </w:rPr>
        <w:t>曲线；</w:t>
      </w:r>
      <w:r>
        <w:rPr>
          <w:rFonts w:eastAsia="黑体"/>
          <w:sz w:val="21"/>
          <w:szCs w:val="21"/>
        </w:rPr>
        <w:t xml:space="preserve">(b) </w:t>
      </w:r>
      <w:r>
        <w:rPr>
          <w:rFonts w:eastAsia="黑体"/>
          <w:sz w:val="21"/>
          <w:szCs w:val="21"/>
        </w:rPr>
        <w:t>假阳性率</w:t>
      </w:r>
      <w:r>
        <w:rPr>
          <w:rFonts w:eastAsia="黑体"/>
          <w:sz w:val="21"/>
          <w:szCs w:val="21"/>
        </w:rPr>
        <w:t xml:space="preserve"> 6.9% </w:t>
      </w:r>
      <w:r>
        <w:rPr>
          <w:rFonts w:eastAsia="黑体"/>
          <w:sz w:val="21"/>
          <w:szCs w:val="21"/>
        </w:rPr>
        <w:t>处的召回率对比</w:t>
      </w:r>
    </w:p>
    <w:p w14:paraId="3B5E1B89" w14:textId="77777777" w:rsidR="00E30FFE" w:rsidRDefault="002B33A7">
      <w:pPr>
        <w:keepLines/>
        <w:spacing w:after="60"/>
        <w:jc w:val="center"/>
      </w:pPr>
      <w:r>
        <w:rPr>
          <w:color w:val="333333"/>
          <w:sz w:val="21"/>
          <w:szCs w:val="21"/>
        </w:rPr>
        <w:t xml:space="preserve">Fig. </w:t>
      </w:r>
      <w:r>
        <w:rPr>
          <w:b/>
          <w:bCs/>
          <w:color w:val="333333"/>
          <w:sz w:val="21"/>
          <w:szCs w:val="21"/>
        </w:rPr>
        <w:t>5.5</w:t>
      </w:r>
      <w:r>
        <w:rPr>
          <w:color w:val="333333"/>
          <w:sz w:val="21"/>
          <w:szCs w:val="21"/>
        </w:rPr>
        <w:t xml:space="preserve">  Head-of-ranking diagnosis: (a) mean ROC curves; (b) recall at FPR = 6.9%</w:t>
      </w:r>
    </w:p>
    <w:p w14:paraId="245337E1" w14:textId="77777777" w:rsidR="00E30FFE" w:rsidRDefault="002B33A7">
      <w:pPr>
        <w:pStyle w:val="2"/>
        <w:keepNext/>
      </w:pPr>
      <w:bookmarkStart w:id="26" w:name="_Toc241140375"/>
      <w:r>
        <w:t>5.8</w:t>
      </w:r>
      <w:r>
        <w:t xml:space="preserve">　设计法则：独立增益不必然传导为融合增益</w:t>
      </w:r>
      <w:bookmarkEnd w:id="26"/>
    </w:p>
    <w:p w14:paraId="279375CD" w14:textId="77777777" w:rsidR="00E30FFE" w:rsidRDefault="002B33A7">
      <w:pPr>
        <w:ind w:firstLine="480"/>
        <w:jc w:val="both"/>
      </w:pPr>
      <w:r>
        <w:t>在搭建上述系统的过程中，我们反复观察到同一现象：单独训练时更强的分支，接入融合后反而拖累整体。为排除巧合，我们设计了四组受控实验，如图</w:t>
      </w:r>
      <w:r>
        <w:t xml:space="preserve"> 5.6 </w:t>
      </w:r>
      <w:r>
        <w:t>所示。特征扩容把语言模型分支的输入从</w:t>
      </w:r>
      <w:r>
        <w:t xml:space="preserve"> 1664 </w:t>
      </w:r>
      <w:r>
        <w:t>维扩到</w:t>
      </w:r>
      <w:r>
        <w:t xml:space="preserve"> 2176 </w:t>
      </w:r>
      <w:r>
        <w:t>维，独立</w:t>
      </w:r>
      <w:r>
        <w:t xml:space="preserve"> F1 </w:t>
      </w:r>
      <w:r>
        <w:t>上升</w:t>
      </w:r>
      <w:r>
        <w:t xml:space="preserve"> 0.0277</w:t>
      </w:r>
      <w:r>
        <w:t>，融合分下降</w:t>
      </w:r>
      <w:r>
        <w:t xml:space="preserve"> 0.0009</w:t>
      </w:r>
      <w:r>
        <w:t>；倾向加权按标签频率的倒数上调稀有标签的正例权重，随权重强度增加，独立</w:t>
      </w:r>
      <w:r>
        <w:t xml:space="preserve"> F1 </w:t>
      </w:r>
      <w:r>
        <w:t>单调上升</w:t>
      </w:r>
      <w:r>
        <w:t xml:space="preserve"> 0.0136</w:t>
      </w:r>
      <w:r>
        <w:t>，融合分单调下降</w:t>
      </w:r>
      <w:r>
        <w:t xml:space="preserve"> 0.0014</w:t>
      </w:r>
      <w:r>
        <w:t>；单轮自训练让分支独立</w:t>
      </w:r>
      <w:r>
        <w:t xml:space="preserve"> F1 </w:t>
      </w:r>
      <w:r>
        <w:t>上升</w:t>
      </w:r>
      <w:r>
        <w:t xml:space="preserve"> 0.0054</w:t>
      </w:r>
      <w:r>
        <w:t>，融合分下降</w:t>
      </w:r>
      <w:r>
        <w:t xml:space="preserve"> 0.0003</w:t>
      </w:r>
      <w:r>
        <w:t>；分支分数标定则给出一个不变量：无论采用原始分、</w:t>
      </w:r>
      <w:r>
        <w:t xml:space="preserve">min-max </w:t>
      </w:r>
      <w:r>
        <w:t>还是秩融合注入，倾向加权的融合代价恒为</w:t>
      </w:r>
      <w:r>
        <w:t xml:space="preserve"> 0.0007</w:t>
      </w:r>
      <w:r>
        <w:t>，排除了尺度失配解释。</w:t>
      </w:r>
    </w:p>
    <w:p w14:paraId="5F1B02C0" w14:textId="77777777" w:rsidR="00E30FFE" w:rsidRDefault="002B33A7">
      <w:pPr>
        <w:keepNext/>
        <w:spacing w:before="180" w:after="100" w:line="240" w:lineRule="auto"/>
        <w:jc w:val="center"/>
      </w:pPr>
      <w:r>
        <w:rPr>
          <w:noProof/>
        </w:rPr>
        <w:drawing>
          <wp:inline distT="0" distB="0" distL="0" distR="0" wp14:anchorId="51B1AFA4" wp14:editId="28AC189F">
            <wp:extent cx="3238500" cy="2876550"/>
            <wp:effectExtent l="0" t="0" r="0" b="0"/>
            <wp:docPr id="678543136" name="图片 67854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2876550"/>
                    </a:xfrm>
                    <a:prstGeom prst="rect">
                      <a:avLst/>
                    </a:prstGeom>
                  </pic:spPr>
                </pic:pic>
              </a:graphicData>
            </a:graphic>
          </wp:inline>
        </w:drawing>
      </w:r>
    </w:p>
    <w:p w14:paraId="2A457251" w14:textId="77777777" w:rsidR="00E30FFE" w:rsidRDefault="002B33A7">
      <w:pPr>
        <w:keepNext/>
        <w:keepLines/>
        <w:spacing w:before="100" w:after="20"/>
        <w:jc w:val="center"/>
      </w:pPr>
      <w:r>
        <w:rPr>
          <w:rFonts w:eastAsia="黑体"/>
          <w:sz w:val="21"/>
          <w:szCs w:val="21"/>
        </w:rPr>
        <w:t>图</w:t>
      </w:r>
      <w:r>
        <w:rPr>
          <w:b/>
          <w:bCs/>
          <w:sz w:val="21"/>
          <w:szCs w:val="21"/>
        </w:rPr>
        <w:t>5.6</w:t>
      </w:r>
      <w:r>
        <w:rPr>
          <w:rFonts w:eastAsia="黑体"/>
          <w:sz w:val="21"/>
          <w:szCs w:val="21"/>
        </w:rPr>
        <w:t xml:space="preserve">　独立增益与融合增益的关系：受控实验散点（橙虚线为倾向加权的单调扫描路径；标定不变量见正文）</w:t>
      </w:r>
    </w:p>
    <w:p w14:paraId="453F5CDA" w14:textId="77777777" w:rsidR="00E30FFE" w:rsidRDefault="002B33A7">
      <w:pPr>
        <w:keepLines/>
        <w:spacing w:after="60"/>
        <w:jc w:val="center"/>
      </w:pPr>
      <w:r>
        <w:rPr>
          <w:color w:val="333333"/>
          <w:sz w:val="21"/>
          <w:szCs w:val="21"/>
        </w:rPr>
        <w:t xml:space="preserve">Fig. </w:t>
      </w:r>
      <w:r>
        <w:rPr>
          <w:b/>
          <w:bCs/>
          <w:color w:val="333333"/>
          <w:sz w:val="21"/>
          <w:szCs w:val="21"/>
        </w:rPr>
        <w:t>5.6</w:t>
      </w:r>
      <w:r>
        <w:rPr>
          <w:color w:val="333333"/>
          <w:sz w:val="21"/>
          <w:szCs w:val="21"/>
        </w:rPr>
        <w:t xml:space="preserve">  Standalone gain versus fused gain across controlled experiments</w:t>
      </w:r>
    </w:p>
    <w:p w14:paraId="2AD9DF5A" w14:textId="77777777" w:rsidR="00E30FFE" w:rsidRDefault="002B33A7">
      <w:pPr>
        <w:ind w:firstLine="480"/>
        <w:jc w:val="both"/>
      </w:pPr>
      <w:r>
        <w:t>这一法则与集成理论的警告一致：多数常用多样性度量与集成精度之间仅有微弱相关</w:t>
      </w:r>
      <w:r>
        <w:rPr>
          <w:sz w:val="21"/>
          <w:szCs w:val="21"/>
          <w:vertAlign w:val="superscript"/>
        </w:rPr>
        <w:t>[35]</w:t>
      </w:r>
      <w:r>
        <w:t>，多样性只有在与集成误差结构不相关时才产生收益</w:t>
      </w:r>
      <w:r>
        <w:rPr>
          <w:sz w:val="21"/>
          <w:szCs w:val="21"/>
          <w:vertAlign w:val="superscript"/>
        </w:rPr>
        <w:t>[36]</w:t>
      </w:r>
      <w:r>
        <w:t>。它的工程含义是，筛选候选分支的唯一可靠程序是直接度量融合后的宏</w:t>
      </w:r>
      <w:r>
        <w:t xml:space="preserve"> F1</w:t>
      </w:r>
      <w:r>
        <w:t>，独立指标只能用于诊断。</w:t>
      </w:r>
    </w:p>
    <w:p w14:paraId="035A5677" w14:textId="77777777" w:rsidR="00E30FFE" w:rsidRDefault="002B33A7">
      <w:pPr>
        <w:pStyle w:val="2"/>
        <w:keepNext/>
      </w:pPr>
      <w:bookmarkStart w:id="27" w:name="_Toc241140376"/>
      <w:r>
        <w:t>5.9</w:t>
      </w:r>
      <w:r>
        <w:t xml:space="preserve">　系统级算子消融与策略全景</w:t>
      </w:r>
      <w:bookmarkEnd w:id="27"/>
    </w:p>
    <w:p w14:paraId="3BB3D3BF" w14:textId="77777777" w:rsidR="00E30FFE" w:rsidRDefault="002B33A7">
      <w:pPr>
        <w:ind w:firstLine="480"/>
        <w:jc w:val="both"/>
      </w:pPr>
      <w:r>
        <w:t>图</w:t>
      </w:r>
      <w:r>
        <w:t xml:space="preserve"> 5.7a </w:t>
      </w:r>
      <w:r>
        <w:t>对融合算子做受试者间消融：去除</w:t>
      </w:r>
      <w:r>
        <w:t xml:space="preserve"> RRF </w:t>
      </w:r>
      <w:r>
        <w:t>损失</w:t>
      </w:r>
      <w:r>
        <w:t xml:space="preserve"> 0.0052</w:t>
      </w:r>
      <w:r>
        <w:t>，去除</w:t>
      </w:r>
      <w:r>
        <w:t xml:space="preserve"> Sinkhorn </w:t>
      </w:r>
      <w:r>
        <w:t>损失</w:t>
      </w:r>
      <w:r>
        <w:t xml:space="preserve"> 0.0008</w:t>
      </w:r>
      <w:r>
        <w:t>，二者均在贡献；来自近期竞赛复盘的「等权算术平均」经验</w:t>
      </w:r>
      <w:r>
        <w:rPr>
          <w:sz w:val="21"/>
          <w:szCs w:val="21"/>
          <w:vertAlign w:val="superscript"/>
        </w:rPr>
        <w:t>[42]</w:t>
      </w:r>
      <w:r>
        <w:t xml:space="preserve"> </w:t>
      </w:r>
      <w:r>
        <w:t>在本任务不成立（</w:t>
      </w:r>
      <w:r>
        <w:t>−</w:t>
      </w:r>
      <w:r>
        <w:t>0.0068</w:t>
      </w:r>
      <w:r>
        <w:t>），逐格</w:t>
      </w:r>
      <w:r>
        <w:t xml:space="preserve"> max </w:t>
      </w:r>
      <w:r>
        <w:t>组合的损失更大（</w:t>
      </w:r>
      <w:r>
        <w:t>−</w:t>
      </w:r>
      <w:r>
        <w:t>0.0411</w:t>
      </w:r>
      <w:r>
        <w:t>）。图</w:t>
      </w:r>
      <w:r>
        <w:t xml:space="preserve"> 5.7b </w:t>
      </w:r>
      <w:r>
        <w:t>对同源聚合算子做同样检验：</w:t>
      </w:r>
      <w:r>
        <w:t xml:space="preserve">CAFA5 </w:t>
      </w:r>
      <w:r>
        <w:t>官方基线采用的逐标签最大序列同一性算子</w:t>
      </w:r>
      <w:r>
        <w:rPr>
          <w:sz w:val="21"/>
          <w:szCs w:val="21"/>
          <w:vertAlign w:val="superscript"/>
        </w:rPr>
        <w:t>[42]</w:t>
      </w:r>
      <w:r>
        <w:t xml:space="preserve"> </w:t>
      </w:r>
      <w:r>
        <w:t>在本任务损失</w:t>
      </w:r>
      <w:r>
        <w:t xml:space="preserve"> 0.0073</w:t>
      </w:r>
      <w:r>
        <w:t>，近重复命中去重投票损失</w:t>
      </w:r>
      <w:r>
        <w:t xml:space="preserve"> 0.0006</w:t>
      </w:r>
      <w:r>
        <w:t>；现行</w:t>
      </w:r>
      <w:r>
        <w:t xml:space="preserve"> bitscore </w:t>
      </w:r>
      <w:r>
        <w:t>加权</w:t>
      </w:r>
      <w:r>
        <w:t xml:space="preserve"> top-3 </w:t>
      </w:r>
      <w:r>
        <w:t>聚合抵抗住了全部替代方案。</w:t>
      </w:r>
    </w:p>
    <w:p w14:paraId="7CCF08EB" w14:textId="77777777" w:rsidR="00E30FFE" w:rsidRDefault="002B33A7">
      <w:pPr>
        <w:keepNext/>
        <w:spacing w:before="180" w:after="100" w:line="240" w:lineRule="auto"/>
        <w:jc w:val="center"/>
      </w:pPr>
      <w:r>
        <w:rPr>
          <w:noProof/>
        </w:rPr>
        <w:drawing>
          <wp:inline distT="0" distB="0" distL="0" distR="0" wp14:anchorId="6D3950C5" wp14:editId="4ADC7A92">
            <wp:extent cx="5143500" cy="1876425"/>
            <wp:effectExtent l="0" t="0" r="0" b="0"/>
            <wp:docPr id="1840918639" name="图片 184091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1876425"/>
                    </a:xfrm>
                    <a:prstGeom prst="rect">
                      <a:avLst/>
                    </a:prstGeom>
                  </pic:spPr>
                </pic:pic>
              </a:graphicData>
            </a:graphic>
          </wp:inline>
        </w:drawing>
      </w:r>
    </w:p>
    <w:p w14:paraId="2D962AF7" w14:textId="77777777" w:rsidR="00E30FFE" w:rsidRDefault="002B33A7">
      <w:pPr>
        <w:keepNext/>
        <w:keepLines/>
        <w:spacing w:before="100" w:after="20"/>
        <w:jc w:val="center"/>
      </w:pPr>
      <w:r>
        <w:rPr>
          <w:rFonts w:eastAsia="黑体"/>
          <w:sz w:val="21"/>
          <w:szCs w:val="21"/>
        </w:rPr>
        <w:t>图</w:t>
      </w:r>
      <w:r>
        <w:rPr>
          <w:b/>
          <w:bCs/>
          <w:sz w:val="21"/>
          <w:szCs w:val="21"/>
        </w:rPr>
        <w:t>5.7</w:t>
      </w:r>
      <w:r>
        <w:rPr>
          <w:rFonts w:eastAsia="黑体"/>
          <w:sz w:val="21"/>
          <w:szCs w:val="21"/>
        </w:rPr>
        <w:t xml:space="preserve">　系统级算子消融：</w:t>
      </w:r>
      <w:r>
        <w:rPr>
          <w:rFonts w:eastAsia="黑体"/>
          <w:sz w:val="21"/>
          <w:szCs w:val="21"/>
        </w:rPr>
        <w:t xml:space="preserve">(a) </w:t>
      </w:r>
      <w:r>
        <w:rPr>
          <w:rFonts w:eastAsia="黑体"/>
          <w:sz w:val="21"/>
          <w:szCs w:val="21"/>
        </w:rPr>
        <w:t>融合算子；</w:t>
      </w:r>
      <w:r>
        <w:rPr>
          <w:rFonts w:eastAsia="黑体"/>
          <w:sz w:val="21"/>
          <w:szCs w:val="21"/>
        </w:rPr>
        <w:t xml:space="preserve">(b) </w:t>
      </w:r>
      <w:r>
        <w:rPr>
          <w:rFonts w:eastAsia="黑体"/>
          <w:sz w:val="21"/>
          <w:szCs w:val="21"/>
        </w:rPr>
        <w:t>同源聚合算子（虚线为现行配置</w:t>
      </w:r>
      <w:r>
        <w:rPr>
          <w:rFonts w:eastAsia="黑体"/>
          <w:sz w:val="21"/>
          <w:szCs w:val="21"/>
        </w:rPr>
        <w:t xml:space="preserve"> 0.4475</w:t>
      </w:r>
      <w:r>
        <w:rPr>
          <w:rFonts w:eastAsia="黑体"/>
          <w:sz w:val="21"/>
          <w:szCs w:val="21"/>
        </w:rPr>
        <w:t>）</w:t>
      </w:r>
    </w:p>
    <w:p w14:paraId="74FB087D" w14:textId="77777777" w:rsidR="00E30FFE" w:rsidRDefault="002B33A7">
      <w:pPr>
        <w:keepLines/>
        <w:spacing w:after="60"/>
        <w:jc w:val="center"/>
      </w:pPr>
      <w:r>
        <w:rPr>
          <w:color w:val="333333"/>
          <w:sz w:val="21"/>
          <w:szCs w:val="21"/>
        </w:rPr>
        <w:t xml:space="preserve">Fig. </w:t>
      </w:r>
      <w:r>
        <w:rPr>
          <w:b/>
          <w:bCs/>
          <w:color w:val="333333"/>
          <w:sz w:val="21"/>
          <w:szCs w:val="21"/>
        </w:rPr>
        <w:t>5.7</w:t>
      </w:r>
      <w:r>
        <w:rPr>
          <w:color w:val="333333"/>
          <w:sz w:val="21"/>
          <w:szCs w:val="21"/>
        </w:rPr>
        <w:t xml:space="preserve">  Operator ablation: (a) fusion operators; (b) homology aggregation operators</w:t>
      </w:r>
    </w:p>
    <w:p w14:paraId="5D819D8B" w14:textId="77777777" w:rsidR="00E30FFE" w:rsidRDefault="002B33A7">
      <w:pPr>
        <w:ind w:firstLine="480"/>
        <w:jc w:val="both"/>
      </w:pPr>
      <w:r>
        <w:t>图</w:t>
      </w:r>
      <w:r>
        <w:t xml:space="preserve"> 5.8 </w:t>
      </w:r>
      <w:r>
        <w:t>按训练频次四分位将</w:t>
      </w:r>
      <w:r>
        <w:t xml:space="preserve"> 500 </w:t>
      </w:r>
      <w:r>
        <w:t>个标签分为四带，考察各分支的分带平均精确率。同源分支在全部四个频带都是最强单支，包括尾带（</w:t>
      </w:r>
      <w:r>
        <w:t>AP 0.331</w:t>
      </w:r>
      <w:r>
        <w:t>）。这否定了「按频带分工互补」的直觉：融合增益并非来自频带上的专长划分，而来自同频带内的误差结构差异。</w:t>
      </w:r>
    </w:p>
    <w:p w14:paraId="5085BA55" w14:textId="77777777" w:rsidR="00E30FFE" w:rsidRDefault="002B33A7">
      <w:pPr>
        <w:keepNext/>
        <w:spacing w:before="180" w:after="100" w:line="240" w:lineRule="auto"/>
        <w:jc w:val="center"/>
      </w:pPr>
      <w:r>
        <w:rPr>
          <w:noProof/>
        </w:rPr>
        <w:drawing>
          <wp:inline distT="0" distB="0" distL="0" distR="0" wp14:anchorId="07570730" wp14:editId="30BB6F3D">
            <wp:extent cx="3619500" cy="2657475"/>
            <wp:effectExtent l="0" t="0" r="0" b="0"/>
            <wp:docPr id="679127121" name="图片 679127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657475"/>
                    </a:xfrm>
                    <a:prstGeom prst="rect">
                      <a:avLst/>
                    </a:prstGeom>
                  </pic:spPr>
                </pic:pic>
              </a:graphicData>
            </a:graphic>
          </wp:inline>
        </w:drawing>
      </w:r>
    </w:p>
    <w:p w14:paraId="354A2ABE" w14:textId="77777777" w:rsidR="00E30FFE" w:rsidRDefault="002B33A7">
      <w:pPr>
        <w:keepNext/>
        <w:keepLines/>
        <w:spacing w:before="100" w:after="20"/>
        <w:jc w:val="center"/>
      </w:pPr>
      <w:r>
        <w:rPr>
          <w:rFonts w:eastAsia="黑体"/>
          <w:sz w:val="21"/>
          <w:szCs w:val="21"/>
        </w:rPr>
        <w:t>图</w:t>
      </w:r>
      <w:r>
        <w:rPr>
          <w:b/>
          <w:bCs/>
          <w:sz w:val="21"/>
          <w:szCs w:val="21"/>
        </w:rPr>
        <w:t>5.8</w:t>
      </w:r>
      <w:r>
        <w:rPr>
          <w:rFonts w:eastAsia="黑体"/>
          <w:sz w:val="21"/>
          <w:szCs w:val="21"/>
        </w:rPr>
        <w:t xml:space="preserve">　各分支在标签训练频次四分位带上的平均精确率（</w:t>
      </w:r>
      <w:r>
        <w:rPr>
          <w:rFonts w:eastAsia="黑体"/>
          <w:sz w:val="21"/>
          <w:szCs w:val="21"/>
        </w:rPr>
        <w:t>AP</w:t>
      </w:r>
      <w:r>
        <w:rPr>
          <w:rFonts w:eastAsia="黑体"/>
          <w:sz w:val="21"/>
          <w:szCs w:val="21"/>
        </w:rPr>
        <w:t>），加粗为该行最优</w:t>
      </w:r>
    </w:p>
    <w:p w14:paraId="79568905" w14:textId="77777777" w:rsidR="00E30FFE" w:rsidRDefault="002B33A7">
      <w:pPr>
        <w:keepLines/>
        <w:spacing w:after="60"/>
        <w:jc w:val="center"/>
      </w:pPr>
      <w:r>
        <w:rPr>
          <w:color w:val="333333"/>
          <w:sz w:val="21"/>
          <w:szCs w:val="21"/>
        </w:rPr>
        <w:t xml:space="preserve">Fig. </w:t>
      </w:r>
      <w:r>
        <w:rPr>
          <w:b/>
          <w:bCs/>
          <w:color w:val="333333"/>
          <w:sz w:val="21"/>
          <w:szCs w:val="21"/>
        </w:rPr>
        <w:t>5.8</w:t>
      </w:r>
      <w:r>
        <w:rPr>
          <w:color w:val="333333"/>
          <w:sz w:val="21"/>
          <w:szCs w:val="21"/>
        </w:rPr>
        <w:t xml:space="preserve">  Branch AP by label-frequency quartile</w:t>
      </w:r>
    </w:p>
    <w:p w14:paraId="07D38865" w14:textId="77777777" w:rsidR="00E30FFE" w:rsidRDefault="002B33A7">
      <w:pPr>
        <w:ind w:firstLine="480"/>
        <w:jc w:val="both"/>
      </w:pPr>
      <w:r>
        <w:t>最后检验利用无标注测试序列的自训练路线。遵循文献护栏</w:t>
      </w:r>
      <w:r>
        <w:rPr>
          <w:sz w:val="21"/>
          <w:szCs w:val="21"/>
          <w:vertAlign w:val="superscript"/>
        </w:rPr>
        <w:t>[37,38,39,40]</w:t>
      </w:r>
      <w:r>
        <w:t>，采用单轮、仅正例伪标签（按流行率分位截断）、负例侧不施加监督的设计，从头重训语言模型分支。图</w:t>
      </w:r>
      <w:r>
        <w:t xml:space="preserve"> 5.9 </w:t>
      </w:r>
      <w:r>
        <w:t>显示其独立宏</w:t>
      </w:r>
      <w:r>
        <w:t xml:space="preserve"> F1 </w:t>
      </w:r>
      <w:r>
        <w:t>从</w:t>
      </w:r>
      <w:r>
        <w:t xml:space="preserve"> 0.2626 </w:t>
      </w:r>
      <w:r>
        <w:t>升至</w:t>
      </w:r>
      <w:r>
        <w:t xml:space="preserve"> 0.2681</w:t>
      </w:r>
      <w:r>
        <w:t>（伪标签精度</w:t>
      </w:r>
      <w:r>
        <w:t xml:space="preserve"> 32.9%</w:t>
      </w:r>
      <w:r>
        <w:t>，为平均流行率的</w:t>
      </w:r>
      <w:r>
        <w:t xml:space="preserve"> 6.5 </w:t>
      </w:r>
      <w:r>
        <w:t>倍；若伪标签为真值，上限可达</w:t>
      </w:r>
      <w:r>
        <w:t xml:space="preserve"> 0.3613</w:t>
      </w:r>
      <w:r>
        <w:t>），但接入融合后反而下降</w:t>
      </w:r>
      <w:r>
        <w:t xml:space="preserve"> 0.0003</w:t>
      </w:r>
      <w:r>
        <w:t>。基于嵌入图的转导式标签传播</w:t>
      </w:r>
      <w:r>
        <w:rPr>
          <w:sz w:val="21"/>
          <w:szCs w:val="21"/>
          <w:vertAlign w:val="superscript"/>
        </w:rPr>
        <w:t>[44]</w:t>
      </w:r>
      <w:r>
        <w:t xml:space="preserve"> </w:t>
      </w:r>
      <w:r>
        <w:t>亦因近邻余弦过高（均值</w:t>
      </w:r>
      <w:r>
        <w:t xml:space="preserve"> 0.99</w:t>
      </w:r>
      <w:r>
        <w:t>）而远弱于比对同源。表</w:t>
      </w:r>
      <w:r>
        <w:t xml:space="preserve"> 5.3 </w:t>
      </w:r>
      <w:r>
        <w:t>汇总了全部</w:t>
      </w:r>
      <w:r>
        <w:t xml:space="preserve"> 12 </w:t>
      </w:r>
      <w:r>
        <w:t>条已实测关闭的策略轴，作为后续工作的边界地图。</w:t>
      </w:r>
    </w:p>
    <w:p w14:paraId="59243CAB" w14:textId="77777777" w:rsidR="00E30FFE" w:rsidRDefault="002B33A7">
      <w:pPr>
        <w:keepNext/>
        <w:spacing w:before="180" w:after="100" w:line="240" w:lineRule="auto"/>
        <w:jc w:val="center"/>
      </w:pPr>
      <w:r>
        <w:rPr>
          <w:noProof/>
        </w:rPr>
        <w:drawing>
          <wp:inline distT="0" distB="0" distL="0" distR="0" wp14:anchorId="21A756D9" wp14:editId="2BBB7496">
            <wp:extent cx="3619500" cy="2743200"/>
            <wp:effectExtent l="0" t="0" r="0" b="0"/>
            <wp:docPr id="1586702582" name="图片 158670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743200"/>
                    </a:xfrm>
                    <a:prstGeom prst="rect">
                      <a:avLst/>
                    </a:prstGeom>
                  </pic:spPr>
                </pic:pic>
              </a:graphicData>
            </a:graphic>
          </wp:inline>
        </w:drawing>
      </w:r>
    </w:p>
    <w:p w14:paraId="5E384BE1" w14:textId="77777777" w:rsidR="00E30FFE" w:rsidRDefault="002B33A7">
      <w:pPr>
        <w:keepNext/>
        <w:keepLines/>
        <w:spacing w:before="100" w:after="20"/>
        <w:jc w:val="center"/>
      </w:pPr>
      <w:r>
        <w:rPr>
          <w:rFonts w:eastAsia="黑体"/>
          <w:sz w:val="21"/>
          <w:szCs w:val="21"/>
        </w:rPr>
        <w:t>图</w:t>
      </w:r>
      <w:r>
        <w:rPr>
          <w:b/>
          <w:bCs/>
          <w:sz w:val="21"/>
          <w:szCs w:val="21"/>
        </w:rPr>
        <w:t>5.9</w:t>
      </w:r>
      <w:r>
        <w:rPr>
          <w:rFonts w:eastAsia="黑体"/>
          <w:sz w:val="21"/>
          <w:szCs w:val="21"/>
        </w:rPr>
        <w:t xml:space="preserve">　单轮护栏自训练各变体的独立宏</w:t>
      </w:r>
      <w:r>
        <w:rPr>
          <w:rFonts w:eastAsia="黑体"/>
          <w:sz w:val="21"/>
          <w:szCs w:val="21"/>
        </w:rPr>
        <w:t xml:space="preserve"> F1</w:t>
      </w:r>
      <w:r>
        <w:rPr>
          <w:rFonts w:eastAsia="黑体"/>
          <w:sz w:val="21"/>
          <w:szCs w:val="21"/>
        </w:rPr>
        <w:t>（虚线为伪标签完美时的真值上限）</w:t>
      </w:r>
    </w:p>
    <w:p w14:paraId="30C3D5D3" w14:textId="77777777" w:rsidR="00E30FFE" w:rsidRDefault="002B33A7">
      <w:pPr>
        <w:keepLines/>
        <w:spacing w:after="60"/>
        <w:jc w:val="center"/>
      </w:pPr>
      <w:r>
        <w:rPr>
          <w:color w:val="333333"/>
          <w:sz w:val="21"/>
          <w:szCs w:val="21"/>
        </w:rPr>
        <w:t xml:space="preserve">Fig. </w:t>
      </w:r>
      <w:r>
        <w:rPr>
          <w:b/>
          <w:bCs/>
          <w:color w:val="333333"/>
          <w:sz w:val="21"/>
          <w:szCs w:val="21"/>
        </w:rPr>
        <w:t>5.9</w:t>
      </w:r>
      <w:r>
        <w:rPr>
          <w:color w:val="333333"/>
          <w:sz w:val="21"/>
          <w:szCs w:val="21"/>
        </w:rPr>
        <w:t xml:space="preserve">  Guarded single-round self-training variants</w:t>
      </w:r>
    </w:p>
    <w:p w14:paraId="63EEC662" w14:textId="77777777" w:rsidR="00E30FFE" w:rsidRDefault="002B33A7">
      <w:pPr>
        <w:keepNext/>
        <w:spacing w:before="120" w:after="20"/>
        <w:jc w:val="center"/>
      </w:pPr>
      <w:r>
        <w:rPr>
          <w:rFonts w:eastAsia="黑体"/>
          <w:sz w:val="21"/>
          <w:szCs w:val="21"/>
        </w:rPr>
        <w:t>表</w:t>
      </w:r>
      <w:r>
        <w:rPr>
          <w:b/>
          <w:bCs/>
          <w:sz w:val="21"/>
          <w:szCs w:val="21"/>
        </w:rPr>
        <w:t>5.3</w:t>
      </w:r>
      <w:r>
        <w:rPr>
          <w:rFonts w:eastAsia="黑体"/>
          <w:sz w:val="21"/>
          <w:szCs w:val="21"/>
        </w:rPr>
        <w:t xml:space="preserve">　已实测关闭的策略轴全景（判据均为融合宏</w:t>
      </w:r>
      <w:r>
        <w:rPr>
          <w:rFonts w:eastAsia="黑体"/>
          <w:sz w:val="21"/>
          <w:szCs w:val="21"/>
        </w:rPr>
        <w:t xml:space="preserve"> F1</w:t>
      </w:r>
      <w:r>
        <w:rPr>
          <w:rFonts w:eastAsia="黑体"/>
          <w:sz w:val="21"/>
          <w:szCs w:val="21"/>
        </w:rPr>
        <w:t>）</w:t>
      </w:r>
    </w:p>
    <w:p w14:paraId="5A3D896C" w14:textId="77777777" w:rsidR="00E30FFE" w:rsidRDefault="002B33A7">
      <w:pPr>
        <w:keepNext/>
        <w:keepLines/>
        <w:spacing w:after="60"/>
        <w:jc w:val="center"/>
      </w:pPr>
      <w:r>
        <w:rPr>
          <w:color w:val="333333"/>
          <w:sz w:val="21"/>
          <w:szCs w:val="21"/>
        </w:rPr>
        <w:t xml:space="preserve">Tab. </w:t>
      </w:r>
      <w:r>
        <w:rPr>
          <w:b/>
          <w:bCs/>
          <w:color w:val="333333"/>
          <w:sz w:val="21"/>
          <w:szCs w:val="21"/>
        </w:rPr>
        <w:t>5.3</w:t>
      </w:r>
      <w:r>
        <w:rPr>
          <w:color w:val="333333"/>
          <w:sz w:val="21"/>
          <w:szCs w:val="21"/>
        </w:rPr>
        <w:t xml:space="preserve">  Closed strategy axes (judged by fused Macro-F1)</w:t>
      </w:r>
    </w:p>
    <w:tbl>
      <w:tblPr>
        <w:tblW w:w="5000" w:type="pct"/>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18"/>
        <w:gridCol w:w="5241"/>
        <w:gridCol w:w="1411"/>
      </w:tblGrid>
      <w:tr w:rsidR="00E30FFE" w14:paraId="7CFB3182" w14:textId="77777777">
        <w:tblPrEx>
          <w:tblCellMar>
            <w:top w:w="0" w:type="dxa"/>
            <w:bottom w:w="0" w:type="dxa"/>
          </w:tblCellMar>
        </w:tblPrEx>
        <w:trPr>
          <w:cantSplit/>
          <w:tblHeader/>
        </w:trPr>
        <w:tc>
          <w:tcPr>
            <w:tcW w:w="12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05CDDCB0" w14:textId="77777777" w:rsidR="00E30FFE" w:rsidRDefault="002B33A7">
            <w:pPr>
              <w:jc w:val="center"/>
            </w:pPr>
            <w:r>
              <w:rPr>
                <w:rFonts w:eastAsia="黑体"/>
                <w:b/>
                <w:bCs/>
                <w:sz w:val="21"/>
                <w:szCs w:val="21"/>
              </w:rPr>
              <w:t>策略轴</w:t>
            </w:r>
          </w:p>
        </w:tc>
        <w:tc>
          <w:tcPr>
            <w:tcW w:w="26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4598075B" w14:textId="77777777" w:rsidR="00E30FFE" w:rsidRDefault="002B33A7">
            <w:pPr>
              <w:jc w:val="center"/>
            </w:pPr>
            <w:r>
              <w:rPr>
                <w:rFonts w:eastAsia="黑体"/>
                <w:b/>
                <w:bCs/>
                <w:sz w:val="21"/>
                <w:szCs w:val="21"/>
              </w:rPr>
              <w:t>融合</w:t>
            </w:r>
            <w:r>
              <w:rPr>
                <w:rFonts w:eastAsia="黑体"/>
                <w:b/>
                <w:bCs/>
                <w:sz w:val="21"/>
                <w:szCs w:val="21"/>
              </w:rPr>
              <w:t xml:space="preserve"> F1 </w:t>
            </w:r>
            <w:r>
              <w:rPr>
                <w:rFonts w:eastAsia="黑体"/>
                <w:b/>
                <w:bCs/>
                <w:sz w:val="21"/>
                <w:szCs w:val="21"/>
              </w:rPr>
              <w:t>变化</w:t>
            </w:r>
          </w:p>
        </w:tc>
        <w:tc>
          <w:tcPr>
            <w:tcW w:w="700" w:type="pct"/>
            <w:tcBorders>
              <w:top w:val="single" w:sz="12" w:space="0" w:color="000000"/>
              <w:left w:val="none" w:sz="0" w:space="0" w:color="FFFFFF"/>
              <w:bottom w:val="single" w:sz="6" w:space="0" w:color="000000"/>
              <w:right w:val="none" w:sz="0" w:space="0" w:color="FFFFFF"/>
            </w:tcBorders>
            <w:tcMar>
              <w:top w:w="70" w:type="dxa"/>
              <w:left w:w="80" w:type="dxa"/>
              <w:bottom w:w="70" w:type="dxa"/>
              <w:right w:w="80" w:type="dxa"/>
            </w:tcMar>
            <w:vAlign w:val="center"/>
          </w:tcPr>
          <w:p w14:paraId="745F0978" w14:textId="77777777" w:rsidR="00E30FFE" w:rsidRDefault="002B33A7">
            <w:pPr>
              <w:jc w:val="center"/>
            </w:pPr>
            <w:r>
              <w:rPr>
                <w:rFonts w:eastAsia="黑体"/>
                <w:b/>
                <w:bCs/>
                <w:sz w:val="21"/>
                <w:szCs w:val="21"/>
              </w:rPr>
              <w:t>结论</w:t>
            </w:r>
          </w:p>
        </w:tc>
      </w:tr>
      <w:tr w:rsidR="00E30FFE" w14:paraId="096D6411"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A73E3D" w14:textId="77777777" w:rsidR="00E30FFE" w:rsidRDefault="002B33A7">
            <w:r>
              <w:rPr>
                <w:sz w:val="21"/>
                <w:szCs w:val="21"/>
              </w:rPr>
              <w:t>决策层基数截断</w:t>
            </w:r>
          </w:p>
        </w:tc>
        <w:tc>
          <w:tcPr>
            <w:tcW w:w="2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0B874B" w14:textId="77777777" w:rsidR="00E30FFE" w:rsidRDefault="002B33A7">
            <w:pPr>
              <w:jc w:val="center"/>
            </w:pPr>
            <w:r>
              <w:rPr>
                <w:sz w:val="21"/>
                <w:szCs w:val="21"/>
              </w:rPr>
              <w:t>理论上限</w:t>
            </w:r>
            <w:r>
              <w:rPr>
                <w:sz w:val="21"/>
                <w:szCs w:val="21"/>
              </w:rPr>
              <w:t xml:space="preserve"> +0.0851</w:t>
            </w:r>
            <w:r>
              <w:rPr>
                <w:sz w:val="21"/>
                <w:szCs w:val="21"/>
              </w:rPr>
              <w:t>，基数</w:t>
            </w:r>
            <w:r>
              <w:rPr>
                <w:sz w:val="21"/>
                <w:szCs w:val="21"/>
              </w:rPr>
              <w:t xml:space="preserve"> MAE 15.25 </w:t>
            </w:r>
            <w:r>
              <w:rPr>
                <w:sz w:val="21"/>
                <w:szCs w:val="21"/>
              </w:rPr>
              <w:t>不可实现</w:t>
            </w:r>
          </w:p>
        </w:tc>
        <w:tc>
          <w:tcPr>
            <w:tcW w:w="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7523FFB" w14:textId="77777777" w:rsidR="00E30FFE" w:rsidRDefault="002B33A7">
            <w:pPr>
              <w:jc w:val="center"/>
            </w:pPr>
            <w:r>
              <w:rPr>
                <w:sz w:val="21"/>
                <w:szCs w:val="21"/>
              </w:rPr>
              <w:t>关闭</w:t>
            </w:r>
          </w:p>
        </w:tc>
      </w:tr>
      <w:tr w:rsidR="00E30FFE" w14:paraId="1DC3F332"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A49886" w14:textId="77777777" w:rsidR="00E30FFE" w:rsidRDefault="002B33A7">
            <w:r>
              <w:rPr>
                <w:sz w:val="21"/>
                <w:szCs w:val="21"/>
              </w:rPr>
              <w:t>特征扩容</w:t>
            </w:r>
            <w:r>
              <w:rPr>
                <w:sz w:val="21"/>
                <w:szCs w:val="21"/>
              </w:rPr>
              <w:t xml:space="preserve"> (2176D)</w:t>
            </w:r>
          </w:p>
        </w:tc>
        <w:tc>
          <w:tcPr>
            <w:tcW w:w="2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97C16EE" w14:textId="77777777" w:rsidR="00E30FFE" w:rsidRDefault="002B33A7">
            <w:pPr>
              <w:jc w:val="center"/>
            </w:pPr>
            <w:r>
              <w:rPr>
                <w:sz w:val="21"/>
                <w:szCs w:val="21"/>
              </w:rPr>
              <w:t>−</w:t>
            </w:r>
            <w:r>
              <w:rPr>
                <w:sz w:val="21"/>
                <w:szCs w:val="21"/>
              </w:rPr>
              <w:t>0.0009</w:t>
            </w:r>
          </w:p>
        </w:tc>
        <w:tc>
          <w:tcPr>
            <w:tcW w:w="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88A8E4" w14:textId="77777777" w:rsidR="00E30FFE" w:rsidRDefault="002B33A7">
            <w:pPr>
              <w:jc w:val="center"/>
            </w:pPr>
            <w:r>
              <w:rPr>
                <w:sz w:val="21"/>
                <w:szCs w:val="21"/>
              </w:rPr>
              <w:t>关闭</w:t>
            </w:r>
          </w:p>
        </w:tc>
      </w:tr>
      <w:tr w:rsidR="00E30FFE" w14:paraId="73BD754E"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5579C5" w14:textId="77777777" w:rsidR="00E30FFE" w:rsidRDefault="002B33A7">
            <w:r>
              <w:rPr>
                <w:sz w:val="21"/>
                <w:szCs w:val="21"/>
              </w:rPr>
              <w:t xml:space="preserve">PU </w:t>
            </w:r>
            <w:r>
              <w:rPr>
                <w:sz w:val="21"/>
                <w:szCs w:val="21"/>
              </w:rPr>
              <w:t>倾向加权</w:t>
            </w:r>
          </w:p>
        </w:tc>
        <w:tc>
          <w:tcPr>
            <w:tcW w:w="2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2D1B4F" w14:textId="77777777" w:rsidR="00E30FFE" w:rsidRDefault="002B33A7">
            <w:pPr>
              <w:jc w:val="center"/>
            </w:pPr>
            <w:r>
              <w:rPr>
                <w:sz w:val="21"/>
                <w:szCs w:val="21"/>
              </w:rPr>
              <w:t>−</w:t>
            </w:r>
            <w:r>
              <w:rPr>
                <w:sz w:val="21"/>
                <w:szCs w:val="21"/>
              </w:rPr>
              <w:t>0.0014</w:t>
            </w:r>
            <w:r>
              <w:rPr>
                <w:sz w:val="21"/>
                <w:szCs w:val="21"/>
              </w:rPr>
              <w:t>（独立</w:t>
            </w:r>
            <w:r>
              <w:rPr>
                <w:sz w:val="21"/>
                <w:szCs w:val="21"/>
              </w:rPr>
              <w:t xml:space="preserve"> +0.0136</w:t>
            </w:r>
            <w:r>
              <w:rPr>
                <w:sz w:val="21"/>
                <w:szCs w:val="21"/>
              </w:rPr>
              <w:t>）</w:t>
            </w:r>
          </w:p>
        </w:tc>
        <w:tc>
          <w:tcPr>
            <w:tcW w:w="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7D8E01" w14:textId="77777777" w:rsidR="00E30FFE" w:rsidRDefault="002B33A7">
            <w:pPr>
              <w:jc w:val="center"/>
            </w:pPr>
            <w:r>
              <w:rPr>
                <w:sz w:val="21"/>
                <w:szCs w:val="21"/>
              </w:rPr>
              <w:t>关闭</w:t>
            </w:r>
          </w:p>
        </w:tc>
      </w:tr>
      <w:tr w:rsidR="00E30FFE" w14:paraId="367FF20E"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64A3356" w14:textId="77777777" w:rsidR="00E30FFE" w:rsidRDefault="002B33A7">
            <w:r>
              <w:rPr>
                <w:sz w:val="21"/>
                <w:szCs w:val="21"/>
              </w:rPr>
              <w:t>全局排序损失</w:t>
            </w:r>
          </w:p>
        </w:tc>
        <w:tc>
          <w:tcPr>
            <w:tcW w:w="2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A049C7" w14:textId="77777777" w:rsidR="00E30FFE" w:rsidRDefault="002B33A7">
            <w:pPr>
              <w:jc w:val="center"/>
            </w:pPr>
            <w:r>
              <w:rPr>
                <w:sz w:val="21"/>
                <w:szCs w:val="21"/>
              </w:rPr>
              <w:t>−</w:t>
            </w:r>
            <w:r>
              <w:rPr>
                <w:sz w:val="21"/>
                <w:szCs w:val="21"/>
              </w:rPr>
              <w:t>0.0212 / −0.0439</w:t>
            </w:r>
          </w:p>
        </w:tc>
        <w:tc>
          <w:tcPr>
            <w:tcW w:w="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3B2179" w14:textId="77777777" w:rsidR="00E30FFE" w:rsidRDefault="002B33A7">
            <w:pPr>
              <w:jc w:val="center"/>
            </w:pPr>
            <w:r>
              <w:rPr>
                <w:sz w:val="21"/>
                <w:szCs w:val="21"/>
              </w:rPr>
              <w:t>关闭</w:t>
            </w:r>
          </w:p>
        </w:tc>
      </w:tr>
      <w:tr w:rsidR="00E30FFE" w14:paraId="66DCCA2F"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75C76B" w14:textId="77777777" w:rsidR="00E30FFE" w:rsidRDefault="002B33A7">
            <w:r>
              <w:rPr>
                <w:sz w:val="21"/>
                <w:szCs w:val="21"/>
              </w:rPr>
              <w:t>分支分数标定</w:t>
            </w:r>
          </w:p>
        </w:tc>
        <w:tc>
          <w:tcPr>
            <w:tcW w:w="2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27046E2" w14:textId="77777777" w:rsidR="00E30FFE" w:rsidRDefault="002B33A7">
            <w:pPr>
              <w:jc w:val="center"/>
            </w:pPr>
            <w:r>
              <w:rPr>
                <w:sz w:val="21"/>
                <w:szCs w:val="21"/>
              </w:rPr>
              <w:t>−</w:t>
            </w:r>
            <w:r>
              <w:rPr>
                <w:sz w:val="21"/>
                <w:szCs w:val="21"/>
              </w:rPr>
              <w:t>0.0007</w:t>
            </w:r>
            <w:r>
              <w:rPr>
                <w:sz w:val="21"/>
                <w:szCs w:val="21"/>
              </w:rPr>
              <w:t>（各标定恒定）</w:t>
            </w:r>
          </w:p>
        </w:tc>
        <w:tc>
          <w:tcPr>
            <w:tcW w:w="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5C4556" w14:textId="77777777" w:rsidR="00E30FFE" w:rsidRDefault="002B33A7">
            <w:pPr>
              <w:jc w:val="center"/>
            </w:pPr>
            <w:r>
              <w:rPr>
                <w:sz w:val="21"/>
                <w:szCs w:val="21"/>
              </w:rPr>
              <w:t>关闭</w:t>
            </w:r>
          </w:p>
        </w:tc>
      </w:tr>
      <w:tr w:rsidR="00E30FFE" w14:paraId="5DF741A7"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455407" w14:textId="77777777" w:rsidR="00E30FFE" w:rsidRDefault="002B33A7">
            <w:r>
              <w:rPr>
                <w:sz w:val="21"/>
                <w:szCs w:val="21"/>
              </w:rPr>
              <w:t>可学习同源聚合</w:t>
            </w:r>
          </w:p>
        </w:tc>
        <w:tc>
          <w:tcPr>
            <w:tcW w:w="2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1B55A0C" w14:textId="77777777" w:rsidR="00E30FFE" w:rsidRDefault="002B33A7">
            <w:pPr>
              <w:jc w:val="center"/>
            </w:pPr>
            <w:r>
              <w:rPr>
                <w:sz w:val="21"/>
                <w:szCs w:val="21"/>
              </w:rPr>
              <w:t>−</w:t>
            </w:r>
            <w:r>
              <w:rPr>
                <w:sz w:val="21"/>
                <w:szCs w:val="21"/>
              </w:rPr>
              <w:t>0.0141</w:t>
            </w:r>
          </w:p>
        </w:tc>
        <w:tc>
          <w:tcPr>
            <w:tcW w:w="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4C5F78" w14:textId="77777777" w:rsidR="00E30FFE" w:rsidRDefault="002B33A7">
            <w:pPr>
              <w:jc w:val="center"/>
            </w:pPr>
            <w:r>
              <w:rPr>
                <w:sz w:val="21"/>
                <w:szCs w:val="21"/>
              </w:rPr>
              <w:t>关闭</w:t>
            </w:r>
          </w:p>
        </w:tc>
      </w:tr>
      <w:tr w:rsidR="00E30FFE" w14:paraId="2A3B4A17"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9E934F" w14:textId="77777777" w:rsidR="00E30FFE" w:rsidRDefault="002B33A7">
            <w:r>
              <w:rPr>
                <w:sz w:val="21"/>
                <w:szCs w:val="21"/>
              </w:rPr>
              <w:t>转导图传播</w:t>
            </w:r>
          </w:p>
        </w:tc>
        <w:tc>
          <w:tcPr>
            <w:tcW w:w="2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B863043" w14:textId="77777777" w:rsidR="00E30FFE" w:rsidRDefault="002B33A7">
            <w:pPr>
              <w:jc w:val="center"/>
            </w:pPr>
            <w:r>
              <w:rPr>
                <w:sz w:val="21"/>
                <w:szCs w:val="21"/>
              </w:rPr>
              <w:t>−</w:t>
            </w:r>
            <w:r>
              <w:rPr>
                <w:sz w:val="21"/>
                <w:szCs w:val="21"/>
              </w:rPr>
              <w:t>0.1695</w:t>
            </w:r>
            <w:r>
              <w:rPr>
                <w:sz w:val="21"/>
                <w:szCs w:val="21"/>
              </w:rPr>
              <w:t>（替换口径）</w:t>
            </w:r>
          </w:p>
        </w:tc>
        <w:tc>
          <w:tcPr>
            <w:tcW w:w="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F67034" w14:textId="77777777" w:rsidR="00E30FFE" w:rsidRDefault="002B33A7">
            <w:pPr>
              <w:jc w:val="center"/>
            </w:pPr>
            <w:r>
              <w:rPr>
                <w:sz w:val="21"/>
                <w:szCs w:val="21"/>
              </w:rPr>
              <w:t>关闭</w:t>
            </w:r>
          </w:p>
        </w:tc>
      </w:tr>
      <w:tr w:rsidR="00E30FFE" w14:paraId="4984421E"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F962DF8" w14:textId="77777777" w:rsidR="00E30FFE" w:rsidRDefault="002B33A7">
            <w:r>
              <w:rPr>
                <w:sz w:val="21"/>
                <w:szCs w:val="21"/>
              </w:rPr>
              <w:t>低</w:t>
            </w:r>
            <w:r>
              <w:rPr>
                <w:sz w:val="21"/>
                <w:szCs w:val="21"/>
              </w:rPr>
              <w:t xml:space="preserve"> FPR </w:t>
            </w:r>
            <w:r>
              <w:rPr>
                <w:sz w:val="21"/>
                <w:szCs w:val="21"/>
              </w:rPr>
              <w:t>重排头</w:t>
            </w:r>
          </w:p>
        </w:tc>
        <w:tc>
          <w:tcPr>
            <w:tcW w:w="2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6E6638" w14:textId="77777777" w:rsidR="00E30FFE" w:rsidRDefault="002B33A7">
            <w:pPr>
              <w:jc w:val="center"/>
            </w:pPr>
            <w:r>
              <w:rPr>
                <w:sz w:val="21"/>
                <w:szCs w:val="21"/>
              </w:rPr>
              <w:t>−</w:t>
            </w:r>
            <w:r>
              <w:rPr>
                <w:sz w:val="21"/>
                <w:szCs w:val="21"/>
              </w:rPr>
              <w:t>0.0047</w:t>
            </w:r>
          </w:p>
        </w:tc>
        <w:tc>
          <w:tcPr>
            <w:tcW w:w="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547E76" w14:textId="77777777" w:rsidR="00E30FFE" w:rsidRDefault="002B33A7">
            <w:pPr>
              <w:jc w:val="center"/>
            </w:pPr>
            <w:r>
              <w:rPr>
                <w:sz w:val="21"/>
                <w:szCs w:val="21"/>
              </w:rPr>
              <w:t>关闭</w:t>
            </w:r>
          </w:p>
        </w:tc>
      </w:tr>
      <w:tr w:rsidR="00E30FFE" w14:paraId="3098ED59"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E95D26" w14:textId="77777777" w:rsidR="00E30FFE" w:rsidRDefault="002B33A7">
            <w:r>
              <w:rPr>
                <w:sz w:val="21"/>
                <w:szCs w:val="21"/>
              </w:rPr>
              <w:t>单轮自训练</w:t>
            </w:r>
          </w:p>
        </w:tc>
        <w:tc>
          <w:tcPr>
            <w:tcW w:w="2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A77C5C" w14:textId="77777777" w:rsidR="00E30FFE" w:rsidRDefault="002B33A7">
            <w:pPr>
              <w:jc w:val="center"/>
            </w:pPr>
            <w:r>
              <w:rPr>
                <w:sz w:val="21"/>
                <w:szCs w:val="21"/>
              </w:rPr>
              <w:t>−</w:t>
            </w:r>
            <w:r>
              <w:rPr>
                <w:sz w:val="21"/>
                <w:szCs w:val="21"/>
              </w:rPr>
              <w:t>0.0003</w:t>
            </w:r>
            <w:r>
              <w:rPr>
                <w:sz w:val="21"/>
                <w:szCs w:val="21"/>
              </w:rPr>
              <w:t>（独立</w:t>
            </w:r>
            <w:r>
              <w:rPr>
                <w:sz w:val="21"/>
                <w:szCs w:val="21"/>
              </w:rPr>
              <w:t xml:space="preserve"> +0.0054</w:t>
            </w:r>
            <w:r>
              <w:rPr>
                <w:sz w:val="21"/>
                <w:szCs w:val="21"/>
              </w:rPr>
              <w:t>）</w:t>
            </w:r>
          </w:p>
        </w:tc>
        <w:tc>
          <w:tcPr>
            <w:tcW w:w="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5A8B25" w14:textId="77777777" w:rsidR="00E30FFE" w:rsidRDefault="002B33A7">
            <w:pPr>
              <w:jc w:val="center"/>
            </w:pPr>
            <w:r>
              <w:rPr>
                <w:sz w:val="21"/>
                <w:szCs w:val="21"/>
              </w:rPr>
              <w:t>关闭</w:t>
            </w:r>
          </w:p>
        </w:tc>
      </w:tr>
      <w:tr w:rsidR="00E30FFE" w14:paraId="600B30DE"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5D6402D" w14:textId="77777777" w:rsidR="00E30FFE" w:rsidRDefault="002B33A7">
            <w:r>
              <w:rPr>
                <w:sz w:val="21"/>
                <w:szCs w:val="21"/>
              </w:rPr>
              <w:t>等权平均融合</w:t>
            </w:r>
          </w:p>
        </w:tc>
        <w:tc>
          <w:tcPr>
            <w:tcW w:w="2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68FE2D" w14:textId="77777777" w:rsidR="00E30FFE" w:rsidRDefault="002B33A7">
            <w:pPr>
              <w:jc w:val="center"/>
            </w:pPr>
            <w:r>
              <w:rPr>
                <w:sz w:val="21"/>
                <w:szCs w:val="21"/>
              </w:rPr>
              <w:t>−</w:t>
            </w:r>
            <w:r>
              <w:rPr>
                <w:sz w:val="21"/>
                <w:szCs w:val="21"/>
              </w:rPr>
              <w:t>0.0068</w:t>
            </w:r>
          </w:p>
        </w:tc>
        <w:tc>
          <w:tcPr>
            <w:tcW w:w="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EBD9B1" w14:textId="77777777" w:rsidR="00E30FFE" w:rsidRDefault="002B33A7">
            <w:pPr>
              <w:jc w:val="center"/>
            </w:pPr>
            <w:r>
              <w:rPr>
                <w:sz w:val="21"/>
                <w:szCs w:val="21"/>
              </w:rPr>
              <w:t>关闭</w:t>
            </w:r>
          </w:p>
        </w:tc>
      </w:tr>
      <w:tr w:rsidR="00E30FFE" w14:paraId="288C390F" w14:textId="77777777">
        <w:tblPrEx>
          <w:tblCellMar>
            <w:top w:w="0" w:type="dxa"/>
            <w:bottom w:w="0" w:type="dxa"/>
          </w:tblCellMar>
        </w:tblPrEx>
        <w:trPr>
          <w:cantSplit/>
        </w:trPr>
        <w:tc>
          <w:tcPr>
            <w:tcW w:w="12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5E9F20" w14:textId="77777777" w:rsidR="00E30FFE" w:rsidRDefault="002B33A7">
            <w:r>
              <w:rPr>
                <w:sz w:val="21"/>
                <w:szCs w:val="21"/>
              </w:rPr>
              <w:t xml:space="preserve">max </w:t>
            </w:r>
            <w:r>
              <w:rPr>
                <w:sz w:val="21"/>
                <w:szCs w:val="21"/>
              </w:rPr>
              <w:t>组合</w:t>
            </w:r>
          </w:p>
        </w:tc>
        <w:tc>
          <w:tcPr>
            <w:tcW w:w="26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10B465F" w14:textId="77777777" w:rsidR="00E30FFE" w:rsidRDefault="002B33A7">
            <w:pPr>
              <w:jc w:val="center"/>
            </w:pPr>
            <w:r>
              <w:rPr>
                <w:sz w:val="21"/>
                <w:szCs w:val="21"/>
              </w:rPr>
              <w:t>−</w:t>
            </w:r>
            <w:r>
              <w:rPr>
                <w:sz w:val="21"/>
                <w:szCs w:val="21"/>
              </w:rPr>
              <w:t>0.0411</w:t>
            </w:r>
          </w:p>
        </w:tc>
        <w:tc>
          <w:tcPr>
            <w:tcW w:w="700" w:type="pct"/>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9789BF" w14:textId="77777777" w:rsidR="00E30FFE" w:rsidRDefault="002B33A7">
            <w:pPr>
              <w:jc w:val="center"/>
            </w:pPr>
            <w:r>
              <w:rPr>
                <w:sz w:val="21"/>
                <w:szCs w:val="21"/>
              </w:rPr>
              <w:t>关闭</w:t>
            </w:r>
          </w:p>
        </w:tc>
      </w:tr>
      <w:tr w:rsidR="00E30FFE" w14:paraId="32C26597" w14:textId="77777777">
        <w:tblPrEx>
          <w:tblCellMar>
            <w:top w:w="0" w:type="dxa"/>
            <w:bottom w:w="0" w:type="dxa"/>
          </w:tblCellMar>
        </w:tblPrEx>
        <w:trPr>
          <w:cantSplit/>
        </w:trPr>
        <w:tc>
          <w:tcPr>
            <w:tcW w:w="12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675B1AB" w14:textId="77777777" w:rsidR="00E30FFE" w:rsidRDefault="002B33A7">
            <w:r>
              <w:rPr>
                <w:sz w:val="21"/>
                <w:szCs w:val="21"/>
              </w:rPr>
              <w:t xml:space="preserve">max-pident </w:t>
            </w:r>
            <w:r>
              <w:rPr>
                <w:sz w:val="21"/>
                <w:szCs w:val="21"/>
              </w:rPr>
              <w:t>同源算子</w:t>
            </w:r>
          </w:p>
        </w:tc>
        <w:tc>
          <w:tcPr>
            <w:tcW w:w="26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C2DAFF6" w14:textId="77777777" w:rsidR="00E30FFE" w:rsidRDefault="002B33A7">
            <w:pPr>
              <w:jc w:val="center"/>
            </w:pPr>
            <w:r>
              <w:rPr>
                <w:sz w:val="21"/>
                <w:szCs w:val="21"/>
              </w:rPr>
              <w:t>−</w:t>
            </w:r>
            <w:r>
              <w:rPr>
                <w:sz w:val="21"/>
                <w:szCs w:val="21"/>
              </w:rPr>
              <w:t>0.0073</w:t>
            </w:r>
          </w:p>
        </w:tc>
        <w:tc>
          <w:tcPr>
            <w:tcW w:w="700" w:type="pct"/>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FC424BE" w14:textId="77777777" w:rsidR="00E30FFE" w:rsidRDefault="002B33A7">
            <w:pPr>
              <w:jc w:val="center"/>
            </w:pPr>
            <w:r>
              <w:rPr>
                <w:sz w:val="21"/>
                <w:szCs w:val="21"/>
              </w:rPr>
              <w:t>关闭</w:t>
            </w:r>
          </w:p>
        </w:tc>
      </w:tr>
    </w:tbl>
    <w:p w14:paraId="66C02027" w14:textId="77777777" w:rsidR="00E30FFE" w:rsidRDefault="002B33A7">
      <w:pPr>
        <w:spacing w:before="60" w:after="180" w:line="280" w:lineRule="auto"/>
      </w:pPr>
      <w:r>
        <w:rPr>
          <w:color w:val="444444"/>
          <w:sz w:val="19"/>
          <w:szCs w:val="19"/>
        </w:rPr>
        <w:t>注：负值表示相对当时最优配置的融合宏</w:t>
      </w:r>
      <w:r>
        <w:rPr>
          <w:color w:val="444444"/>
          <w:sz w:val="19"/>
          <w:szCs w:val="19"/>
        </w:rPr>
        <w:t xml:space="preserve"> F1 </w:t>
      </w:r>
      <w:r>
        <w:rPr>
          <w:color w:val="444444"/>
          <w:sz w:val="19"/>
          <w:szCs w:val="19"/>
        </w:rPr>
        <w:t>变化；各实验均在同一</w:t>
      </w:r>
      <w:r>
        <w:rPr>
          <w:color w:val="444444"/>
          <w:sz w:val="19"/>
          <w:szCs w:val="19"/>
        </w:rPr>
        <w:t xml:space="preserve"> 8:2 </w:t>
      </w:r>
      <w:r>
        <w:rPr>
          <w:color w:val="444444"/>
          <w:sz w:val="19"/>
          <w:szCs w:val="19"/>
        </w:rPr>
        <w:t>验证切分上以相同协议评测。</w:t>
      </w:r>
    </w:p>
    <w:p w14:paraId="739E7140" w14:textId="77777777" w:rsidR="00E30FFE" w:rsidRDefault="002B33A7">
      <w:pPr>
        <w:pStyle w:val="1"/>
        <w:keepNext/>
        <w:pageBreakBefore/>
        <w:spacing w:before="0" w:after="240"/>
      </w:pPr>
      <w:bookmarkStart w:id="28" w:name="_Toc241140377"/>
      <w:r>
        <w:t>第</w:t>
      </w:r>
      <w:r>
        <w:t>6</w:t>
      </w:r>
      <w:r>
        <w:t>章　分析结果与数据发现</w:t>
      </w:r>
      <w:bookmarkEnd w:id="28"/>
    </w:p>
    <w:p w14:paraId="206B9279" w14:textId="77777777" w:rsidR="00E30FFE" w:rsidRDefault="002B33A7">
      <w:pPr>
        <w:pStyle w:val="2"/>
        <w:keepNext/>
      </w:pPr>
      <w:bookmarkStart w:id="29" w:name="_Toc241140378"/>
      <w:r>
        <w:t>6.1</w:t>
      </w:r>
      <w:r>
        <w:t xml:space="preserve">　主要结果与平台成绩</w:t>
      </w:r>
      <w:bookmarkEnd w:id="29"/>
    </w:p>
    <w:p w14:paraId="59DEE6ED" w14:textId="77777777" w:rsidR="00E30FFE" w:rsidRDefault="002B33A7">
      <w:pPr>
        <w:ind w:firstLine="480"/>
        <w:jc w:val="both"/>
      </w:pPr>
      <w:r>
        <w:t>最终配置在验证集上取得宏</w:t>
      </w:r>
      <w:r>
        <w:t xml:space="preserve"> F1 0.4475</w:t>
      </w:r>
      <w:r>
        <w:t>、宏</w:t>
      </w:r>
      <w:r>
        <w:t xml:space="preserve"> AUC 0.8647</w:t>
      </w:r>
      <w:r>
        <w:t>，相对双路径基线（</w:t>
      </w:r>
      <w:r>
        <w:t>0.4453</w:t>
      </w:r>
      <w:r>
        <w:t>）的增益主要来自预训练语言模型分支与二跳同源传递；消融体系中的双边际正则化版本已在双盲评测平台锁定</w:t>
      </w:r>
      <w:r>
        <w:t xml:space="preserve"> 45.7665 </w:t>
      </w:r>
      <w:r>
        <w:t>分。按平台</w:t>
      </w:r>
      <w:r>
        <w:t xml:space="preserve"> 0/1 </w:t>
      </w:r>
      <w:r>
        <w:t>提交约束，最优二值提交由逐标签阈值搜索流程生成，全量重训版本将语言模型分支的训练数据从</w:t>
      </w:r>
      <w:r>
        <w:t xml:space="preserve"> 80% </w:t>
      </w:r>
      <w:r>
        <w:t>扩至</w:t>
      </w:r>
      <w:r>
        <w:t xml:space="preserve"> 100%</w:t>
      </w:r>
      <w:r>
        <w:t>，判定边界格差异</w:t>
      </w:r>
      <w:r>
        <w:t xml:space="preserve"> 0.23%</w:t>
      </w:r>
      <w:r>
        <w:t>，作为递进提交待平台复核。</w:t>
      </w:r>
    </w:p>
    <w:p w14:paraId="574DEA10" w14:textId="77777777" w:rsidR="00E30FFE" w:rsidRDefault="002B33A7">
      <w:pPr>
        <w:pStyle w:val="2"/>
        <w:keepNext/>
      </w:pPr>
      <w:bookmarkStart w:id="30" w:name="_Toc241140379"/>
      <w:r>
        <w:t>6.2</w:t>
      </w:r>
      <w:r>
        <w:t xml:space="preserve">　数据发现</w:t>
      </w:r>
      <w:bookmarkEnd w:id="30"/>
    </w:p>
    <w:p w14:paraId="63194B17" w14:textId="77777777" w:rsidR="00E30FFE" w:rsidRDefault="002B33A7">
      <w:pPr>
        <w:ind w:firstLine="480"/>
        <w:jc w:val="both"/>
      </w:pPr>
      <w:r>
        <w:t>其一，排序头部（假阳性率</w:t>
      </w:r>
      <w:r>
        <w:t xml:space="preserve"> 6.9% </w:t>
      </w:r>
      <w:r>
        <w:t>处）的召回由同源分支主导（</w:t>
      </w:r>
      <w:r>
        <w:t>0.5472</w:t>
      </w:r>
      <w:r>
        <w:t>），深度分支合计仅</w:t>
      </w:r>
      <w:r>
        <w:t xml:space="preserve"> 0.4517</w:t>
      </w:r>
      <w:r>
        <w:t>，融合提升至</w:t>
      </w:r>
      <w:r>
        <w:t xml:space="preserve"> 0.6026</w:t>
      </w:r>
      <w:r>
        <w:t>，但距榜单领先者反解工作点约</w:t>
      </w:r>
      <w:r>
        <w:t xml:space="preserve"> 0.82 </w:t>
      </w:r>
      <w:r>
        <w:t>仍有</w:t>
      </w:r>
      <w:r>
        <w:t xml:space="preserve"> 0.22 </w:t>
      </w:r>
      <w:r>
        <w:t>的差距，且该差距全部位于模型判别力层，决策层技巧无法触及。其二，四组受控实验一致表明单分支的独立增益不必然传导为融合增益（特征扩容、倾向加权、自训练均出现独立升而融合降），其机理是分支间误差相关性随强度上升，与集成理论的多样性警告一致；因此候选分支的验收只能以融合指标为准。其三，同源分支在全部四个频带均为最强单支，融合增益来自同频带内的误差结构差异而非频带分工。其四，</w:t>
      </w:r>
      <w:r>
        <w:t xml:space="preserve">12 </w:t>
      </w:r>
      <w:r>
        <w:t>条候选策略轴（决策层截断、排序损失、转导传播、自训练、融合算子替换等，见表</w:t>
      </w:r>
      <w:r>
        <w:t xml:space="preserve"> 5.3</w:t>
      </w:r>
      <w:r>
        <w:t>）在本任务的封闭设定下全部实测关闭，说明当前配置已接近「序列＋训练标签」这一信息闭包的可用上限。</w:t>
      </w:r>
    </w:p>
    <w:p w14:paraId="5C62A50B" w14:textId="77777777" w:rsidR="00E30FFE" w:rsidRDefault="002B33A7">
      <w:pPr>
        <w:pStyle w:val="2"/>
        <w:keepNext/>
      </w:pPr>
      <w:bookmarkStart w:id="31" w:name="_Toc241140380"/>
      <w:r>
        <w:t>6.3</w:t>
      </w:r>
      <w:r>
        <w:t xml:space="preserve">　局限与下一步</w:t>
      </w:r>
      <w:bookmarkEnd w:id="31"/>
    </w:p>
    <w:p w14:paraId="4F628238" w14:textId="77777777" w:rsidR="00E30FFE" w:rsidRDefault="002B33A7">
      <w:pPr>
        <w:ind w:firstLine="480"/>
        <w:jc w:val="both"/>
      </w:pPr>
      <w:r>
        <w:t>仍有增量的两条方向均已备好数据与评估协议：将语言模型表征升级为末三层拼接或可学习层加权（同构任务报告约</w:t>
      </w:r>
      <w:r>
        <w:t xml:space="preserve"> 2% </w:t>
      </w:r>
      <w:r>
        <w:t>独立增益），以及将同源检索深度扩展至</w:t>
      </w:r>
      <w:r>
        <w:t xml:space="preserve"> top-100 </w:t>
      </w:r>
      <w:r>
        <w:t>配合门控聚合（</w:t>
      </w:r>
      <w:r>
        <w:t xml:space="preserve">50.8% </w:t>
      </w:r>
      <w:r>
        <w:t>的同源头部漏检归因于检索深度不足）。报告层面，本章与第</w:t>
      </w:r>
      <w:r>
        <w:t xml:space="preserve"> 5 </w:t>
      </w:r>
      <w:r>
        <w:t>章的负结果边界地图即为核心数据发现：在禁用外部注释的约束下，架构与训练策略的边际收益已让位于证据深度与信息来源的扩展。</w:t>
      </w:r>
    </w:p>
    <w:p w14:paraId="112A756A" w14:textId="77777777" w:rsidR="00E30FFE" w:rsidRDefault="002B33A7">
      <w:pPr>
        <w:pStyle w:val="1"/>
        <w:pageBreakBefore/>
        <w:spacing w:before="0" w:after="240"/>
        <w:jc w:val="center"/>
      </w:pPr>
      <w:bookmarkStart w:id="32" w:name="_Toc241140381"/>
      <w:r>
        <w:t>参</w:t>
      </w:r>
      <w:r>
        <w:t xml:space="preserve"> </w:t>
      </w:r>
      <w:r>
        <w:t>考</w:t>
      </w:r>
      <w:r>
        <w:t xml:space="preserve"> </w:t>
      </w:r>
      <w:r>
        <w:t>文</w:t>
      </w:r>
      <w:r>
        <w:t xml:space="preserve"> </w:t>
      </w:r>
      <w:r>
        <w:t>献</w:t>
      </w:r>
      <w:bookmarkEnd w:id="32"/>
    </w:p>
    <w:p w14:paraId="24E71988" w14:textId="77777777" w:rsidR="00E30FFE" w:rsidRDefault="002B33A7">
      <w:pPr>
        <w:spacing w:after="60"/>
        <w:ind w:left="480" w:hanging="480"/>
      </w:pPr>
      <w:r>
        <w:rPr>
          <w:sz w:val="21"/>
          <w:szCs w:val="21"/>
        </w:rPr>
        <w:t>[1] ASHBURNER M, BALL C A, BLAKE J A, et al. Gene ontology: tool for the unification of biology[J]. Nature Genetics, 2000, 25(1): 25-29.</w:t>
      </w:r>
    </w:p>
    <w:p w14:paraId="50CB4ED2" w14:textId="77777777" w:rsidR="00E30FFE" w:rsidRDefault="002B33A7">
      <w:pPr>
        <w:spacing w:after="60"/>
        <w:ind w:left="480" w:hanging="480"/>
      </w:pPr>
      <w:r>
        <w:rPr>
          <w:sz w:val="21"/>
          <w:szCs w:val="21"/>
        </w:rPr>
        <w:t>[2] THE GENE ONTOLOGY CONSORTIUM. The Gene Ontology resource: enriching a GOld mine[J]. Nucleic Acids Research, 2021, 49(D1): D325-D334.</w:t>
      </w:r>
    </w:p>
    <w:p w14:paraId="229BB505" w14:textId="77777777" w:rsidR="00E30FFE" w:rsidRDefault="002B33A7">
      <w:pPr>
        <w:spacing w:after="60"/>
        <w:ind w:left="480" w:hanging="480"/>
      </w:pPr>
      <w:r>
        <w:rPr>
          <w:sz w:val="21"/>
          <w:szCs w:val="21"/>
        </w:rPr>
        <w:t>[3] THE UNIPROT CONSORTIUM. UniProt: the Universal Protein Knowledgebase in 2023[J]. Nucleic Acids Research, 2023, 51(D1): D523-D531.</w:t>
      </w:r>
    </w:p>
    <w:p w14:paraId="4A7C356A" w14:textId="77777777" w:rsidR="00E30FFE" w:rsidRDefault="002B33A7">
      <w:pPr>
        <w:spacing w:after="60"/>
        <w:ind w:left="480" w:hanging="480"/>
      </w:pPr>
      <w:r>
        <w:rPr>
          <w:sz w:val="21"/>
          <w:szCs w:val="21"/>
        </w:rPr>
        <w:t>[4] RADIVOJAC P, CLARK W T, ORON T R, et al. A large-scale evaluation of computational protein function prediction[J]. Nature Methods, 2013, 10(3): 221-227.</w:t>
      </w:r>
    </w:p>
    <w:p w14:paraId="1A1A10FB" w14:textId="77777777" w:rsidR="00E30FFE" w:rsidRDefault="002B33A7">
      <w:pPr>
        <w:spacing w:after="60"/>
        <w:ind w:left="480" w:hanging="480"/>
      </w:pPr>
      <w:r>
        <w:rPr>
          <w:sz w:val="21"/>
          <w:szCs w:val="21"/>
        </w:rPr>
        <w:t>[5] ZHOU N, JIANG Y, BERGQUIST T R, et al. The CAFA challenge reports improved protein function prediction and new functional annotations for hundreds of genes through experimental screens[J]. Genome Biology, 2019, 20: 244.</w:t>
      </w:r>
    </w:p>
    <w:p w14:paraId="750A2F1E" w14:textId="77777777" w:rsidR="00E30FFE" w:rsidRDefault="002B33A7">
      <w:pPr>
        <w:spacing w:after="60"/>
        <w:ind w:left="480" w:hanging="480"/>
      </w:pPr>
      <w:r>
        <w:rPr>
          <w:sz w:val="21"/>
          <w:szCs w:val="21"/>
        </w:rPr>
        <w:t>[6] ALTSCHUL S F, MADDEN T L, SCHAFFER A A, et al. Gapped BLAST and PSI-BLAST: a new generation of protein database search programs[J]. Nucleic Acids Research, 1997, 25(17): 3389-3402.</w:t>
      </w:r>
    </w:p>
    <w:p w14:paraId="22BE8C1C" w14:textId="77777777" w:rsidR="00E30FFE" w:rsidRDefault="002B33A7">
      <w:pPr>
        <w:spacing w:after="60"/>
        <w:ind w:left="480" w:hanging="480"/>
      </w:pPr>
      <w:r>
        <w:rPr>
          <w:sz w:val="21"/>
          <w:szCs w:val="21"/>
        </w:rPr>
        <w:t>[7] BUCHFINK B, XIE C, HUSON D H. Fast and sensitive protein alignment using DIAMOND[J]. Nature Methods, 2015, 12(1): 59-60.</w:t>
      </w:r>
    </w:p>
    <w:p w14:paraId="0311CB8B" w14:textId="77777777" w:rsidR="00E30FFE" w:rsidRDefault="002B33A7">
      <w:pPr>
        <w:spacing w:after="60"/>
        <w:ind w:left="480" w:hanging="480"/>
      </w:pPr>
      <w:r>
        <w:rPr>
          <w:sz w:val="21"/>
          <w:szCs w:val="21"/>
        </w:rPr>
        <w:t>[8] BUCHFINK B, REUTER K, DROST H G. Sensitive protein alignments at tree-of-life scale using DIAMOND[J]. Nature Methods, 2021, 18(4): 366-368.</w:t>
      </w:r>
    </w:p>
    <w:p w14:paraId="5CBA3DE7" w14:textId="77777777" w:rsidR="00E30FFE" w:rsidRDefault="002B33A7">
      <w:pPr>
        <w:spacing w:after="60"/>
        <w:ind w:left="480" w:hanging="480"/>
      </w:pPr>
      <w:r>
        <w:rPr>
          <w:sz w:val="21"/>
          <w:szCs w:val="21"/>
        </w:rPr>
        <w:t>[9] KULMANOV M, HOEHNDORF R. DeepGOPlus: improved protein function prediction from sequence[J]. Bioinformatics, 2020, 36(2): 422-429.</w:t>
      </w:r>
    </w:p>
    <w:p w14:paraId="6FE5BFC7" w14:textId="77777777" w:rsidR="00E30FFE" w:rsidRDefault="002B33A7">
      <w:pPr>
        <w:spacing w:after="60"/>
        <w:ind w:left="480" w:hanging="480"/>
      </w:pPr>
      <w:r>
        <w:rPr>
          <w:sz w:val="21"/>
          <w:szCs w:val="21"/>
        </w:rPr>
        <w:t>[10] SANDERSON T, BILESCHI M L, BELANGER D, et al. ProteInfer, deep neural networks for protein functional inference[J]. eLife, 2023, 12: e80942.</w:t>
      </w:r>
    </w:p>
    <w:p w14:paraId="5BFB259C" w14:textId="77777777" w:rsidR="00E30FFE" w:rsidRDefault="002B33A7">
      <w:pPr>
        <w:spacing w:after="60"/>
        <w:ind w:left="480" w:hanging="480"/>
      </w:pPr>
      <w:r>
        <w:rPr>
          <w:sz w:val="21"/>
          <w:szCs w:val="21"/>
        </w:rPr>
        <w:t>[11] YU F, KOLTUN V. Multi-scale context aggregation by dilated convolutions[C]//International Conference on Learning Representations (ICLR). 2016.</w:t>
      </w:r>
    </w:p>
    <w:p w14:paraId="4CDEB64D" w14:textId="77777777" w:rsidR="00E30FFE" w:rsidRDefault="002B33A7">
      <w:pPr>
        <w:spacing w:after="60"/>
        <w:ind w:left="480" w:hanging="480"/>
      </w:pPr>
      <w:r>
        <w:rPr>
          <w:sz w:val="21"/>
          <w:szCs w:val="21"/>
        </w:rPr>
        <w:t>[12] RIDNIK T, BEN-BARUCH E, ZAMIR N, et al. Asymmetric loss for multi-label classification[C]//Proceedings of the IEEE/CVF International Conference on Computer Vision (ICCV). 2021: 82-91.</w:t>
      </w:r>
    </w:p>
    <w:p w14:paraId="17047FA4" w14:textId="77777777" w:rsidR="00E30FFE" w:rsidRDefault="002B33A7">
      <w:pPr>
        <w:spacing w:after="60"/>
        <w:ind w:left="480" w:hanging="480"/>
      </w:pPr>
      <w:r>
        <w:rPr>
          <w:sz w:val="21"/>
          <w:szCs w:val="21"/>
        </w:rPr>
        <w:t>[13] ZHU K, WU J. Residual attention: a simple but effective method for multi-label recognition[C]//Proceedings of the IEEE/CVF International Conference on Computer Vision (ICCV). 2021: 175-184.</w:t>
      </w:r>
    </w:p>
    <w:p w14:paraId="22A17DFD" w14:textId="77777777" w:rsidR="00E30FFE" w:rsidRDefault="002B33A7">
      <w:pPr>
        <w:spacing w:after="60"/>
        <w:ind w:left="480" w:hanging="480"/>
      </w:pPr>
      <w:r>
        <w:rPr>
          <w:sz w:val="21"/>
          <w:szCs w:val="21"/>
        </w:rPr>
        <w:t>[14] SU J, LU Y, PAN S, et al. RoFormer: enhanced transformer with rotary position embedding[J]. Neurocomputing, 2024, 568: 127063.</w:t>
      </w:r>
    </w:p>
    <w:p w14:paraId="286B0A5C" w14:textId="77777777" w:rsidR="00E30FFE" w:rsidRDefault="002B33A7">
      <w:pPr>
        <w:spacing w:after="60"/>
        <w:ind w:left="480" w:hanging="480"/>
      </w:pPr>
      <w:r>
        <w:rPr>
          <w:sz w:val="21"/>
          <w:szCs w:val="21"/>
        </w:rPr>
        <w:t>[15] LIN Z, AKIN H, RAO R, et al. Evolutionary-scale prediction of atomic-level protein structure with a language model[J]. Science, 2023, 379(6637): 1123-1130.</w:t>
      </w:r>
    </w:p>
    <w:p w14:paraId="2D792EC9" w14:textId="77777777" w:rsidR="00E30FFE" w:rsidRDefault="002B33A7">
      <w:pPr>
        <w:spacing w:after="60"/>
        <w:ind w:left="480" w:hanging="480"/>
      </w:pPr>
      <w:r>
        <w:rPr>
          <w:sz w:val="21"/>
          <w:szCs w:val="21"/>
        </w:rPr>
        <w:t>[16] CORMACK G V, CLARKE C L A, BUETTCHER S. Reciprocal rank fusion outperforms Condorcet and individual rank learning methods[C]//Proceedings of the 32nd International ACM SIGIR Conference on Research and Development in Information Retrieval. New York: ACM, 2009: 758-759.</w:t>
      </w:r>
    </w:p>
    <w:p w14:paraId="1D0493D0" w14:textId="77777777" w:rsidR="00E30FFE" w:rsidRDefault="002B33A7">
      <w:pPr>
        <w:spacing w:after="60"/>
        <w:ind w:left="480" w:hanging="480"/>
      </w:pPr>
      <w:r>
        <w:rPr>
          <w:sz w:val="21"/>
          <w:szCs w:val="21"/>
        </w:rPr>
        <w:t>[17] CUTURI M. Sinkhorn distances: lightspeed computation of optimal transport[C]//Advances in Neural Information Processing Systems (NeurIPS 26). 2013: 2292-2300.</w:t>
      </w:r>
    </w:p>
    <w:p w14:paraId="53A74E48" w14:textId="77777777" w:rsidR="00E30FFE" w:rsidRDefault="002B33A7">
      <w:pPr>
        <w:spacing w:after="60"/>
        <w:ind w:left="480" w:hanging="480"/>
      </w:pPr>
      <w:r>
        <w:rPr>
          <w:sz w:val="21"/>
          <w:szCs w:val="21"/>
        </w:rPr>
        <w:t>[18] CAO J, ZHANG Y. OTSeq2Set: an optimal transport enhanced sequence-to-set model for extreme multi-label text classification[C]//Proceedings of the 2022 Conference on Empirical Methods in Natural Language Processing (EMNLP). 2022: 4322-4334.</w:t>
      </w:r>
    </w:p>
    <w:p w14:paraId="5472F114" w14:textId="77777777" w:rsidR="00E30FFE" w:rsidRDefault="002B33A7">
      <w:pPr>
        <w:spacing w:after="60"/>
        <w:ind w:left="480" w:hanging="480"/>
      </w:pPr>
      <w:r>
        <w:rPr>
          <w:sz w:val="21"/>
          <w:szCs w:val="21"/>
        </w:rPr>
        <w:t>[19] YANG Y. A study of thresholding strategies for text categorization[C]//Proceedings of the 24th Annual International ACM SIGIR Conference on Research and Development in Information Retrieval. New York: ACM, 2001: 137-145.</w:t>
      </w:r>
    </w:p>
    <w:p w14:paraId="58976CB2" w14:textId="77777777" w:rsidR="00E30FFE" w:rsidRDefault="002B33A7">
      <w:pPr>
        <w:spacing w:after="60"/>
        <w:ind w:left="480" w:hanging="480"/>
      </w:pPr>
      <w:r>
        <w:rPr>
          <w:sz w:val="21"/>
          <w:szCs w:val="21"/>
        </w:rPr>
        <w:t>[20] CHERVOV A, VAKHRUSHEV A, FIRONOV S, et al. ProtBoost: protein function prediction with Py-Boost and graph neural networks: CAFA5 top-2 solution[EB/OL]. (2024-12-05)[2026-09-10]. https://arxiv.org/abs/2412.04529.</w:t>
      </w:r>
    </w:p>
    <w:p w14:paraId="4431E01A" w14:textId="77777777" w:rsidR="00E30FFE" w:rsidRDefault="002B33A7">
      <w:pPr>
        <w:spacing w:after="60"/>
        <w:ind w:left="480" w:hanging="480"/>
      </w:pPr>
      <w:r>
        <w:rPr>
          <w:sz w:val="21"/>
          <w:szCs w:val="21"/>
        </w:rPr>
        <w:t>[21] LIU Q, ZHANG C, FREDDOLINO L. InterLabelGO+: unraveling label correlations in protein function prediction[J]. Bioinformatics, 2024, 40(11): btae655.</w:t>
      </w:r>
    </w:p>
    <w:p w14:paraId="486F0D74" w14:textId="77777777" w:rsidR="00E30FFE" w:rsidRDefault="002B33A7">
      <w:pPr>
        <w:spacing w:after="60"/>
        <w:ind w:left="480" w:hanging="480"/>
      </w:pPr>
      <w:r>
        <w:rPr>
          <w:sz w:val="21"/>
          <w:szCs w:val="21"/>
        </w:rPr>
        <w:t>[22] YOU R, ZHANG Z, XIONG Y, et al. GOLabeler: improving sequence-based large-scale protein function prediction by learning to rank[J]. Bioinformatics, 2018, 34(14): 2465-2473.</w:t>
      </w:r>
    </w:p>
    <w:p w14:paraId="6763E3F8" w14:textId="77777777" w:rsidR="00E30FFE" w:rsidRDefault="002B33A7">
      <w:pPr>
        <w:spacing w:after="60"/>
        <w:ind w:left="480" w:hanging="480"/>
      </w:pPr>
      <w:r>
        <w:rPr>
          <w:sz w:val="21"/>
          <w:szCs w:val="21"/>
        </w:rPr>
        <w:t>[23] YAO S, YOU R, WANG S, et al. NetGO 2.0: improving large-scale protein function prediction with massive sequence, text, domain, family and network information[J]. Nucleic Acids Research, 2021, 49(W1): W358-W366.</w:t>
      </w:r>
    </w:p>
    <w:p w14:paraId="7E2D9035" w14:textId="77777777" w:rsidR="00E30FFE" w:rsidRDefault="002B33A7">
      <w:pPr>
        <w:spacing w:after="60"/>
        <w:ind w:left="480" w:hanging="480"/>
      </w:pPr>
      <w:r>
        <w:rPr>
          <w:sz w:val="21"/>
          <w:szCs w:val="21"/>
        </w:rPr>
        <w:t>[24] REIJNDERS M J M F. Wei2GO: weighted sequence similarity-based protein function prediction[J]. PeerJ, 2022, 10: e12931.</w:t>
      </w:r>
    </w:p>
    <w:p w14:paraId="35024FC5" w14:textId="77777777" w:rsidR="00E30FFE" w:rsidRDefault="002B33A7">
      <w:pPr>
        <w:spacing w:after="60"/>
        <w:ind w:left="480" w:hanging="480"/>
      </w:pPr>
      <w:r>
        <w:rPr>
          <w:sz w:val="21"/>
          <w:szCs w:val="21"/>
        </w:rPr>
        <w:t>[25] JUMPER J, EVANS R, PRITZEL A, et al. Highly accurate protein structure prediction with AlphaFold[J]. Nature, 2021, 596(7873): 583-589.</w:t>
      </w:r>
    </w:p>
    <w:p w14:paraId="34BAFEA0" w14:textId="77777777" w:rsidR="00E30FFE" w:rsidRDefault="002B33A7">
      <w:pPr>
        <w:spacing w:after="60"/>
        <w:ind w:left="480" w:hanging="480"/>
      </w:pPr>
      <w:r>
        <w:rPr>
          <w:sz w:val="21"/>
          <w:szCs w:val="21"/>
        </w:rPr>
        <w:t>[26] VAN DER LAAN M J, POLLEY E C, HUBBARD A E. Super learner[J]. Statistical Applications in Genetics and Molecular Biology, 2007, 6(1): 25.</w:t>
      </w:r>
    </w:p>
    <w:p w14:paraId="04C71399" w14:textId="77777777" w:rsidR="00E30FFE" w:rsidRDefault="002B33A7">
      <w:pPr>
        <w:spacing w:after="60"/>
        <w:ind w:left="480" w:hanging="480"/>
      </w:pPr>
      <w:r>
        <w:rPr>
          <w:sz w:val="21"/>
          <w:szCs w:val="21"/>
        </w:rPr>
        <w:t>[27] HONG L, HU Z, SUN S, et al. Fast, sensitive detection of protein homologs using deep dense retrieval[J]. Nature Biotechnology, 2025, 43: 983-995.</w:t>
      </w:r>
    </w:p>
    <w:p w14:paraId="64479565" w14:textId="77777777" w:rsidR="00E30FFE" w:rsidRDefault="002B33A7">
      <w:pPr>
        <w:spacing w:after="60"/>
        <w:ind w:left="480" w:hanging="480"/>
      </w:pPr>
      <w:r>
        <w:rPr>
          <w:sz w:val="21"/>
          <w:szCs w:val="21"/>
        </w:rPr>
        <w:t>[28] ZHANG C, FREDDOLINO P L. A large-scale assessment of sequence database search tools for homology-based protein function prediction[EB/OL]. (2023)[2026-09-10]. https://doi.org/10.1101/2023.11.14.567021.</w:t>
      </w:r>
    </w:p>
    <w:p w14:paraId="293B221A" w14:textId="77777777" w:rsidR="00E30FFE" w:rsidRDefault="002B33A7">
      <w:pPr>
        <w:spacing w:after="60"/>
        <w:ind w:left="480" w:hanging="480"/>
      </w:pPr>
      <w:r>
        <w:rPr>
          <w:sz w:val="21"/>
          <w:szCs w:val="21"/>
        </w:rPr>
        <w:t>[29] CERRI R, BARROS R C, DE CARVALHO A C, et al. Reduction strategies for hierarchical multi-label classification in protein function prediction[J]. BMC Bioinformatics, 2016, 17: 373.</w:t>
      </w:r>
    </w:p>
    <w:p w14:paraId="5C981430" w14:textId="77777777" w:rsidR="00E30FFE" w:rsidRDefault="002B33A7">
      <w:pPr>
        <w:spacing w:after="60"/>
        <w:ind w:left="480" w:hanging="480"/>
      </w:pPr>
      <w:r>
        <w:rPr>
          <w:sz w:val="21"/>
          <w:szCs w:val="21"/>
        </w:rPr>
        <w:t>[30] FRIEDBERG I. Automated protein function prediction: the genomic challenge[J]. Briefings in Bioinformatics, 2006, 7(3): 225-242.</w:t>
      </w:r>
    </w:p>
    <w:p w14:paraId="514B5FFC" w14:textId="77777777" w:rsidR="00E30FFE" w:rsidRDefault="002B33A7">
      <w:pPr>
        <w:spacing w:after="60"/>
        <w:ind w:left="480" w:hanging="480"/>
      </w:pPr>
      <w:r>
        <w:rPr>
          <w:sz w:val="21"/>
          <w:szCs w:val="21"/>
        </w:rPr>
        <w:t>[31] CHOU K C. Prediction of protein cellular attributes using pseudo-amino acid composition[J]. Proteins, 2001, 43(3): 246-255.</w:t>
      </w:r>
    </w:p>
    <w:p w14:paraId="53AE2BA0" w14:textId="77777777" w:rsidR="00E30FFE" w:rsidRDefault="002B33A7">
      <w:pPr>
        <w:spacing w:after="60"/>
        <w:ind w:left="480" w:hanging="480"/>
      </w:pPr>
      <w:r>
        <w:rPr>
          <w:sz w:val="21"/>
          <w:szCs w:val="21"/>
        </w:rPr>
        <w:t>[32] ELNAGGAR A, HEINZINGER M, DALLAGO C, et al. ProtTrans: toward understanding the language of life through self-supervised learning[J]. IEEE Transactions on Pattern Analysis and Machine Intelligence, 2022, 44(10): 7112-7127.</w:t>
      </w:r>
    </w:p>
    <w:p w14:paraId="5BCC743D" w14:textId="77777777" w:rsidR="00E30FFE" w:rsidRDefault="002B33A7">
      <w:pPr>
        <w:spacing w:after="60"/>
        <w:ind w:left="480" w:hanging="480"/>
      </w:pPr>
      <w:r>
        <w:rPr>
          <w:sz w:val="21"/>
          <w:szCs w:val="21"/>
        </w:rPr>
        <w:t>[33] YUAN Z, ZHU D, QIU Z-H, et al. LibAUC: a deep learning library for X-risk optimization[C]//Proceedings of the 29th ACM SIGKDD Conference on Knowledge Discovery and Data Mining. New York: ACM, 2023: 6480-6491.</w:t>
      </w:r>
    </w:p>
    <w:p w14:paraId="4D941D34" w14:textId="77777777" w:rsidR="00E30FFE" w:rsidRDefault="002B33A7">
      <w:pPr>
        <w:spacing w:after="60"/>
        <w:ind w:left="480" w:hanging="480"/>
      </w:pPr>
      <w:r>
        <w:rPr>
          <w:sz w:val="21"/>
          <w:szCs w:val="21"/>
        </w:rPr>
        <w:t>[34] ZHU D, LI G, WANG B, et al. When AUC meets DRO: optimizing partial AUC for deep learning with non-convex convergence guarantee[C]//Proceedings of the 39th International Conference on Machine Learning (ICML). 2022: 27548-27573.</w:t>
      </w:r>
    </w:p>
    <w:p w14:paraId="463133F3" w14:textId="77777777" w:rsidR="00E30FFE" w:rsidRDefault="002B33A7">
      <w:pPr>
        <w:spacing w:after="60"/>
        <w:ind w:left="480" w:hanging="480"/>
      </w:pPr>
      <w:r>
        <w:rPr>
          <w:sz w:val="21"/>
          <w:szCs w:val="21"/>
        </w:rPr>
        <w:t>[35] KUNCHEVA L I, WHITAKER C J. Measures of diversity in classifier ensembles and their relationship with the ensemble accuracy[J]. Machine Learning, 2003, 51(2): 181-207.</w:t>
      </w:r>
    </w:p>
    <w:p w14:paraId="68A2C5DF" w14:textId="77777777" w:rsidR="00E30FFE" w:rsidRDefault="002B33A7">
      <w:pPr>
        <w:spacing w:after="60"/>
        <w:ind w:left="480" w:hanging="480"/>
      </w:pPr>
      <w:r>
        <w:rPr>
          <w:sz w:val="21"/>
          <w:szCs w:val="21"/>
        </w:rPr>
        <w:t>[36] BROWN G, KUNCHEVA L I. “Good” and “bad” diversity in majority vote ensembles[C]//Multiple Classifier Systems (MCS). Berlin: Springer, 2010: 124-133.</w:t>
      </w:r>
    </w:p>
    <w:p w14:paraId="478DD89F" w14:textId="77777777" w:rsidR="00E30FFE" w:rsidRDefault="002B33A7">
      <w:pPr>
        <w:spacing w:after="60"/>
        <w:ind w:left="480" w:hanging="480"/>
      </w:pPr>
      <w:r>
        <w:rPr>
          <w:sz w:val="21"/>
          <w:szCs w:val="21"/>
        </w:rPr>
        <w:t>[37] XIE M-K, XIAO J, LIU H-Z, et al. Class-distribution-aware pseudo-labeling for semi-supervised multi-label learning[C]//Advances in Neural Information Processing Systems (NeurIPS 36). 2023.</w:t>
      </w:r>
    </w:p>
    <w:p w14:paraId="27BC3915" w14:textId="77777777" w:rsidR="00E30FFE" w:rsidRDefault="002B33A7">
      <w:pPr>
        <w:spacing w:after="60"/>
        <w:ind w:left="480" w:hanging="480"/>
      </w:pPr>
      <w:r>
        <w:rPr>
          <w:sz w:val="21"/>
          <w:szCs w:val="21"/>
        </w:rPr>
        <w:t>[38] XIE Q, LUONG M-T, HOVY E, et al. Self-training with noisy student improves ImageNet classification[C]//Proceedings of the IEEE/CVF Conference on Computer Vision and Pattern Recognition (CVPR). 2020: 10687-10698.</w:t>
      </w:r>
    </w:p>
    <w:p w14:paraId="7AE6B4FD" w14:textId="77777777" w:rsidR="00E30FFE" w:rsidRDefault="002B33A7">
      <w:pPr>
        <w:spacing w:after="60"/>
        <w:ind w:left="480" w:hanging="480"/>
      </w:pPr>
      <w:r>
        <w:rPr>
          <w:sz w:val="21"/>
          <w:szCs w:val="21"/>
        </w:rPr>
        <w:t>[39] FURLANELLO T, LIPTON Z, TSCHANNEN M, et al. Born again neural networks[C]//Proceedings of the 35th International Conference on Machine Learning (ICML). 2018: 1607-1616.</w:t>
      </w:r>
    </w:p>
    <w:p w14:paraId="7FBA505B" w14:textId="77777777" w:rsidR="00E30FFE" w:rsidRDefault="002B33A7">
      <w:pPr>
        <w:spacing w:after="60"/>
        <w:ind w:left="480" w:hanging="480"/>
      </w:pPr>
      <w:r>
        <w:rPr>
          <w:sz w:val="21"/>
          <w:szCs w:val="21"/>
        </w:rPr>
        <w:t>[40] ARAZO E, ORTEGO D, ALBERT P, et al. Pseudo-labeling and confirmation bias in deep semi-supervised learning[C]//Proceedings of the International Joint Conference on Neural Networks (IJCNN). 2020: 1-8.</w:t>
      </w:r>
    </w:p>
    <w:p w14:paraId="29A9BC67" w14:textId="77777777" w:rsidR="00E30FFE" w:rsidRDefault="002B33A7">
      <w:pPr>
        <w:spacing w:after="60"/>
        <w:ind w:left="480" w:hanging="480"/>
      </w:pPr>
      <w:r>
        <w:rPr>
          <w:sz w:val="21"/>
          <w:szCs w:val="21"/>
        </w:rPr>
        <w:t>[41] ZHANG C, LIU Q, FREDDOLINO L. EZpred: improving deep learning-based enzyme function prediction using unlabeled sequence homologs[EB/OL]. (2025)[2026-09-18]. https://doi.org/10.1101/2025.07.09.663945.</w:t>
      </w:r>
    </w:p>
    <w:p w14:paraId="6FAD934E" w14:textId="77777777" w:rsidR="00E30FFE" w:rsidRDefault="002B33A7">
      <w:pPr>
        <w:spacing w:after="60"/>
        <w:ind w:left="480" w:hanging="480"/>
      </w:pPr>
      <w:r>
        <w:rPr>
          <w:sz w:val="21"/>
          <w:szCs w:val="21"/>
        </w:rPr>
        <w:t>[42] RAMOLA R, JOSHI P, PIOVESAN D, READE W, ORCHARD S, MARTIN M J, et al. Advances in protein function prediction from the fifth CAFA challenge[EB/OL]. (2026)[2026-09-18]. https://doi.org/10.64898/2026.04.27.716980.</w:t>
      </w:r>
    </w:p>
    <w:p w14:paraId="70F91A02" w14:textId="77777777" w:rsidR="00E30FFE" w:rsidRDefault="002B33A7">
      <w:pPr>
        <w:spacing w:after="60"/>
        <w:ind w:left="480" w:hanging="480"/>
      </w:pPr>
      <w:r>
        <w:rPr>
          <w:sz w:val="21"/>
          <w:szCs w:val="21"/>
        </w:rPr>
        <w:t>[43] KO Y S, PARKINSON J, WANG W. Scalable embedding fusion with protein language models: insights from benchmarking text-integrated representations[J]. Briefings in Bioinformatics, 2026, 27(1): bbag014.</w:t>
      </w:r>
    </w:p>
    <w:p w14:paraId="1F67B68A" w14:textId="77777777" w:rsidR="00E30FFE" w:rsidRDefault="002B33A7">
      <w:pPr>
        <w:spacing w:after="60"/>
        <w:ind w:left="480" w:hanging="480"/>
      </w:pPr>
      <w:r>
        <w:rPr>
          <w:sz w:val="21"/>
          <w:szCs w:val="21"/>
        </w:rPr>
        <w:t>[44] ZHOU D, BOUSQUET O, LAL T N, et al. Learning with local and global consistency[C]//Advances in Neural Information Processing Systems (NIPS 16). 2003: 321-328.</w:t>
      </w:r>
    </w:p>
    <w:p w14:paraId="68D290B1" w14:textId="77777777" w:rsidR="00E30FFE" w:rsidRDefault="002B33A7">
      <w:pPr>
        <w:pStyle w:val="1"/>
        <w:pageBreakBefore/>
        <w:spacing w:before="0" w:after="240"/>
      </w:pPr>
      <w:bookmarkStart w:id="33" w:name="_Toc241140382"/>
      <w:r>
        <w:t>附录</w:t>
      </w:r>
      <w:r>
        <w:t>A</w:t>
      </w:r>
      <w:r>
        <w:t xml:space="preserve">　核心代码与复现说明</w:t>
      </w:r>
      <w:bookmarkEnd w:id="33"/>
    </w:p>
    <w:p w14:paraId="7105B7DB" w14:textId="77777777" w:rsidR="00E30FFE" w:rsidRDefault="002B33A7">
      <w:pPr>
        <w:ind w:firstLine="480"/>
        <w:jc w:val="both"/>
      </w:pPr>
      <w:r>
        <w:t>全部实验代码组织于随附代码包</w:t>
      </w:r>
      <w:r>
        <w:t xml:space="preserve"> code/ </w:t>
      </w:r>
      <w:r>
        <w:t>目录（含</w:t>
      </w:r>
      <w:r>
        <w:t xml:space="preserve"> tools </w:t>
      </w:r>
      <w:r>
        <w:t>工具集），每个脚本对应一次可复现实验，产物以</w:t>
      </w:r>
      <w:r>
        <w:t xml:space="preserve"> JSON </w:t>
      </w:r>
      <w:r>
        <w:t>报告落盘。本报告最优配置的复现链为：</w:t>
      </w:r>
      <w:r>
        <w:t>tools/train_fast_plm_mlp.py</w:t>
      </w:r>
      <w:r>
        <w:t>（语言模型分支首次训练）</w:t>
      </w:r>
      <w:r>
        <w:t xml:space="preserve">→ </w:t>
      </w:r>
      <w:r>
        <w:t>三种子集成与融合权重扫描脚本</w:t>
      </w:r>
      <w:r>
        <w:t xml:space="preserve"> → </w:t>
      </w:r>
      <w:r>
        <w:t>逐标签阈值搜索与提交生成脚本</w:t>
      </w:r>
      <w:r>
        <w:t xml:space="preserve"> → </w:t>
      </w:r>
      <w:r>
        <w:t>全量重训递进提交脚本（四个脚本随附代码包提供）。同源比对缓存由</w:t>
      </w:r>
      <w:r>
        <w:t xml:space="preserve"> tools/prepare_fasta_and_align.py </w:t>
      </w:r>
      <w:r>
        <w:t>调用</w:t>
      </w:r>
      <w:r>
        <w:t xml:space="preserve"> DIAMOND 2.1.11 </w:t>
      </w:r>
      <w:r>
        <w:t>生成。</w:t>
      </w:r>
    </w:p>
    <w:p w14:paraId="036B396F" w14:textId="77777777" w:rsidR="00E30FFE" w:rsidRDefault="002B33A7">
      <w:pPr>
        <w:ind w:firstLine="480"/>
      </w:pPr>
      <w:r>
        <w:t>运行环境：</w:t>
      </w:r>
      <w:r>
        <w:t>Python 3.11</w:t>
      </w:r>
      <w:r>
        <w:t>、</w:t>
      </w:r>
      <w:r>
        <w:t>PyTorch 2.x</w:t>
      </w:r>
      <w:r>
        <w:t>（</w:t>
      </w:r>
      <w:r>
        <w:t xml:space="preserve">CUDA 11.8 </w:t>
      </w:r>
      <w:r>
        <w:t>及以上）、</w:t>
      </w:r>
      <w:r>
        <w:t xml:space="preserve">scikit-learn </w:t>
      </w:r>
      <w:r>
        <w:t>与</w:t>
      </w:r>
      <w:r>
        <w:t xml:space="preserve"> pandas</w:t>
      </w:r>
      <w:r>
        <w:t>，单卡</w:t>
      </w:r>
      <w:r>
        <w:t xml:space="preserve"> NVIDIA RTX 4060 </w:t>
      </w:r>
      <w:r>
        <w:t>即可复现全部验证实验；比对步骤为</w:t>
      </w:r>
      <w:r>
        <w:t xml:space="preserve"> CPU </w:t>
      </w:r>
      <w:r>
        <w:t>任务，全量比对待办已在代码库待办清单登记。论文全部图表由代码生成：</w:t>
      </w:r>
      <w:r>
        <w:t xml:space="preserve">code/tools/generate_nature_sci_figures.py </w:t>
      </w:r>
      <w:r>
        <w:t>与</w:t>
      </w:r>
      <w:r>
        <w:t xml:space="preserve"> code/tools/gen_paper_figures_v2.py</w:t>
      </w:r>
      <w:r>
        <w:t>，数据快照见</w:t>
      </w:r>
      <w:r>
        <w:t xml:space="preserve"> doc/figures/*.json</w:t>
      </w:r>
      <w:r>
        <w:t>，矢量图源文件同目录归档。</w:t>
      </w:r>
    </w:p>
    <w:sectPr w:rsidR="00E30FFE">
      <w:headerReference w:type="default" r:id="rId20"/>
      <w:footerReference w:type="default" r:id="rId21"/>
      <w:pgSz w:w="11906" w:h="16838"/>
      <w:pgMar w:top="2098" w:right="1418" w:bottom="2268" w:left="1418" w:header="1531" w:footer="170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43995" w14:textId="77777777" w:rsidR="002B33A7" w:rsidRDefault="002B33A7">
      <w:pPr>
        <w:spacing w:line="240" w:lineRule="auto"/>
      </w:pPr>
      <w:r>
        <w:separator/>
      </w:r>
    </w:p>
  </w:endnote>
  <w:endnote w:type="continuationSeparator" w:id="0">
    <w:p w14:paraId="4342F69D" w14:textId="77777777" w:rsidR="002B33A7" w:rsidRDefault="002B33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8D143" w14:textId="77777777" w:rsidR="00E30FFE" w:rsidRDefault="002B33A7">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7E1C5A">
      <w:rPr>
        <w:noProof/>
        <w:sz w:val="21"/>
        <w:szCs w:val="21"/>
      </w:rPr>
      <w:t>I</w:t>
    </w:r>
    <w:r>
      <w:rPr>
        <w:sz w:val="21"/>
        <w:szCs w:val="21"/>
      </w:rP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8BE4" w14:textId="77777777" w:rsidR="00E30FFE" w:rsidRDefault="002B33A7">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7E1C5A">
      <w:rPr>
        <w:noProof/>
        <w:sz w:val="21"/>
        <w:szCs w:val="21"/>
      </w:rPr>
      <w:t>1</w:t>
    </w:r>
    <w:r>
      <w:rPr>
        <w:sz w:val="21"/>
        <w:szCs w:val="21"/>
      </w:rPr>
      <w:fldChar w:fldCharType="end"/>
    </w:r>
    <w:r>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084D1" w14:textId="77777777" w:rsidR="002B33A7" w:rsidRDefault="002B33A7">
      <w:pPr>
        <w:spacing w:line="240" w:lineRule="auto"/>
      </w:pPr>
      <w:r>
        <w:separator/>
      </w:r>
    </w:p>
  </w:footnote>
  <w:footnote w:type="continuationSeparator" w:id="0">
    <w:p w14:paraId="53B1C8D3" w14:textId="77777777" w:rsidR="002B33A7" w:rsidRDefault="002B33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BD80" w14:textId="77777777" w:rsidR="00E30FFE" w:rsidRDefault="002B33A7">
    <w:pPr>
      <w:pBdr>
        <w:bottom w:val="single" w:sz="6" w:space="0" w:color="000000"/>
      </w:pBdr>
      <w:spacing w:after="60"/>
      <w:jc w:val="center"/>
    </w:pPr>
    <w:r>
      <w:rPr>
        <w:color w:val="444444"/>
        <w:sz w:val="18"/>
        <w:szCs w:val="18"/>
      </w:rPr>
      <w:t>融合预训练语言模型的分层双路径秩融合与最优传输蛋白质功能预测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26E64" w14:textId="77777777" w:rsidR="00E30FFE" w:rsidRDefault="002B33A7">
    <w:pPr>
      <w:pBdr>
        <w:bottom w:val="single" w:sz="6" w:space="0" w:color="000000"/>
      </w:pBdr>
      <w:spacing w:after="60"/>
      <w:jc w:val="center"/>
    </w:pPr>
    <w:r>
      <w:rPr>
        <w:color w:val="444444"/>
        <w:sz w:val="18"/>
        <w:szCs w:val="18"/>
      </w:rPr>
      <w:t>融合预训练语言模型的分层双路径秩融合与最优传输蛋白质功能预测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23EFE"/>
    <w:multiLevelType w:val="hybridMultilevel"/>
    <w:tmpl w:val="CE3C54B2"/>
    <w:lvl w:ilvl="0" w:tplc="C4EAF338">
      <w:start w:val="1"/>
      <w:numFmt w:val="bullet"/>
      <w:lvlText w:val="●"/>
      <w:lvlJc w:val="left"/>
      <w:pPr>
        <w:ind w:left="720" w:hanging="360"/>
      </w:pPr>
    </w:lvl>
    <w:lvl w:ilvl="1" w:tplc="466E3DEA">
      <w:start w:val="1"/>
      <w:numFmt w:val="bullet"/>
      <w:lvlText w:val="○"/>
      <w:lvlJc w:val="left"/>
      <w:pPr>
        <w:ind w:left="1440" w:hanging="360"/>
      </w:pPr>
    </w:lvl>
    <w:lvl w:ilvl="2" w:tplc="B16C07E8">
      <w:start w:val="1"/>
      <w:numFmt w:val="bullet"/>
      <w:lvlText w:val="■"/>
      <w:lvlJc w:val="left"/>
      <w:pPr>
        <w:ind w:left="2160" w:hanging="360"/>
      </w:pPr>
    </w:lvl>
    <w:lvl w:ilvl="3" w:tplc="D17CF75E">
      <w:start w:val="1"/>
      <w:numFmt w:val="bullet"/>
      <w:lvlText w:val="●"/>
      <w:lvlJc w:val="left"/>
      <w:pPr>
        <w:ind w:left="2880" w:hanging="360"/>
      </w:pPr>
    </w:lvl>
    <w:lvl w:ilvl="4" w:tplc="8576AA88">
      <w:start w:val="1"/>
      <w:numFmt w:val="bullet"/>
      <w:lvlText w:val="○"/>
      <w:lvlJc w:val="left"/>
      <w:pPr>
        <w:ind w:left="3600" w:hanging="360"/>
      </w:pPr>
    </w:lvl>
    <w:lvl w:ilvl="5" w:tplc="D9004FBC">
      <w:start w:val="1"/>
      <w:numFmt w:val="bullet"/>
      <w:lvlText w:val="■"/>
      <w:lvlJc w:val="left"/>
      <w:pPr>
        <w:ind w:left="4320" w:hanging="360"/>
      </w:pPr>
    </w:lvl>
    <w:lvl w:ilvl="6" w:tplc="6FA4404A">
      <w:start w:val="1"/>
      <w:numFmt w:val="bullet"/>
      <w:lvlText w:val="●"/>
      <w:lvlJc w:val="left"/>
      <w:pPr>
        <w:ind w:left="5040" w:hanging="360"/>
      </w:pPr>
    </w:lvl>
    <w:lvl w:ilvl="7" w:tplc="E096853C">
      <w:start w:val="1"/>
      <w:numFmt w:val="bullet"/>
      <w:lvlText w:val="●"/>
      <w:lvlJc w:val="left"/>
      <w:pPr>
        <w:ind w:left="5760" w:hanging="360"/>
      </w:pPr>
    </w:lvl>
    <w:lvl w:ilvl="8" w:tplc="DA488EE6">
      <w:start w:val="1"/>
      <w:numFmt w:val="bullet"/>
      <w:lvlText w:val="●"/>
      <w:lvlJc w:val="left"/>
      <w:pPr>
        <w:ind w:left="6480" w:hanging="360"/>
      </w:pPr>
    </w:lvl>
  </w:abstractNum>
  <w:num w:numId="1" w16cid:durableId="432868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FFE"/>
    <w:rsid w:val="002B33A7"/>
    <w:rsid w:val="006F45F7"/>
    <w:rsid w:val="007E1C5A"/>
    <w:rsid w:val="00E30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175BC4"/>
  <w15:docId w15:val="{E1C96FC6-0721-4295-A043-6B89CC9CF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20" w:after="200"/>
      <w:outlineLvl w:val="0"/>
    </w:pPr>
    <w:rPr>
      <w:rFonts w:eastAsia="黑体"/>
      <w:b/>
      <w:bCs/>
      <w:sz w:val="32"/>
      <w:szCs w:val="32"/>
    </w:rPr>
  </w:style>
  <w:style w:type="paragraph" w:styleId="2">
    <w:name w:val="heading 2"/>
    <w:uiPriority w:val="9"/>
    <w:unhideWhenUsed/>
    <w:qFormat/>
    <w:pPr>
      <w:spacing w:before="320" w:after="140"/>
      <w:outlineLvl w:val="1"/>
    </w:pPr>
    <w:rPr>
      <w:rFonts w:eastAsia="黑体"/>
      <w:b/>
      <w:bCs/>
      <w:sz w:val="28"/>
      <w:szCs w:val="28"/>
    </w:rPr>
  </w:style>
  <w:style w:type="paragraph" w:styleId="3">
    <w:name w:val="heading 3"/>
    <w:uiPriority w:val="9"/>
    <w:semiHidden/>
    <w:unhideWhenUsed/>
    <w:qFormat/>
    <w:pPr>
      <w:spacing w:before="220" w:after="100"/>
      <w:outlineLvl w:val="2"/>
    </w:pPr>
    <w:rPr>
      <w:rFonts w:eastAsia="黑体"/>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7E1C5A"/>
  </w:style>
  <w:style w:type="paragraph" w:styleId="TOC2">
    <w:name w:val="toc 2"/>
    <w:basedOn w:val="a"/>
    <w:next w:val="a"/>
    <w:autoRedefine/>
    <w:uiPriority w:val="39"/>
    <w:unhideWhenUsed/>
    <w:rsid w:val="007E1C5A"/>
    <w:pPr>
      <w:ind w:leftChars="200" w:left="420"/>
    </w:pPr>
  </w:style>
  <w:style w:type="paragraph" w:styleId="ac">
    <w:name w:val="header"/>
    <w:basedOn w:val="a"/>
    <w:link w:val="ad"/>
    <w:uiPriority w:val="99"/>
    <w:unhideWhenUsed/>
    <w:rsid w:val="007E1C5A"/>
    <w:pPr>
      <w:tabs>
        <w:tab w:val="center" w:pos="4153"/>
        <w:tab w:val="right" w:pos="8306"/>
      </w:tabs>
      <w:snapToGrid w:val="0"/>
      <w:spacing w:line="240" w:lineRule="atLeast"/>
      <w:jc w:val="center"/>
    </w:pPr>
    <w:rPr>
      <w:sz w:val="18"/>
      <w:szCs w:val="18"/>
    </w:rPr>
  </w:style>
  <w:style w:type="character" w:customStyle="1" w:styleId="ad">
    <w:name w:val="页眉 字符"/>
    <w:basedOn w:val="a0"/>
    <w:link w:val="ac"/>
    <w:uiPriority w:val="99"/>
    <w:rsid w:val="007E1C5A"/>
    <w:rPr>
      <w:sz w:val="18"/>
      <w:szCs w:val="18"/>
    </w:rPr>
  </w:style>
  <w:style w:type="paragraph" w:styleId="ae">
    <w:name w:val="footer"/>
    <w:basedOn w:val="a"/>
    <w:link w:val="af"/>
    <w:uiPriority w:val="99"/>
    <w:unhideWhenUsed/>
    <w:rsid w:val="007E1C5A"/>
    <w:pPr>
      <w:tabs>
        <w:tab w:val="center" w:pos="4153"/>
        <w:tab w:val="right" w:pos="8306"/>
      </w:tabs>
      <w:snapToGrid w:val="0"/>
      <w:spacing w:line="240" w:lineRule="atLeast"/>
    </w:pPr>
    <w:rPr>
      <w:sz w:val="18"/>
      <w:szCs w:val="18"/>
    </w:rPr>
  </w:style>
  <w:style w:type="character" w:customStyle="1" w:styleId="af">
    <w:name w:val="页脚 字符"/>
    <w:basedOn w:val="a0"/>
    <w:link w:val="ae"/>
    <w:uiPriority w:val="99"/>
    <w:rsid w:val="007E1C5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13386</Words>
  <Characters>23324</Characters>
  <Application>Microsoft Office Word</Application>
  <DocSecurity>0</DocSecurity>
  <Lines>721</Lines>
  <Paragraphs>361</Paragraphs>
  <ScaleCrop>false</ScaleCrop>
  <Company/>
  <LinksUpToDate>false</LinksUpToDate>
  <CharactersWithSpaces>25817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Yue-xin GENG</cp:lastModifiedBy>
  <cp:revision>2</cp:revision>
  <cp:lastPrinted>2026-09-24T03:05:00Z</cp:lastPrinted>
  <dcterms:created xsi:type="dcterms:W3CDTF">2026-09-24T03:04:00Z</dcterms:created>
  <dcterms:modified xsi:type="dcterms:W3CDTF">2026-09-24T03:05:00Z</dcterms:modified>
</cp:coreProperties>
</file>