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p14">
  <w:body>
    <w:p w14:paraId="71000015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FurniScope 系统使用说明书</w:t>
      </w:r>
    </w:p>
    <w:p w14:paraId="71000016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当前企业端包含首页、产品中心、AI 工作台、销量预测、市场洞察、决策报告和企业知识库 7 个一级入口，另设独立的平台管理员端。以下按实际页面和推荐业务顺序说明，配图均来自当前验收环境。</w:t>
      </w:r>
    </w:p>
    <w:p w14:paraId="71000017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1. 企业账号与登录</w:t>
      </w:r>
    </w:p>
    <w:p w14:paraId="71000018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企业用户从登录页进入系统，填写工作邮箱和密码后登录。首次使用可提交企业开户申请，申请通过后仍使用原邮箱登录；企业账号与管理员账号不能混用。</w:t>
      </w:r>
    </w:p>
    <w:p w14:paraId="41012C05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图3-1-1 企业登录页</w:t>
      </w:r>
    </w:p>
    <w:p w14:paraId="5D5C0F9D">
      <w:pPr>
        <w:keepLines/>
        <w:spacing w:before="0" w:after="100"/>
        <w:jc w:val="center"/>
      </w:pPr>
      <w:r>
        <w:drawing>
          <wp:inline distT="0" distB="0" distL="114300" distR="114300">
            <wp:extent cx="5109210" cy="2909570"/>
            <wp:effectExtent l="0" t="0" r="21590" b="11430"/>
            <wp:docPr id="2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210" cy="290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9B5FB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图3-1-2 企业注册申请页</w:t>
      </w:r>
    </w:p>
    <w:p w14:paraId="7C75DB65">
      <w:pPr>
        <w:keepLines/>
        <w:spacing w:before="0" w:after="100"/>
        <w:jc w:val="center"/>
      </w:pPr>
      <w:r>
        <w:drawing>
          <wp:inline distT="0" distB="0" distL="114300" distR="114300">
            <wp:extent cx="4961890" cy="2828290"/>
            <wp:effectExtent l="0" t="0" r="16510" b="16510"/>
            <wp:docPr id="6" name="图片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189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6BA2C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3D007B3D">
      <w:pPr>
        <w:pStyle w:val="173"/>
        <w:numPr>
          <w:ilvl w:val="0"/>
          <w:numId w:val="1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支持企业用户登录、记住邮箱、临时显示密码和退出登录。</w:t>
      </w:r>
    </w:p>
    <w:p w14:paraId="09D29655">
      <w:pPr>
        <w:pStyle w:val="173"/>
        <w:numPr>
          <w:ilvl w:val="0"/>
          <w:numId w:val="1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忘记密码时按页面提示联系平台管理员重置，系统不会回传明文密码。</w:t>
      </w:r>
    </w:p>
    <w:p w14:paraId="522B3DFE">
      <w:pPr>
        <w:pStyle w:val="173"/>
        <w:numPr>
          <w:ilvl w:val="0"/>
          <w:numId w:val="1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申请注册需填写企业名称、联系人、工作邮箱和符合规则的密码，并等待管理员审批。</w:t>
      </w:r>
    </w:p>
    <w:p w14:paraId="0C8251F9">
      <w:pPr>
        <w:pStyle w:val="173"/>
        <w:numPr>
          <w:ilvl w:val="0"/>
          <w:numId w:val="14"/>
        </w:numPr>
        <w:spacing w:after="120" w:line="240" w:lineRule="auto"/>
        <w:ind w:left="425" w:leftChars="0" w:hanging="425" w:firstLineChars="0"/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页面底部提供平台管理员独立入口，管理员登录后不会进入企业业务数据。</w:t>
      </w:r>
    </w:p>
    <w:p w14:paraId="7100001F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2. 首页</w:t>
      </w:r>
    </w:p>
    <w:p w14:paraId="71000020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登录后的默认页用于查看企业当前业务状态，并从最近任务、异常事项和报告快速进入具体工作。</w:t>
      </w:r>
    </w:p>
    <w:p w14:paraId="71000021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22">
      <w:pPr>
        <w:pStyle w:val="173"/>
        <w:numPr>
          <w:ilvl w:val="0"/>
          <w:numId w:val="1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查看产品总数、运行中任务、待确认事项和已生成报告等核心指标。</w:t>
      </w:r>
    </w:p>
    <w:p w14:paraId="71000023">
      <w:pPr>
        <w:pStyle w:val="173"/>
        <w:numPr>
          <w:ilvl w:val="0"/>
          <w:numId w:val="1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查看最近分析任务的阶段进度、异常状态和可执行操作。</w:t>
      </w:r>
    </w:p>
    <w:p w14:paraId="71000024">
      <w:pPr>
        <w:pStyle w:val="173"/>
        <w:numPr>
          <w:ilvl w:val="0"/>
          <w:numId w:val="1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查看近期决策报告的机会分、置信度和结论标签，并直接打开详情。</w:t>
      </w:r>
    </w:p>
    <w:p w14:paraId="71000025">
      <w:pPr>
        <w:pStyle w:val="173"/>
        <w:numPr>
          <w:ilvl w:val="0"/>
          <w:numId w:val="1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通过左侧导航切换 7 个企业业务入口；待确认事项通过顶部入口集中处理。</w:t>
      </w:r>
    </w:p>
    <w:p w14:paraId="257A7398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 首页工作台长图</w:t>
      </w:r>
    </w:p>
    <w:p w14:paraId="56ABE8DF">
      <w:pPr>
        <w:keepLines/>
        <w:spacing w:before="0" w:after="100"/>
        <w:jc w:val="center"/>
      </w:pPr>
      <w:r>
        <w:drawing>
          <wp:inline distT="0" distB="0" distL="114300" distR="114300">
            <wp:extent cx="4925695" cy="3213100"/>
            <wp:effectExtent l="0" t="0" r="1905" b="12700"/>
            <wp:docPr id="9" name="图3-2 首页工作台长图" descr="图3-2 首页工作台长图" title="图3-2 首页工作台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3-2 首页工作台长图" descr="图3-2 首页工作台长图" title="图3-2 首页工作台长图"/>
                    <pic:cNvPicPr>
                      <a:picLocks noChangeAspect="1"/>
                    </pic:cNvPicPr>
                  </pic:nvPicPr>
                  <pic:blipFill>
                    <a:blip r:embed="rId9"/>
                    <a:srcRect b="10093"/>
                    <a:stretch>
                      <a:fillRect/>
                    </a:stretch>
                  </pic:blipFill>
                  <pic:spPr>
                    <a:xfrm>
                      <a:off x="0" y="0"/>
                      <a:ext cx="492569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27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3. 产品中心</w:t>
      </w:r>
    </w:p>
    <w:p w14:paraId="71000028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产品中心是企业内部产品与 SKU 的统一入口，用于新建、导入、检索、维护和确认产品数字档案，也是分析和销量预测的起点。</w:t>
      </w:r>
    </w:p>
    <w:p w14:paraId="32E3E2CC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图3-3-1 产品中心列表</w:t>
      </w:r>
    </w:p>
    <w:p w14:paraId="3D4CB1BE">
      <w:pPr>
        <w:keepLines/>
        <w:spacing w:before="0" w:after="100"/>
        <w:jc w:val="center"/>
      </w:pPr>
      <w:r>
        <w:drawing>
          <wp:inline distT="0" distB="0" distL="114300" distR="114300">
            <wp:extent cx="4767580" cy="2708275"/>
            <wp:effectExtent l="0" t="0" r="7620" b="9525"/>
            <wp:docPr id="7" name="图片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A47CB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4655EBDD">
      <w:pPr>
        <w:pStyle w:val="173"/>
        <w:numPr>
          <w:ilvl w:val="0"/>
          <w:numId w:val="1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按名称或 SKU 搜索，并按品类、时间和解析状态筛选。</w:t>
      </w:r>
    </w:p>
    <w:p w14:paraId="1A196220">
      <w:pPr>
        <w:pStyle w:val="173"/>
        <w:numPr>
          <w:ilvl w:val="0"/>
          <w:numId w:val="1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查看产品图片、品类、SKU、MOQ、成本、画像状态和关联销量信息。</w:t>
      </w:r>
    </w:p>
    <w:p w14:paraId="6C329286">
      <w:pPr>
        <w:pStyle w:val="173"/>
        <w:numPr>
          <w:ilvl w:val="0"/>
          <w:numId w:val="1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从产品卡片进入档案、发起市场分析，或将 SKU 带入销量预测。</w:t>
      </w:r>
    </w:p>
    <w:p w14:paraId="1BE552E8">
      <w:pPr>
        <w:pStyle w:val="173"/>
        <w:numPr>
          <w:ilvl w:val="0"/>
          <w:numId w:val="16"/>
        </w:numPr>
        <w:spacing w:after="120" w:line="240" w:lineRule="auto"/>
        <w:ind w:left="425" w:leftChars="0" w:hanging="425" w:firstLineChars="0"/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画像未确认、字段冲突或 SKU 关系异常时，系统会阻止正式分析并提示处理。</w:t>
      </w:r>
    </w:p>
    <w:p w14:paraId="23B4E34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图3-3-2 产品快速预览展开</w:t>
      </w:r>
    </w:p>
    <w:p w14:paraId="4AE750EF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26360"/>
            <wp:effectExtent l="0" t="0" r="13970" b="11430"/>
            <wp:docPr id="8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2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2F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3.1 单个新增产品</w:t>
      </w:r>
    </w:p>
    <w:p w14:paraId="71000030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点击“新增产品”录入 SKU、名称、品类及尺寸、材质、MOQ、成本等企业参数；可同时上传 PDF、Excel 或图片资料辅助解析。</w:t>
      </w:r>
    </w:p>
    <w:p w14:paraId="71000031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32">
      <w:pPr>
        <w:pStyle w:val="173"/>
        <w:numPr>
          <w:ilvl w:val="0"/>
          <w:numId w:val="1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SKU、名称和品类为建档核心字段；人工确认值优先于文档提取和 AI 识别值。</w:t>
      </w:r>
    </w:p>
    <w:p w14:paraId="71000033">
      <w:pPr>
        <w:pStyle w:val="173"/>
        <w:numPr>
          <w:ilvl w:val="0"/>
          <w:numId w:val="1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上传资料后可创建并解析；不上传资料时也可先建立基础档案。</w:t>
      </w:r>
    </w:p>
    <w:p w14:paraId="71000034">
      <w:pPr>
        <w:pStyle w:val="173"/>
        <w:numPr>
          <w:ilvl w:val="0"/>
          <w:numId w:val="1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解析结果需要人工核对，关键属性确认后才能进入正式分析。</w:t>
      </w:r>
    </w:p>
    <w:p w14:paraId="4344EAE8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图3-4 新增产品弹窗</w:t>
      </w:r>
    </w:p>
    <w:p w14:paraId="18BA2598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26360"/>
            <wp:effectExtent l="0" t="0" r="13970" b="11430"/>
            <wp:docPr id="10" name="图片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2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36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3.2 Excel 批量导入</w:t>
      </w:r>
    </w:p>
    <w:p w14:paraId="71000037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点击“Excel 批量导入”下载模板并上传批量产品数据。系统先进行列识别、必填项和数据类型校验，再展示可导入记录及错误记录。</w:t>
      </w:r>
    </w:p>
    <w:p w14:paraId="71000038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39">
      <w:pPr>
        <w:pStyle w:val="173"/>
        <w:numPr>
          <w:ilvl w:val="0"/>
          <w:numId w:val="1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批量导入适用于首次迁移产品目录或集中维护多个 SKU。</w:t>
      </w:r>
    </w:p>
    <w:p w14:paraId="7100003A">
      <w:pPr>
        <w:pStyle w:val="173"/>
        <w:numPr>
          <w:ilvl w:val="0"/>
          <w:numId w:val="1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错误行不会与有效行混淆；可下载错误明细，修正后重新上传。</w:t>
      </w:r>
    </w:p>
    <w:p w14:paraId="7100003B">
      <w:pPr>
        <w:pStyle w:val="173"/>
        <w:numPr>
          <w:ilvl w:val="0"/>
          <w:numId w:val="1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重复 SKU、关键字段缺失或格式不合法时按页面提示处理，避免静默覆盖。</w:t>
      </w:r>
    </w:p>
    <w:p w14:paraId="2C876C7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图3-5 产品主档批量导入向导</w:t>
      </w:r>
    </w:p>
    <w:p w14:paraId="23B4276A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29535"/>
            <wp:effectExtent l="0" t="0" r="13970" b="7620"/>
            <wp:docPr id="11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29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3D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3.3 产品档案与一致性管理</w:t>
      </w:r>
    </w:p>
    <w:p w14:paraId="7100003E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从产品列表打开档案，查看标准化画像、字段来源、置信度、确认状态及历史版本。系统同步检查 SKU 与销量、库存、目录和预测模型中的映射关系。</w:t>
      </w:r>
    </w:p>
    <w:p w14:paraId="7100003F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40">
      <w:pPr>
        <w:pStyle w:val="173"/>
        <w:numPr>
          <w:ilvl w:val="0"/>
          <w:numId w:val="1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有冲突时按“人工填写＞文档提取＞AI 识别”的原则核对，不自动覆盖已确认值。</w:t>
      </w:r>
    </w:p>
    <w:p w14:paraId="71000041">
      <w:pPr>
        <w:pStyle w:val="173"/>
        <w:numPr>
          <w:ilvl w:val="0"/>
          <w:numId w:val="1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修改 SKU 前需处理已关联的销量、库存和预测关系，保证后续数据口径一致。</w:t>
      </w:r>
    </w:p>
    <w:p w14:paraId="71000042">
      <w:pPr>
        <w:pStyle w:val="173"/>
        <w:numPr>
          <w:ilvl w:val="0"/>
          <w:numId w:val="1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确认后的产品可直接进入 AI 工作台或销量预测。</w:t>
      </w:r>
    </w:p>
    <w:p w14:paraId="712DBA2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图3-6-1 产品经营档案详情长图</w:t>
      </w:r>
    </w:p>
    <w:p w14:paraId="49D48733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26360"/>
            <wp:effectExtent l="0" t="0" r="13970" b="11430"/>
            <wp:docPr id="12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26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D06F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图3-6-2 产品基础资料编辑态</w:t>
      </w:r>
    </w:p>
    <w:p w14:paraId="01E0CB74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04770"/>
            <wp:effectExtent l="0" t="0" r="13970" b="11430"/>
            <wp:docPr id="13" name="图片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0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44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4. AI 工作台</w:t>
      </w:r>
    </w:p>
    <w:p w14:paraId="71000045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AI 工作台用于组织产品与市场分析任务。当前版本保留任务工作台、对话、节点画布、证据和人工确认能力；独立“AI 员工/Copilot”切换入口本期未开放，不作为当前用户功能。</w:t>
      </w:r>
    </w:p>
    <w:p w14:paraId="71000046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47">
      <w:pPr>
        <w:pStyle w:val="173"/>
        <w:numPr>
          <w:ilvl w:val="0"/>
          <w:numId w:val="2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创建或进入工作台，查看运行中、已完成和异常任务。</w:t>
      </w:r>
    </w:p>
    <w:p w14:paraId="71000048">
      <w:pPr>
        <w:pStyle w:val="173"/>
        <w:numPr>
          <w:ilvl w:val="0"/>
          <w:numId w:val="2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通过工作日记检索历史工作台、会话、任务和报告。</w:t>
      </w:r>
    </w:p>
    <w:p w14:paraId="71000049">
      <w:pPr>
        <w:pStyle w:val="173"/>
        <w:numPr>
          <w:ilvl w:val="0"/>
          <w:numId w:val="2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长任务由后台 Worker 执行，刷新页面后仍可恢复进度。</w:t>
      </w:r>
    </w:p>
    <w:p w14:paraId="36543215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图3-7-1 AI工作台首页</w:t>
      </w:r>
    </w:p>
    <w:p w14:paraId="7E20ECF8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60015"/>
            <wp:effectExtent l="0" t="0" r="10160" b="17145"/>
            <wp:docPr id="16" name="图3-7-1 AI工作台首页" descr="图3-7-1 AI工作台首页" title="图3-7-1 AI工作台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图3-7-1 AI工作台首页" descr="图3-7-1 AI工作台首页" title="图3-7-1 AI工作台首页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4D03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图3-7-2 工作日记列表</w:t>
      </w:r>
    </w:p>
    <w:p w14:paraId="2183563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314575"/>
            <wp:effectExtent l="0" t="0" r="10160" b="10795"/>
            <wp:docPr id="17" name="图3-7-2 工作日记列表" descr="图3-7-2 工作日记列表" title="图3-7-2 工作日记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图3-7-2 工作日记列表" descr="图3-7-2 工作日记列表" title="图3-7-2 工作日记列表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1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4B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4.1 创建分析任务</w:t>
      </w:r>
    </w:p>
    <w:p w14:paraId="7100004C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进入分析工作台后，选择产品、目标市场和授权市场数据集，可按需绑定企业知识库，再选择运行至产品理解、市场研究、机会评估、方案或完整报告。</w:t>
      </w:r>
    </w:p>
    <w:p w14:paraId="7100004D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4E">
      <w:pPr>
        <w:pStyle w:val="173"/>
        <w:numPr>
          <w:ilvl w:val="0"/>
          <w:numId w:val="2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分析对象可以分步补充，但正式结论需要满足产品画像、数据集和准入条件。</w:t>
      </w:r>
    </w:p>
    <w:p w14:paraId="7100004F">
      <w:pPr>
        <w:pStyle w:val="173"/>
        <w:numPr>
          <w:ilvl w:val="0"/>
          <w:numId w:val="2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节点画布显示执行顺序、运行状态和当前结果；上游未完成时下游不会提前执行。</w:t>
      </w:r>
    </w:p>
    <w:p w14:paraId="71000050">
      <w:pPr>
        <w:pStyle w:val="173"/>
        <w:numPr>
          <w:ilvl w:val="0"/>
          <w:numId w:val="2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字段冲突、样本不足或低置信度会触发人工确认，确认后任务继续。</w:t>
      </w:r>
    </w:p>
    <w:p w14:paraId="2EC8E626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图3-8分析工作台详情页</w:t>
      </w:r>
    </w:p>
    <w:p w14:paraId="1456E790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17470"/>
            <wp:effectExtent l="0" t="0" r="13970" b="22225"/>
            <wp:docPr id="14" name="图片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17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52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4.2 受控问数与证据引用</w:t>
      </w:r>
    </w:p>
    <w:p w14:paraId="71000053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用户可围绕当前产品、市场数据和知识资料提问。系统优先基于已绑定的数据和检索结果回答，并在结论旁提供可回看的 Citation。</w:t>
      </w:r>
    </w:p>
    <w:p w14:paraId="71000054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55">
      <w:pPr>
        <w:pStyle w:val="173"/>
        <w:numPr>
          <w:ilvl w:val="0"/>
          <w:numId w:val="2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价格、评论数量、产品参数和企业事实必须来自当前任务可访问的数据。</w:t>
      </w:r>
    </w:p>
    <w:p w14:paraId="71000056">
      <w:pPr>
        <w:pStyle w:val="173"/>
        <w:numPr>
          <w:ilvl w:val="0"/>
          <w:numId w:val="2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Citation 可回到具体数据记录或知识库原文，便于业务人员验真。</w:t>
      </w:r>
    </w:p>
    <w:p w14:paraId="71000057">
      <w:pPr>
        <w:pStyle w:val="173"/>
        <w:numPr>
          <w:ilvl w:val="0"/>
          <w:numId w:val="2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证据不足、范围不匹配或知识库无结果时，系统明确说明限制，不用推测补齐事实。</w:t>
      </w:r>
    </w:p>
    <w:p w14:paraId="71000058">
      <w:pPr>
        <w:pStyle w:val="173"/>
        <w:numPr>
          <w:ilvl w:val="0"/>
          <w:numId w:val="2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销量问题进入销量预测链路，不使用市场机会分代替销量预测。</w:t>
      </w:r>
    </w:p>
    <w:p w14:paraId="26454D50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图3-9企业知识库检索结果</w:t>
      </w:r>
    </w:p>
    <w:p w14:paraId="14A8F642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01265"/>
            <wp:effectExtent l="0" t="0" r="0" b="0"/>
            <wp:docPr id="20" name="图3-9-1 企业知识库检索结果" descr="图3-9-1 企业知识库检索结果" title="图3-9-1 企业知识库检索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3-9-1 企业知识库检索结果" descr="图3-9-1 企业知识库检索结果" title="图3-9-1 企业知识库检索结果"/>
                    <pic:cNvPicPr>
                      <a:picLocks noChangeAspect="1"/>
                    </pic:cNvPicPr>
                  </pic:nvPicPr>
                  <pic:blipFill>
                    <a:blip r:embed="rId19"/>
                    <a:srcRect b="1782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5A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5. 销量预测</w:t>
      </w:r>
    </w:p>
    <w:p w14:paraId="7100005B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销量预测以企业已映射的 SKU 和站点为对象，提供日、周及复杂业务预测，并展示模型版本、数据截止日期和评测状态。</w:t>
      </w:r>
    </w:p>
    <w:p w14:paraId="7100005C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5D">
      <w:pPr>
        <w:pStyle w:val="173"/>
        <w:numPr>
          <w:ilvl w:val="0"/>
          <w:numId w:val="2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选择一个或多个 SKU、站点、预测粒度、周期和起始日期后创建任务。</w:t>
      </w:r>
    </w:p>
    <w:p w14:paraId="7100005E">
      <w:pPr>
        <w:pStyle w:val="173"/>
        <w:numPr>
          <w:ilvl w:val="0"/>
          <w:numId w:val="2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查看点预测、预测区间、安全库存、建议产量、可靠度和模型适用说明。</w:t>
      </w:r>
    </w:p>
    <w:p w14:paraId="7100005F">
      <w:pPr>
        <w:pStyle w:val="173"/>
        <w:numPr>
          <w:ilvl w:val="0"/>
          <w:numId w:val="2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从产品中心进入时可自动带入当前 SKU。</w:t>
      </w:r>
    </w:p>
    <w:p w14:paraId="0087680D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图3-10-1 销量预测-天预测</w:t>
      </w:r>
    </w:p>
    <w:p w14:paraId="0D89DE44">
      <w:pPr>
        <w:keepLines/>
        <w:spacing w:before="0" w:after="100"/>
        <w:jc w:val="center"/>
      </w:pPr>
      <w:r>
        <w:drawing>
          <wp:inline distT="0" distB="0" distL="114300" distR="114300">
            <wp:extent cx="4617720" cy="2480945"/>
            <wp:effectExtent l="0" t="0" r="10160" b="20955"/>
            <wp:docPr id="22" name="图3-10-1 销量预测-天预测" descr="图3-10-1 销量预测-天预测" title="图3-10-1 销量预测-天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图3-10-1 销量预测-天预测" descr="图3-10-1 销量预测-天预测" title="图3-10-1 销量预测-天预测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4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5FEA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图3-10-2 销量预测-周预测</w:t>
      </w:r>
    </w:p>
    <w:p w14:paraId="3343532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480945"/>
            <wp:effectExtent l="0" t="0" r="10160" b="20955"/>
            <wp:docPr id="23" name="图3-10-2 销量预测-周预测" descr="图3-10-2 销量预测-周预测" title="图3-10-2 销量预测-周预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3-10-2 销量预测-周预测" descr="图3-10-2 销量预测-周预测" title="图3-10-2 销量预测-周预测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48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11DE7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图3-10-3 销量预测-复杂业务按天</w:t>
      </w:r>
    </w:p>
    <w:p w14:paraId="34D7D198">
      <w:pPr>
        <w:keepLines/>
        <w:spacing w:before="0" w:after="100"/>
        <w:jc w:val="center"/>
      </w:pPr>
      <w:r>
        <w:drawing>
          <wp:inline distT="0" distB="0" distL="114300" distR="114300">
            <wp:extent cx="5349240" cy="3822700"/>
            <wp:effectExtent l="0" t="0" r="10160" b="12700"/>
            <wp:docPr id="24" name="图3-10-3 销量预测-复杂业务按天" descr="图3-10-3 销量预测-复杂业务按天" title="图3-10-3 销量预测-复杂业务按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3-10-3 销量预测-复杂业务按天" descr="图3-10-3 销量预测-复杂业务按天" title="图3-10-3 销量预测-复杂业务按天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2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61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5.1 历史预测记录</w:t>
      </w:r>
    </w:p>
    <w:p w14:paraId="71000062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在“历史预测记录”Tab 中按任务名、SKU、站点、状态和粒度检索历史任务，打开结果并导出 CSV 或 JSON。</w:t>
      </w:r>
    </w:p>
    <w:p w14:paraId="71000063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64">
      <w:pPr>
        <w:pStyle w:val="173"/>
        <w:numPr>
          <w:ilvl w:val="0"/>
          <w:numId w:val="2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历史任务保留创建时间、输入范围、使用模型和执行状态。</w:t>
      </w:r>
    </w:p>
    <w:p w14:paraId="71000065">
      <w:pPr>
        <w:pStyle w:val="173"/>
        <w:numPr>
          <w:ilvl w:val="0"/>
          <w:numId w:val="2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业务复盘时应使用同一任务对应的数据版本和模型版本，避免跨版本比较。</w:t>
      </w:r>
    </w:p>
    <w:p w14:paraId="374D68D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图3-11-1 销量预测-历史预测记录</w:t>
      </w:r>
    </w:p>
    <w:p w14:paraId="73A35CC4">
      <w:pPr>
        <w:keepLines/>
        <w:spacing w:before="0" w:after="100"/>
        <w:jc w:val="center"/>
      </w:pPr>
      <w:r>
        <w:drawing>
          <wp:inline distT="0" distB="0" distL="114300" distR="114300">
            <wp:extent cx="4617720" cy="2397760"/>
            <wp:effectExtent l="0" t="0" r="0" b="20955"/>
            <wp:docPr id="18" name="图片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D877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图3-11-2 销量预测-历史结果详情</w:t>
      </w:r>
    </w:p>
    <w:p w14:paraId="0171D502">
      <w:pPr>
        <w:keepLines/>
        <w:spacing w:before="0" w:after="100"/>
        <w:jc w:val="center"/>
      </w:pPr>
      <w:r>
        <w:drawing>
          <wp:inline distT="0" distB="0" distL="114300" distR="114300">
            <wp:extent cx="4617720" cy="2421890"/>
            <wp:effectExtent l="0" t="0" r="13970" b="0"/>
            <wp:docPr id="19" name="图片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421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67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5.2 企业销量数据建模</w:t>
      </w:r>
    </w:p>
    <w:p w14:paraId="71000068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在“模型训练”Tab 中使用企业订单、销量及可选库存数据建立租户模型。首次接入推荐使用标准数据建模，少量新增历史可使用快速追加。</w:t>
      </w:r>
    </w:p>
    <w:p w14:paraId="71000069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标准数据建模流程</w:t>
      </w:r>
    </w:p>
    <w:p w14:paraId="7100006A">
      <w:pPr>
        <w:pStyle w:val="173"/>
        <w:numPr>
          <w:ilvl w:val="0"/>
          <w:numId w:val="2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上传 CSV、XLSX 或 JSON，保留原始文件和 SHA-256 数据血缘。</w:t>
      </w:r>
    </w:p>
    <w:p w14:paraId="7100006B">
      <w:pPr>
        <w:pStyle w:val="173"/>
        <w:numPr>
          <w:ilvl w:val="0"/>
          <w:numId w:val="2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配置日期、SKU、站点、销量等字段映射，并按需关联辅助数据版本。</w:t>
      </w:r>
    </w:p>
    <w:p w14:paraId="7100006C">
      <w:pPr>
        <w:pStyle w:val="173"/>
        <w:numPr>
          <w:ilvl w:val="0"/>
          <w:numId w:val="2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执行质量预检，检查缺失、重复、日期范围、异常值和覆盖度，再确认标准数据版本。</w:t>
      </w:r>
    </w:p>
    <w:p w14:paraId="7100006D">
      <w:pPr>
        <w:pStyle w:val="173"/>
        <w:numPr>
          <w:ilvl w:val="0"/>
          <w:numId w:val="2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处理未关联 SKU 的产品编码对照，确认训练范围及新增、覆盖和冲突记录。</w:t>
      </w:r>
    </w:p>
    <w:p w14:paraId="7100006E">
      <w:pPr>
        <w:pStyle w:val="173"/>
        <w:numPr>
          <w:ilvl w:val="0"/>
          <w:numId w:val="2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系统执行逐 SKU 滚动评测；评测门禁通过后原子发布新版本，失败任务不替换当前正式模型。</w:t>
      </w:r>
    </w:p>
    <w:p w14:paraId="561F3617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图3-12-1 销量预测-模型训练默认</w:t>
      </w:r>
    </w:p>
    <w:p w14:paraId="290F9DF8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13685"/>
            <wp:effectExtent l="0" t="0" r="10160" b="17145"/>
            <wp:docPr id="28" name="图3-12-1 销量预测-模型训练默认" descr="图3-12-1 销量预测-模型训练默认" title="图3-12-1 销量预测-模型训练默认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图3-12-1 销量预测-模型训练默认" descr="图3-12-1 销量预测-模型训练默认" title="图3-12-1 销量预测-模型训练默认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93A3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图3-12-2 模型训练-标准数据建模</w:t>
      </w:r>
    </w:p>
    <w:p w14:paraId="5B5A7B0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903220"/>
            <wp:effectExtent l="0" t="0" r="10160" b="14605"/>
            <wp:docPr id="29" name="图3-12-2 模型训练-标准数据建模" descr="图3-12-2 模型训练-标准数据建模" title="图3-12-2 模型训练-标准数据建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3-12-2 模型训练-标准数据建模" descr="图3-12-2 模型训练-标准数据建模" title="图3-12-2 模型训练-标准数据建模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90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70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5.3 快速追加、发布与回滚</w:t>
      </w:r>
    </w:p>
    <w:p w14:paraId="71000071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快速追加适用于字段结构稳定的增量数据。系统完成校验、合并和训练后记录版本关系；管理员可查看租户模型状态并在必要时回滚到已验证版本。</w:t>
      </w:r>
    </w:p>
    <w:p w14:paraId="71000072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73">
      <w:pPr>
        <w:pStyle w:val="173"/>
        <w:numPr>
          <w:ilvl w:val="0"/>
          <w:numId w:val="2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同日期、SKU、站点的重复记录必须显式确认覆盖策略。</w:t>
      </w:r>
    </w:p>
    <w:p w14:paraId="71000074">
      <w:pPr>
        <w:pStyle w:val="173"/>
        <w:numPr>
          <w:ilvl w:val="0"/>
          <w:numId w:val="2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训练期间继续使用当前已发布版本，只有新版本评测通过后才切换。</w:t>
      </w:r>
    </w:p>
    <w:p w14:paraId="71000075">
      <w:pPr>
        <w:pStyle w:val="173"/>
        <w:numPr>
          <w:ilvl w:val="0"/>
          <w:numId w:val="2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共享模型 sales-forecast-v4 与租户模型 tenant-xgb-v2 分层管理，租户训练不会修改其他企业模型。</w:t>
      </w:r>
    </w:p>
    <w:p w14:paraId="3FED91AC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图3-13 模型训练-快速追加</w:t>
      </w:r>
    </w:p>
    <w:p w14:paraId="2FBB23E2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13685"/>
            <wp:effectExtent l="0" t="0" r="10160" b="17145"/>
            <wp:docPr id="30" name="图3-13 模型训练-快速追加" descr="图3-13 模型训练-快速追加" title="图3-13 模型训练-快速追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3-13 模型训练-快速追加" descr="图3-13 模型训练-快速追加" title="图3-13 模型训练-快速追加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1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77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 市场洞察</w:t>
      </w:r>
    </w:p>
    <w:p w14:paraId="71000078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市场洞察是外部市场证据和经营决策的统一入口。首页展示当前分析数据集、数据健康度、五项决策能力和业务模块，可切换数据范围后进入决策中心。</w:t>
      </w:r>
    </w:p>
    <w:p w14:paraId="71000079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7A">
      <w:pPr>
        <w:pStyle w:val="173"/>
        <w:numPr>
          <w:ilvl w:val="0"/>
          <w:numId w:val="2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查看可用数据集、竞品商品、有效评论和数据缺口。</w:t>
      </w:r>
    </w:p>
    <w:p w14:paraId="7100007B">
      <w:pPr>
        <w:pStyle w:val="173"/>
        <w:numPr>
          <w:ilvl w:val="0"/>
          <w:numId w:val="2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进入 AI 智能选品、竞品动态、评论证据、智能定价和跨境合规。</w:t>
      </w:r>
    </w:p>
    <w:p w14:paraId="7100007C">
      <w:pPr>
        <w:pStyle w:val="173"/>
        <w:numPr>
          <w:ilvl w:val="0"/>
          <w:numId w:val="2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进入数据资产、竞品分析、评论舆情和自动化投递。</w:t>
      </w:r>
    </w:p>
    <w:p w14:paraId="746F7673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图3-14 市场洞察首页</w:t>
      </w:r>
    </w:p>
    <w:p w14:paraId="12696044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09215"/>
            <wp:effectExtent l="0" t="0" r="10160" b="0"/>
            <wp:docPr id="31" name="图3-14 市场洞察首页" descr="图3-14 市场洞察首页" title="图3-14 市场洞察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1" name="图3-14 市场洞察首页" descr="图3-14 市场洞察首页" title="图3-14 市场洞察首页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09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7E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6.1 市场数据资产</w:t>
      </w:r>
    </w:p>
    <w:p w14:paraId="7100007F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在“数据资产”中创建或导入企业拥有或已获授权的商品与评论数据集。系统完成结构校验、清洗、去重和质量统计后，数据集才可用于分析。</w:t>
      </w:r>
    </w:p>
    <w:p w14:paraId="71000080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81">
      <w:pPr>
        <w:pStyle w:val="173"/>
        <w:numPr>
          <w:ilvl w:val="0"/>
          <w:numId w:val="2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填写数据集名称、平台、国家或地区、品类、数据日期、来源类型和授权说明。</w:t>
      </w:r>
    </w:p>
    <w:p w14:paraId="71000082">
      <w:pPr>
        <w:pStyle w:val="173"/>
        <w:numPr>
          <w:ilvl w:val="0"/>
          <w:numId w:val="2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上传 JSON、CSV 或 Excel；商品和评论应包含稳定来源标识，便于版本和证据追踪。</w:t>
      </w:r>
    </w:p>
    <w:p w14:paraId="71000083">
      <w:pPr>
        <w:pStyle w:val="173"/>
        <w:numPr>
          <w:ilvl w:val="0"/>
          <w:numId w:val="2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在详情中切换商品与评论记录，查看有效、过滤及过滤原因，并按关键词或情感筛选。</w:t>
      </w:r>
    </w:p>
    <w:p w14:paraId="71000084">
      <w:pPr>
        <w:pStyle w:val="173"/>
        <w:numPr>
          <w:ilvl w:val="0"/>
          <w:numId w:val="2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重新导入、删除和分析绑定均保留数据版本与审计信息。</w:t>
      </w:r>
    </w:p>
    <w:p w14:paraId="59F5949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图3-15-1 市场数据资产列表</w:t>
      </w:r>
    </w:p>
    <w:p w14:paraId="5E3C8350">
      <w:pPr>
        <w:keepLines/>
        <w:spacing w:before="0" w:after="100"/>
        <w:jc w:val="center"/>
      </w:pPr>
      <w:r>
        <w:drawing>
          <wp:inline distT="0" distB="0" distL="114300" distR="114300">
            <wp:extent cx="4617720" cy="2660015"/>
            <wp:effectExtent l="0" t="0" r="10160" b="17145"/>
            <wp:docPr id="32" name="图3-15-1 市场数据资产列表" descr="图3-15-1 市场数据资产列表" title="图3-15-1 市场数据资产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图3-15-1 市场数据资产列表" descr="图3-15-1 市场数据资产列表" title="图3-15-1 市场数据资产列表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66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03BAC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图3-15-2 数据集详情-竞品商品</w:t>
      </w:r>
    </w:p>
    <w:p w14:paraId="22DBC5C9">
      <w:pPr>
        <w:keepLines/>
        <w:spacing w:before="0" w:after="100"/>
        <w:jc w:val="center"/>
      </w:pPr>
      <w:r>
        <w:drawing>
          <wp:inline distT="0" distB="0" distL="114300" distR="114300">
            <wp:extent cx="4617720" cy="2433320"/>
            <wp:effectExtent l="0" t="0" r="0" b="0"/>
            <wp:docPr id="33" name="图3-15-2 数据集详情-竞品商品Tab（第1/2段）" descr="图3-15-2 数据集详情-竞品商品Tab（第1/2段）" title="图3-15-2 数据集详情-竞品商品Tab（第1/2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3-15-2 数据集详情-竞品商品Tab（第1/2段）" descr="图3-15-2 数据集详情-竞品商品Tab（第1/2段）" title="图3-15-2 数据集详情-竞品商品Tab（第1/2段）"/>
                    <pic:cNvPicPr>
                      <a:picLocks noChangeAspect="1"/>
                    </pic:cNvPicPr>
                  </pic:nvPicPr>
                  <pic:blipFill>
                    <a:blip r:embed="rId30"/>
                    <a:srcRect b="3668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433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4F5B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图3-15-</w:t>
      </w:r>
      <w:r>
        <w:rPr>
          <w:rFonts w:hint="eastAsia" w:ascii="宋体" w:hAnsi="宋体"/>
          <w:color w:val="465662"/>
          <w:sz w:val="18"/>
          <w:lang w:val="en-US" w:eastAsia="zh-CN"/>
        </w:rPr>
        <w:t>3</w:t>
      </w:r>
      <w:r>
        <w:rPr>
          <w:rFonts w:ascii="宋体" w:hAnsi="宋体" w:eastAsia="宋体"/>
          <w:color w:val="465662"/>
          <w:sz w:val="18"/>
        </w:rPr>
        <w:t xml:space="preserve"> 数据集详情-竞品商品记录展开</w:t>
      </w:r>
    </w:p>
    <w:p w14:paraId="7D1FC63A">
      <w:pPr>
        <w:keepLines/>
        <w:spacing w:before="0" w:after="100"/>
        <w:jc w:val="center"/>
      </w:pPr>
      <w:r>
        <w:drawing>
          <wp:inline distT="0" distB="0" distL="114300" distR="114300">
            <wp:extent cx="4617720" cy="2357755"/>
            <wp:effectExtent l="0" t="0" r="0" b="0"/>
            <wp:docPr id="35" name="图3-15-4 数据集详情-竞品商品记录展开（第1/2段）" descr="图3-15-4 数据集详情-竞品商品记录展开（第1/2段）" title="图3-15-4 数据集详情-竞品商品记录展开（第1/2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5" name="图3-15-4 数据集详情-竞品商品记录展开（第1/2段）" descr="图3-15-4 数据集详情-竞品商品记录展开（第1/2段）" title="图3-15-4 数据集详情-竞品商品记录展开（第1/2段）"/>
                    <pic:cNvPicPr>
                      <a:picLocks noChangeAspect="1"/>
                    </pic:cNvPicPr>
                  </pic:nvPicPr>
                  <pic:blipFill>
                    <a:blip r:embed="rId31"/>
                    <a:srcRect b="3864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5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06B0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图3-15-</w:t>
      </w:r>
      <w:r>
        <w:rPr>
          <w:rFonts w:hint="eastAsia" w:ascii="宋体" w:hAnsi="宋体"/>
          <w:color w:val="465662"/>
          <w:sz w:val="18"/>
          <w:lang w:val="en-US" w:eastAsia="zh-CN"/>
        </w:rPr>
        <w:t>4</w:t>
      </w:r>
      <w:r>
        <w:rPr>
          <w:rFonts w:ascii="宋体" w:hAnsi="宋体" w:eastAsia="宋体"/>
          <w:color w:val="465662"/>
          <w:sz w:val="18"/>
        </w:rPr>
        <w:t xml:space="preserve"> 数据集详情-海外评论</w:t>
      </w:r>
    </w:p>
    <w:p w14:paraId="06492522">
      <w:pPr>
        <w:keepLines/>
        <w:spacing w:before="0" w:after="100"/>
        <w:jc w:val="center"/>
      </w:pPr>
      <w:r>
        <w:drawing>
          <wp:inline distT="0" distB="0" distL="114300" distR="114300">
            <wp:extent cx="4617720" cy="2046605"/>
            <wp:effectExtent l="0" t="0" r="0" b="0"/>
            <wp:docPr id="37" name="图3-15-6 数据集详情-海外评论Tab（第1/2段）" descr="图3-15-6 数据集详情-海外评论Tab（第1/2段）" title="图3-15-6 数据集详情-海外评论Tab（第1/2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7" name="图3-15-6 数据集详情-海外评论Tab（第1/2段）" descr="图3-15-6 数据集详情-海外评论Tab（第1/2段）" title="图3-15-6 数据集详情-海外评论Tab（第1/2段）"/>
                    <pic:cNvPicPr>
                      <a:picLocks noChangeAspect="1"/>
                    </pic:cNvPicPr>
                  </pic:nvPicPr>
                  <pic:blipFill>
                    <a:blip r:embed="rId32"/>
                    <a:srcRect b="4674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04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1A9E9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图3-15-</w:t>
      </w:r>
      <w:r>
        <w:rPr>
          <w:rFonts w:hint="eastAsia" w:ascii="宋体" w:hAnsi="宋体"/>
          <w:color w:val="465662"/>
          <w:sz w:val="18"/>
          <w:lang w:val="en-US" w:eastAsia="zh-CN"/>
        </w:rPr>
        <w:t>5</w:t>
      </w:r>
      <w:r>
        <w:rPr>
          <w:rFonts w:ascii="宋体" w:hAnsi="宋体" w:eastAsia="宋体"/>
          <w:color w:val="465662"/>
          <w:sz w:val="18"/>
        </w:rPr>
        <w:t xml:space="preserve"> 数据集详情-海外评论记录展开</w:t>
      </w:r>
    </w:p>
    <w:p w14:paraId="44BCBFCA">
      <w:pPr>
        <w:keepLines/>
        <w:spacing w:before="0" w:after="100"/>
        <w:jc w:val="center"/>
      </w:pPr>
      <w:r>
        <w:drawing>
          <wp:inline distT="0" distB="0" distL="114300" distR="114300">
            <wp:extent cx="4617720" cy="2179955"/>
            <wp:effectExtent l="0" t="0" r="0" b="0"/>
            <wp:docPr id="39" name="图3-15-8 数据集详情-海外评论记录展开（第1/2段）" descr="图3-15-8 数据集详情-海外评论记录展开（第1/2段）" title="图3-15-8 数据集详情-海外评论记录展开（第1/2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图3-15-8 数据集详情-海外评论记录展开（第1/2段）" descr="图3-15-8 数据集详情-海外评论记录展开（第1/2段）" title="图3-15-8 数据集详情-海外评论记录展开（第1/2段）"/>
                    <pic:cNvPicPr>
                      <a:picLocks noChangeAspect="1"/>
                    </pic:cNvPicPr>
                  </pic:nvPicPr>
                  <pic:blipFill>
                    <a:blip r:embed="rId33"/>
                    <a:srcRect b="43283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180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86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6.2 AI 智能选品</w:t>
      </w:r>
    </w:p>
    <w:p w14:paraId="71000087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智能选品根据需求强度、竞争空间、价格机会、证据充分度和企业适配度形成机会列表，帮助企业筛选值得进一步验证的品类与产品方向。</w:t>
      </w:r>
    </w:p>
    <w:p w14:paraId="71000088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89">
      <w:pPr>
        <w:pStyle w:val="173"/>
        <w:numPr>
          <w:ilvl w:val="0"/>
          <w:numId w:val="2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先确认当前数据集和目标市场，再查看机会排序、评分构成和数据缺口。</w:t>
      </w:r>
    </w:p>
    <w:p w14:paraId="7100008A">
      <w:pPr>
        <w:pStyle w:val="173"/>
        <w:numPr>
          <w:ilvl w:val="0"/>
          <w:numId w:val="2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打开机会详情核对关联竞品、评论主题、价格样本和企业修正项。</w:t>
      </w:r>
    </w:p>
    <w:p w14:paraId="7100008B">
      <w:pPr>
        <w:pStyle w:val="173"/>
        <w:numPr>
          <w:ilvl w:val="0"/>
          <w:numId w:val="2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机会分用于市场优先级判断，不等同于销量、利润或成功承诺。</w:t>
      </w:r>
    </w:p>
    <w:p w14:paraId="3CF759E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图3-16-1 市场决策-AI智能选品概览</w:t>
      </w:r>
    </w:p>
    <w:p w14:paraId="59AF7484">
      <w:pPr>
        <w:keepLines/>
        <w:spacing w:before="0" w:after="100"/>
        <w:jc w:val="center"/>
      </w:pPr>
      <w:r>
        <w:drawing>
          <wp:inline distT="0" distB="0" distL="114300" distR="114300">
            <wp:extent cx="5349240" cy="2745740"/>
            <wp:effectExtent l="0" t="0" r="0" b="0"/>
            <wp:docPr id="41" name="图3-16-1 市场决策-AI智能选品概览" descr="图3-16-1 市场决策-AI智能选品概览" title="图3-16-1 市场决策-AI智能选品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1" name="图3-16-1 市场决策-AI智能选品概览" descr="图3-16-1 市场决策-AI智能选品概览" title="图3-16-1 市场决策-AI智能选品概览"/>
                    <pic:cNvPicPr>
                      <a:picLocks noChangeAspect="1"/>
                    </pic:cNvPicPr>
                  </pic:nvPicPr>
                  <pic:blipFill>
                    <a:blip r:embed="rId34"/>
                    <a:srcRect b="5260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9FD1B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图3-16-2 市场决策-AI智能选品详情</w:t>
      </w:r>
    </w:p>
    <w:p w14:paraId="33FD61E4">
      <w:pPr>
        <w:keepLines/>
        <w:spacing w:before="0" w:after="100"/>
        <w:jc w:val="center"/>
      </w:pPr>
      <w:r>
        <w:drawing>
          <wp:inline distT="0" distB="0" distL="114300" distR="114300">
            <wp:extent cx="5465445" cy="3094355"/>
            <wp:effectExtent l="0" t="0" r="20955" b="4445"/>
            <wp:docPr id="21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6544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8D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6.3 竞品动态</w:t>
      </w:r>
    </w:p>
    <w:p w14:paraId="7100008E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竞品动态用于维护重点 Listing 监控范围，查看价格、标题、促销、主图和卖点的快照变化，并形成可下钻的竞品事件。</w:t>
      </w:r>
    </w:p>
    <w:p w14:paraId="7100008F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90">
      <w:pPr>
        <w:pStyle w:val="173"/>
        <w:numPr>
          <w:ilvl w:val="0"/>
          <w:numId w:val="3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可从市场数据加入竞品，或在授权范围内配置商品页监控。</w:t>
      </w:r>
    </w:p>
    <w:p w14:paraId="71000091">
      <w:pPr>
        <w:pStyle w:val="173"/>
        <w:numPr>
          <w:ilvl w:val="0"/>
          <w:numId w:val="3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对比不同快照版本，识别价格变化、内容调整和监控异常。</w:t>
      </w:r>
    </w:p>
    <w:p w14:paraId="71000092">
      <w:pPr>
        <w:pStyle w:val="173"/>
        <w:numPr>
          <w:ilvl w:val="0"/>
          <w:numId w:val="30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外部商品编号仅用于竞品记录，不作为企业内部 SKU。</w:t>
      </w:r>
    </w:p>
    <w:p w14:paraId="304B8C6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图3-17-1 市场决策-竞品动态概览</w:t>
      </w:r>
    </w:p>
    <w:p w14:paraId="460F01E7">
      <w:pPr>
        <w:keepLines/>
        <w:spacing w:before="0" w:after="100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349240" cy="2975610"/>
            <wp:effectExtent l="0" t="0" r="0" b="0"/>
            <wp:docPr id="43" name="图3-17-1 市场决策-竞品动态概览" descr="图3-17-1 市场决策-竞品动态概览" title="图3-17-1 市场决策-竞品动态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图3-17-1 市场决策-竞品动态概览" descr="图3-17-1 市场决策-竞品动态概览" title="图3-17-1 市场决策-竞品动态概览"/>
                    <pic:cNvPicPr>
                      <a:picLocks noChangeAspect="1"/>
                    </pic:cNvPicPr>
                  </pic:nvPicPr>
                  <pic:blipFill>
                    <a:blip r:embed="rId36"/>
                    <a:srcRect b="4784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84AB4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图3-17-</w:t>
      </w:r>
      <w:r>
        <w:rPr>
          <w:rFonts w:hint="eastAsia" w:ascii="宋体" w:hAnsi="宋体"/>
          <w:color w:val="465662"/>
          <w:sz w:val="18"/>
          <w:lang w:val="en-US" w:eastAsia="zh-CN"/>
        </w:rPr>
        <w:t>2</w:t>
      </w:r>
      <w:r>
        <w:rPr>
          <w:rFonts w:ascii="宋体" w:hAnsi="宋体" w:eastAsia="宋体"/>
          <w:color w:val="465662"/>
          <w:sz w:val="18"/>
        </w:rPr>
        <w:t xml:space="preserve"> 竞品监控工作台-价格趋势</w:t>
      </w:r>
    </w:p>
    <w:p w14:paraId="76216F8D">
      <w:pPr>
        <w:keepLines/>
        <w:spacing w:before="0" w:after="100"/>
        <w:jc w:val="center"/>
      </w:pPr>
      <w:r>
        <w:drawing>
          <wp:inline distT="0" distB="0" distL="114300" distR="114300">
            <wp:extent cx="5469255" cy="3080385"/>
            <wp:effectExtent l="0" t="0" r="17145" b="18415"/>
            <wp:docPr id="15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69255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000094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6.4 评论深挖与证据</w:t>
      </w:r>
    </w:p>
    <w:p w14:paraId="71000095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评论深挖对有效评论进行观点抽取、情感识别和需求聚类，展示高频痛点、需求强度、代表性原文和关联商品。</w:t>
      </w:r>
    </w:p>
    <w:p w14:paraId="71000096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97">
      <w:pPr>
        <w:pStyle w:val="173"/>
        <w:numPr>
          <w:ilvl w:val="0"/>
          <w:numId w:val="3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按来源、情感、关键词、主题和商品筛选评论，核对聚类是否符合业务语境。</w:t>
      </w:r>
    </w:p>
    <w:p w14:paraId="71000098">
      <w:pPr>
        <w:pStyle w:val="173"/>
        <w:numPr>
          <w:ilvl w:val="0"/>
          <w:numId w:val="3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打开证据查看原评论、来源、时间和清洗状态，避免只依据摘要决策。</w:t>
      </w:r>
    </w:p>
    <w:p w14:paraId="71000099">
      <w:pPr>
        <w:pStyle w:val="173"/>
        <w:numPr>
          <w:ilvl w:val="0"/>
          <w:numId w:val="31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公开页面采集失败、返回防护页或无有效记录时，任务标记失败，不显示虚假成功。</w:t>
      </w:r>
    </w:p>
    <w:p w14:paraId="2B0E338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图3-18-1 市场决策-评论深挖概览</w:t>
      </w:r>
    </w:p>
    <w:p w14:paraId="11362CC9">
      <w:pPr>
        <w:keepLines/>
        <w:spacing w:before="0" w:after="100"/>
        <w:jc w:val="center"/>
      </w:pPr>
      <w:r>
        <w:drawing>
          <wp:inline distT="0" distB="0" distL="114300" distR="114300">
            <wp:extent cx="5349240" cy="5245100"/>
            <wp:effectExtent l="0" t="0" r="10160" b="12700"/>
            <wp:docPr id="49" name="图3-18-1 市场决策-评论深挖概览" descr="图3-18-1 市场决策-评论深挖概览" title="图3-18-1 市场决策-评论深挖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图3-18-1 市场决策-评论深挖概览" descr="图3-18-1 市场决策-评论深挖概览" title="图3-18-1 市场决策-评论深挖概览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2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0BBA4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图3-18-2 市场决策-评论主题原文证据</w:t>
      </w:r>
    </w:p>
    <w:p w14:paraId="44D49064">
      <w:pPr>
        <w:keepLines/>
        <w:spacing w:before="0" w:after="100"/>
        <w:jc w:val="center"/>
      </w:pPr>
      <w:r>
        <w:drawing>
          <wp:inline distT="0" distB="0" distL="114300" distR="114300">
            <wp:extent cx="5262880" cy="3498215"/>
            <wp:effectExtent l="0" t="0" r="20320" b="6985"/>
            <wp:docPr id="50" name="图3-18-2 市场决策-评论主题原文证据" descr="图3-18-2 市场决策-评论主题原文证据" title="图3-18-2 市场决策-评论主题原文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3-18-2 市场决策-评论主题原文证据" descr="图3-18-2 市场决策-评论主题原文证据" title="图3-18-2 市场决策-评论主题原文证据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B71F6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图3-18-3 评论舆情工作台</w:t>
      </w:r>
    </w:p>
    <w:p w14:paraId="3893314C">
      <w:pPr>
        <w:keepLines/>
        <w:spacing w:before="0" w:after="100"/>
        <w:jc w:val="center"/>
      </w:pPr>
      <w:r>
        <w:drawing>
          <wp:inline distT="0" distB="0" distL="114300" distR="114300">
            <wp:extent cx="5207000" cy="3594100"/>
            <wp:effectExtent l="0" t="0" r="0" b="12700"/>
            <wp:docPr id="51" name="图3-18-3 评论舆情工作台" descr="图3-18-3 评论舆情工作台" title="图3-18-3 评论舆情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图3-18-3 评论舆情工作台" descr="图3-18-3 评论舆情工作台" title="图3-18-3 评论舆情工作台"/>
                    <pic:cNvPicPr>
                      <a:picLocks noChangeAspect="1"/>
                    </pic:cNvPicPr>
                  </pic:nvPicPr>
                  <pic:blipFill>
                    <a:blip r:embed="rId40"/>
                    <a:srcRect b="44739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9B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6.5 智能定价</w:t>
      </w:r>
    </w:p>
    <w:p w14:paraId="7100009C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智能定价结合竞品价格分布、产品配置、企业成本和经营规则，给出建议价格区间、定位说明和样本依据。</w:t>
      </w:r>
    </w:p>
    <w:p w14:paraId="7100009D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9E">
      <w:pPr>
        <w:pStyle w:val="173"/>
        <w:numPr>
          <w:ilvl w:val="0"/>
          <w:numId w:val="3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检查币种、站点、时间范围和样本数量，避免跨市场直接比较。</w:t>
      </w:r>
    </w:p>
    <w:p w14:paraId="7100009F">
      <w:pPr>
        <w:pStyle w:val="173"/>
        <w:numPr>
          <w:ilvl w:val="0"/>
          <w:numId w:val="3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录入或确认企业成本、目标毛利和最低可接受条件后，再评估建议区间。</w:t>
      </w:r>
    </w:p>
    <w:p w14:paraId="710000A0">
      <w:pPr>
        <w:pStyle w:val="173"/>
        <w:numPr>
          <w:ilvl w:val="0"/>
          <w:numId w:val="32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定价建议是经营决策参考，最终报价仍需结合渠道费用、物流、税费和客户条款。</w:t>
      </w:r>
    </w:p>
    <w:p w14:paraId="59E3DD18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图3-19 市场决策-智能定价</w:t>
      </w:r>
    </w:p>
    <w:p w14:paraId="5A20087A">
      <w:pPr>
        <w:keepLines/>
        <w:spacing w:before="0" w:after="100"/>
        <w:jc w:val="center"/>
      </w:pPr>
      <w:r>
        <w:drawing>
          <wp:inline distT="0" distB="0" distL="114300" distR="114300">
            <wp:extent cx="5349240" cy="4608195"/>
            <wp:effectExtent l="0" t="0" r="10160" b="14605"/>
            <wp:docPr id="52" name="图3-19 市场决策-智能定价" descr="图3-19 市场决策-智能定价" title="图3-19 市场决策-智能定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图3-19 市场决策-智能定价" descr="图3-19 市场决策-智能定价" title="图3-19 市场决策-智能定价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60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A2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6.6 跨境合规</w:t>
      </w:r>
    </w:p>
    <w:p w14:paraId="710000A3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跨境合规汇总目标市场的规则来源、风险提示和待核验事项，并将来源时间与适用范围一并展示。</w:t>
      </w:r>
    </w:p>
    <w:p w14:paraId="710000A4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A5">
      <w:pPr>
        <w:pStyle w:val="173"/>
        <w:numPr>
          <w:ilvl w:val="0"/>
          <w:numId w:val="3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按市场和产品品类查看合规来源、风险等级及更新时间。</w:t>
      </w:r>
    </w:p>
    <w:p w14:paraId="710000A6">
      <w:pPr>
        <w:pStyle w:val="173"/>
        <w:numPr>
          <w:ilvl w:val="0"/>
          <w:numId w:val="3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涉及认证、标签、材料和政策变化的事项需回到原始来源核验。</w:t>
      </w:r>
    </w:p>
    <w:p w14:paraId="710000A7">
      <w:pPr>
        <w:pStyle w:val="173"/>
        <w:numPr>
          <w:ilvl w:val="0"/>
          <w:numId w:val="33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系统提示不替代法务、认证机构或监管部门的正式意见。</w:t>
      </w:r>
    </w:p>
    <w:p w14:paraId="3A82BB4E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图3-20 市场决策-跨境合规预警</w:t>
      </w:r>
    </w:p>
    <w:p w14:paraId="32186FB3">
      <w:pPr>
        <w:keepLines/>
        <w:spacing w:before="0" w:after="100"/>
        <w:jc w:val="center"/>
      </w:pPr>
      <w:r>
        <w:drawing>
          <wp:inline distT="0" distB="0" distL="114300" distR="114300">
            <wp:extent cx="5349240" cy="3778250"/>
            <wp:effectExtent l="0" t="0" r="10160" b="6350"/>
            <wp:docPr id="53" name="图3-20 市场决策-跨境合规预警" descr="图3-20 市场决策-跨境合规预警" title="图3-20 市场决策-跨境合规预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3" name="图3-20 市场决策-跨境合规预警" descr="图3-20 市场决策-跨境合规预警" title="图3-20 市场决策-跨境合规预警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77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A9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6.7 经营配置</w:t>
      </w:r>
    </w:p>
    <w:p w14:paraId="710000AA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经营配置把企业自身能力和约束加入市场决策，共包含“排序策略、企业事实、准入条件、版本与导出”四个 Tab。</w:t>
      </w:r>
    </w:p>
    <w:p w14:paraId="710000AB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AC">
      <w:pPr>
        <w:pStyle w:val="173"/>
        <w:numPr>
          <w:ilvl w:val="0"/>
          <w:numId w:val="3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排序策略：设置增长、利润、竞争、证据和企业适配等维度的优先级。</w:t>
      </w:r>
    </w:p>
    <w:p w14:paraId="710000AD">
      <w:pPr>
        <w:pStyle w:val="173"/>
        <w:numPr>
          <w:ilvl w:val="0"/>
          <w:numId w:val="3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企业事实：维护产能、材料、工艺、成本、渠道和目标市场等可验证事实。</w:t>
      </w:r>
    </w:p>
    <w:p w14:paraId="710000AE">
      <w:pPr>
        <w:pStyle w:val="173"/>
        <w:numPr>
          <w:ilvl w:val="0"/>
          <w:numId w:val="3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准入条件：配置毛利、样本、风险、合规和制造能力等硬性门槛。</w:t>
      </w:r>
    </w:p>
    <w:p w14:paraId="710000AF">
      <w:pPr>
        <w:pStyle w:val="173"/>
        <w:numPr>
          <w:ilvl w:val="0"/>
          <w:numId w:val="34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版本与导出：查看配置修订记录、当前生效版本，并导出用于审计和复盘。</w:t>
      </w:r>
    </w:p>
    <w:p w14:paraId="720358E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图3-21-1 经营配置工作台-排序策略</w:t>
      </w:r>
    </w:p>
    <w:p w14:paraId="537CE483">
      <w:pPr>
        <w:keepLines/>
        <w:spacing w:before="0" w:after="100"/>
        <w:jc w:val="center"/>
      </w:pPr>
      <w:r>
        <w:drawing>
          <wp:inline distT="0" distB="0" distL="114300" distR="114300">
            <wp:extent cx="3657600" cy="3282315"/>
            <wp:effectExtent l="0" t="0" r="10160" b="0"/>
            <wp:docPr id="54" name="图3-21-1 经营配置工作台-排序策略" descr="图3-21-1 经营配置工作台-排序策略" title="图3-21-1 经营配置工作台-排序策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图3-21-1 经营配置工作台-排序策略" descr="图3-21-1 经营配置工作台-排序策略" title="图3-21-1 经营配置工作台-排序策略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8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A2C5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图3-21-2 经营配置工作台-企业事实</w:t>
      </w:r>
    </w:p>
    <w:p w14:paraId="68F9EB21">
      <w:pPr>
        <w:keepLines/>
        <w:spacing w:before="0" w:after="100"/>
        <w:jc w:val="center"/>
      </w:pPr>
      <w:r>
        <w:drawing>
          <wp:inline distT="0" distB="0" distL="114300" distR="114300">
            <wp:extent cx="3657600" cy="3717925"/>
            <wp:effectExtent l="0" t="0" r="0" b="15875"/>
            <wp:docPr id="55" name="图3-21-2 经营配置工作台-企业事实" descr="图3-21-2 经营配置工作台-企业事实" title="图3-21-2 经营配置工作台-企业事实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5" name="图3-21-2 经营配置工作台-企业事实" descr="图3-21-2 经营配置工作台-企业事实" title="图3-21-2 经营配置工作台-企业事实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18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381A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图3-21-3 经营配置工作台-准入条件</w:t>
      </w:r>
    </w:p>
    <w:p w14:paraId="4CBCF4D9">
      <w:pPr>
        <w:keepLines/>
        <w:spacing w:before="0" w:after="100"/>
        <w:jc w:val="center"/>
      </w:pPr>
      <w:r>
        <w:drawing>
          <wp:inline distT="0" distB="0" distL="114300" distR="114300">
            <wp:extent cx="3657600" cy="3930650"/>
            <wp:effectExtent l="0" t="0" r="10160" b="16510"/>
            <wp:docPr id="56" name="图3-21-3 经营配置工作台-准入条件" descr="图3-21-3 经营配置工作台-准入条件" title="图3-21-3 经营配置工作台-准入条件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图3-21-3 经营配置工作台-准入条件" descr="图3-21-3 经营配置工作台-准入条件" title="图3-21-3 经营配置工作台-准入条件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B744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图3-21-4 经营配置工作台-版本与导出</w:t>
      </w:r>
    </w:p>
    <w:p w14:paraId="5543E37B">
      <w:pPr>
        <w:keepLines/>
        <w:spacing w:before="0" w:after="100"/>
        <w:jc w:val="center"/>
      </w:pPr>
      <w:r>
        <w:drawing>
          <wp:inline distT="0" distB="0" distL="114300" distR="114300">
            <wp:extent cx="3657600" cy="2188210"/>
            <wp:effectExtent l="0" t="0" r="10160" b="0"/>
            <wp:docPr id="57" name="图3-21-4 经营配置工作台-版本与导出" descr="图3-21-4 经营配置工作台-版本与导出" title="图3-21-4 经营配置工作台-版本与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图3-21-4 经营配置工作台-版本与导出" descr="图3-21-4 经营配置工作台-版本与导出" title="图3-21-4 经营配置工作台-版本与导出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B1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6.8 机会决策与经营结果回流</w:t>
      </w:r>
    </w:p>
    <w:p w14:paraId="710000B2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在机会详情中将系统建议转为可追踪的业务决策。用户可选择采纳、拒绝或待验证，并持续记录实施和经营结果。</w:t>
      </w:r>
    </w:p>
    <w:p w14:paraId="710000B3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B4">
      <w:pPr>
        <w:pStyle w:val="173"/>
        <w:numPr>
          <w:ilvl w:val="0"/>
          <w:numId w:val="3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记录决策状态、原因、负责人、下一步动作和预计验证时间。</w:t>
      </w:r>
    </w:p>
    <w:p w14:paraId="710000B5">
      <w:pPr>
        <w:pStyle w:val="173"/>
        <w:numPr>
          <w:ilvl w:val="0"/>
          <w:numId w:val="3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按阶段更新打样、投产、经营观察和终止状态，保留完整时间线。</w:t>
      </w:r>
    </w:p>
    <w:p w14:paraId="710000B6">
      <w:pPr>
        <w:pStyle w:val="173"/>
        <w:numPr>
          <w:ilvl w:val="0"/>
          <w:numId w:val="3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回填销量、退货、收入、成本、毛利等结果，并关联对应产品、市场数据和预测版本。</w:t>
      </w:r>
    </w:p>
    <w:p w14:paraId="710000B7">
      <w:pPr>
        <w:pStyle w:val="173"/>
        <w:numPr>
          <w:ilvl w:val="0"/>
          <w:numId w:val="35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经营结果用于后续排序、模型校准和复盘，不反向改写当时的原始分析记录。</w:t>
      </w:r>
    </w:p>
    <w:p w14:paraId="3C561B96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图3-22 市场决策-AI智能选品概览</w:t>
      </w:r>
    </w:p>
    <w:p w14:paraId="0C637154">
      <w:pPr>
        <w:keepLines/>
        <w:spacing w:before="0" w:after="100"/>
        <w:jc w:val="center"/>
      </w:pPr>
      <w:r>
        <w:drawing>
          <wp:inline distT="0" distB="0" distL="114300" distR="114300">
            <wp:extent cx="5349240" cy="5793740"/>
            <wp:effectExtent l="0" t="0" r="10160" b="22860"/>
            <wp:docPr id="58" name="图3-22 市场决策-AI智能选品概览" descr="图3-22 市场决策-AI智能选品概览" title="图3-22 市场决策-AI智能选品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图3-22 市场决策-AI智能选品概览" descr="图3-22 市场决策-AI智能选品概览" title="图3-22 市场决策-AI智能选品概览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7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C0">
      <w:pPr>
        <w:pStyle w:val="6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6.</w:t>
      </w:r>
      <w:r>
        <w:rPr>
          <w:rFonts w:hint="eastAsia" w:eastAsia="宋体" w:cs="Times New Roman"/>
          <w:b/>
          <w:color w:val="000000" w:themeColor="text1"/>
          <w:sz w:val="22"/>
          <w:lang w:val="en-US" w:eastAsia="zh-CN"/>
          <w14:textFill>
            <w14:solidFill>
              <w14:schemeClr w14:val="tx1"/>
            </w14:solidFill>
          </w14:textFill>
        </w:rPr>
        <w:t>9</w:t>
      </w: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自动化投递</w:t>
      </w:r>
    </w:p>
    <w:p w14:paraId="710000C1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自动化投递负责把已有竞品变化或政策预警发送到外部接收渠道，不负责采集和分析。当前页面用于维护渠道及查看投递结果。</w:t>
      </w:r>
    </w:p>
    <w:p w14:paraId="710000C2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操作要点</w:t>
      </w:r>
    </w:p>
    <w:p w14:paraId="710000C3">
      <w:pPr>
        <w:pStyle w:val="173"/>
        <w:numPr>
          <w:ilvl w:val="0"/>
          <w:numId w:val="3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支持新增、编辑、删除、启用和停用 Webhook、钉钉、Slack、邮件等渠道。</w:t>
      </w:r>
    </w:p>
    <w:p w14:paraId="710000C4">
      <w:pPr>
        <w:pStyle w:val="173"/>
        <w:numPr>
          <w:ilvl w:val="0"/>
          <w:numId w:val="3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保存前核对接收地址和密钥配置，并通过连通性检查确认可达。</w:t>
      </w:r>
    </w:p>
    <w:p w14:paraId="710000C5">
      <w:pPr>
        <w:pStyle w:val="173"/>
        <w:numPr>
          <w:ilvl w:val="0"/>
          <w:numId w:val="36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投递记录显示待投递、已送达或失败状态；失败任务按策略自动重试，最多 5 次。</w:t>
      </w:r>
    </w:p>
    <w:p w14:paraId="4D4829AF">
      <w:pPr>
        <w:pStyle w:val="173"/>
        <w:numPr>
          <w:ilvl w:val="0"/>
          <w:numId w:val="36"/>
        </w:numPr>
        <w:spacing w:after="120" w:line="240" w:lineRule="auto"/>
        <w:ind w:left="425" w:leftChars="0" w:hanging="425" w:firstLineChars="0"/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比赛环境中的示例地址不代表真实外部网关已开通，生产使用前需完成渠道验收。</w:t>
      </w:r>
    </w:p>
    <w:p w14:paraId="7A5C90E6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图3-24 自动化投递</w:t>
      </w:r>
    </w:p>
    <w:p w14:paraId="02680B0A">
      <w:pPr>
        <w:keepLines/>
        <w:spacing w:before="0" w:after="100"/>
        <w:jc w:val="center"/>
      </w:pPr>
      <w:r>
        <w:drawing>
          <wp:inline distT="0" distB="0" distL="114300" distR="114300">
            <wp:extent cx="5132070" cy="4648200"/>
            <wp:effectExtent l="0" t="0" r="24130" b="0"/>
            <wp:docPr id="63" name="图3-24-2 自动化投递-新增渠道弹窗" descr="图3-24-2 自动化投递-新增渠道弹窗" title="图3-24-2 自动化投递-新增渠道弹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图3-24-2 自动化投递-新增渠道弹窗" descr="图3-24-2 自动化投递-新增渠道弹窗" title="图3-24-2 自动化投递-新增渠道弹窗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3207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C8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7. 决策报告</w:t>
      </w:r>
    </w:p>
    <w:p w14:paraId="710000C9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分析工作流完成后生成决策报告。报告列表支持检索、筛选、归档和打开详情，报告内容与生成时的数据、规则和证据版本绑定。</w:t>
      </w:r>
    </w:p>
    <w:p w14:paraId="710000CA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CB">
      <w:pPr>
        <w:pStyle w:val="173"/>
        <w:numPr>
          <w:ilvl w:val="0"/>
          <w:numId w:val="3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按产品、任务、市场、决策标签和时间查找报告。</w:t>
      </w:r>
    </w:p>
    <w:p w14:paraId="710000CC">
      <w:pPr>
        <w:pStyle w:val="173"/>
        <w:numPr>
          <w:ilvl w:val="0"/>
          <w:numId w:val="3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查看市场机会、用户与定价、评论痛点、竞品矩阵、产品建议、风险和证据目录。</w:t>
      </w:r>
    </w:p>
    <w:p w14:paraId="710000CD">
      <w:pPr>
        <w:pStyle w:val="173"/>
        <w:numPr>
          <w:ilvl w:val="0"/>
          <w:numId w:val="3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从结论下钻到商品、评论、数据集或知识库 Citation，核对原始依据。</w:t>
      </w:r>
    </w:p>
    <w:p w14:paraId="710000CE">
      <w:pPr>
        <w:pStyle w:val="173"/>
        <w:numPr>
          <w:ilvl w:val="0"/>
          <w:numId w:val="3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报告冻结后保留当时口径；后续数据更新通过新版本反映，不覆盖历史报告。</w:t>
      </w:r>
    </w:p>
    <w:p w14:paraId="710000CF">
      <w:pPr>
        <w:pStyle w:val="173"/>
        <w:numPr>
          <w:ilvl w:val="0"/>
          <w:numId w:val="37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需要提交或流转时使用页面导出功能；批量操作前先确认报告版本和归档范围。</w:t>
      </w:r>
    </w:p>
    <w:p w14:paraId="7236C8A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图3-25-1 决策报告列表</w:t>
      </w:r>
    </w:p>
    <w:p w14:paraId="37164C5A">
      <w:pPr>
        <w:keepLines/>
        <w:spacing w:before="0" w:after="100"/>
        <w:jc w:val="center"/>
      </w:pPr>
      <w:r>
        <w:drawing>
          <wp:inline distT="0" distB="0" distL="114300" distR="114300">
            <wp:extent cx="5278755" cy="2762250"/>
            <wp:effectExtent l="0" t="0" r="4445" b="6350"/>
            <wp:docPr id="65" name="图3-25-1 决策报告列表" descr="图3-25-1 决策报告列表" title="图3-25-1 决策报告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5" name="图3-25-1 决策报告列表" descr="图3-25-1 决策报告列表" title="图3-25-1 决策报告列表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36BA5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图3-25-2 决策报告详情长图</w:t>
      </w:r>
    </w:p>
    <w:p w14:paraId="0EAE555A">
      <w:pPr>
        <w:keepLines/>
        <w:spacing w:before="0" w:after="100"/>
        <w:jc w:val="center"/>
      </w:pPr>
      <w:r>
        <w:drawing>
          <wp:inline distT="0" distB="0" distL="114300" distR="114300">
            <wp:extent cx="5349240" cy="4766310"/>
            <wp:effectExtent l="0" t="0" r="0" b="0"/>
            <wp:docPr id="66" name="图3-25-2 决策报告详情长图（第1/2段）" descr="图3-25-2 决策报告详情长图（第1/2段）" title="图3-25-2 决策报告详情长图（第1/2段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图3-25-2 决策报告详情长图（第1/2段）" descr="图3-25-2 决策报告详情长图（第1/2段）" title="图3-25-2 决策报告详情长图（第1/2段）"/>
                    <pic:cNvPicPr>
                      <a:picLocks noChangeAspect="1"/>
                    </pic:cNvPicPr>
                  </pic:nvPicPr>
                  <pic:blipFill>
                    <a:blip r:embed="rId49"/>
                    <a:srcRect b="26390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8D2C">
      <w:pPr>
        <w:keepLines/>
        <w:spacing w:before="0" w:after="160"/>
        <w:jc w:val="center"/>
      </w:pPr>
    </w:p>
    <w:p w14:paraId="710000D1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8. 企业知识库</w:t>
      </w:r>
    </w:p>
    <w:p w14:paraId="710000D2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企业知识库用于沉淀产品规范、材料说明、认证资料、经营制度和历史经验，并为 AI 工作台提供可授权、可追溯的企业内部证据。</w:t>
      </w:r>
    </w:p>
    <w:p w14:paraId="710000D3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D4">
      <w:pPr>
        <w:pStyle w:val="173"/>
        <w:numPr>
          <w:ilvl w:val="0"/>
          <w:numId w:val="3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新建、编辑和删除知识库，设置企业共享或仅创建者可见。</w:t>
      </w:r>
    </w:p>
    <w:p w14:paraId="710000D5">
      <w:pPr>
        <w:pStyle w:val="173"/>
        <w:numPr>
          <w:ilvl w:val="0"/>
          <w:numId w:val="3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上传文档并查看解析、切分、向量生成、可检索或失败等索引状态。</w:t>
      </w:r>
    </w:p>
    <w:p w14:paraId="710000D6">
      <w:pPr>
        <w:pStyle w:val="173"/>
        <w:numPr>
          <w:ilvl w:val="0"/>
          <w:numId w:val="3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查看文档详情、内容预览、当前版本、历史版本和更新时间。</w:t>
      </w:r>
    </w:p>
    <w:p w14:paraId="710000D7">
      <w:pPr>
        <w:pStyle w:val="173"/>
        <w:numPr>
          <w:ilvl w:val="0"/>
          <w:numId w:val="3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使用检索验真输入业务问题，检查命中文档、原文片段和来源位置。</w:t>
      </w:r>
    </w:p>
    <w:p w14:paraId="710000D8">
      <w:pPr>
        <w:pStyle w:val="173"/>
        <w:numPr>
          <w:ilvl w:val="0"/>
          <w:numId w:val="38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在 AI 工作台绑定指定知识库后，回答仅使用当前用户有权访问的资料。</w:t>
      </w:r>
    </w:p>
    <w:p w14:paraId="0BB56BB0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图3-26-1 企业知识库默认知识库</w:t>
      </w:r>
    </w:p>
    <w:p w14:paraId="3673D29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06345"/>
            <wp:effectExtent l="0" t="0" r="10160" b="17145"/>
            <wp:docPr id="68" name="图3-26-1 企业知识库默认知识库" descr="图3-26-1 企业知识库默认知识库" title="图3-26-1 企业知识库默认知识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图3-26-1 企业知识库默认知识库" descr="图3-26-1 企业知识库默认知识库" title="图3-26-1 企业知识库默认知识库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A4523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图3-26-2 企业知识库切换-北美市场证据</w:t>
      </w:r>
    </w:p>
    <w:p w14:paraId="434EBED5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06345"/>
            <wp:effectExtent l="0" t="0" r="10160" b="17145"/>
            <wp:docPr id="69" name="图3-26-2 企业知识库切换-北美市场证据" descr="图3-26-2 企业知识库切换-北美市场证据" title="图3-26-2 企业知识库切换-北美市场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图3-26-2 企业知识库切换-北美市场证据" descr="图3-26-2 企业知识库切换-北美市场证据" title="图3-26-2 企业知识库切换-北美市场证据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6778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图3-26-3 企业知识库切换-产品与制造知识</w:t>
      </w:r>
    </w:p>
    <w:p w14:paraId="33D7C645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06345"/>
            <wp:effectExtent l="0" t="0" r="10160" b="17145"/>
            <wp:docPr id="70" name="图3-26-3 企业知识库切换-产品与制造知识" descr="图3-26-3 企业知识库切换-产品与制造知识" title="图3-26-3 企业知识库切换-产品与制造知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图3-26-3 企业知识库切换-产品与制造知识" descr="图3-26-3 企业知识库切换-产品与制造知识" title="图3-26-3 企业知识库切换-产品与制造知识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0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BB81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图3-26-4 企业知识库检索结果</w:t>
      </w:r>
    </w:p>
    <w:p w14:paraId="7A120A84">
      <w:pPr>
        <w:keepLines/>
        <w:spacing w:before="0" w:after="100"/>
        <w:jc w:val="center"/>
      </w:pPr>
      <w:r>
        <w:drawing>
          <wp:inline distT="0" distB="0" distL="114300" distR="114300">
            <wp:extent cx="4617720" cy="3043555"/>
            <wp:effectExtent l="0" t="0" r="10160" b="4445"/>
            <wp:docPr id="71" name="图3-26-4 企业知识库检索结果" descr="图3-26-4 企业知识库检索结果" title="图3-26-4 企业知识库检索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1" name="图3-26-4 企业知识库检索结果" descr="图3-26-4 企业知识库检索结果" title="图3-26-4 企业知识库检索结果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30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553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图3-26-5 企业知识库文档快速预览</w:t>
      </w:r>
    </w:p>
    <w:p w14:paraId="12DC811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15870"/>
            <wp:effectExtent l="0" t="0" r="0" b="0"/>
            <wp:docPr id="72" name="图3-26-5 企业知识库文档快速预览" descr="图3-26-5 企业知识库文档快速预览" title="图3-26-5 企业知识库文档快速预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图3-26-5 企业知识库文档快速预览" descr="图3-26-5 企业知识库文档快速预览" title="图3-26-5 企业知识库文档快速预览"/>
                    <pic:cNvPicPr>
                      <a:picLocks noChangeAspect="1"/>
                    </pic:cNvPicPr>
                  </pic:nvPicPr>
                  <pic:blipFill>
                    <a:blip r:embed="rId53"/>
                    <a:srcRect b="56385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1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3BE3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图3-26-6 企业知识库文档详情长图</w:t>
      </w:r>
    </w:p>
    <w:p w14:paraId="7A179526">
      <w:pPr>
        <w:keepLines/>
        <w:spacing w:before="0" w:after="100"/>
        <w:jc w:val="center"/>
      </w:pPr>
      <w:r>
        <w:drawing>
          <wp:inline distT="0" distB="0" distL="114300" distR="114300">
            <wp:extent cx="4617720" cy="2260600"/>
            <wp:effectExtent l="0" t="0" r="0" b="0"/>
            <wp:docPr id="73" name="图3-26-6 企业知识库文档详情长图" descr="图3-26-6 企业知识库文档详情长图" title="图3-26-6 企业知识库文档详情长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3" name="图3-26-6 企业知识库文档详情长图" descr="图3-26-6 企业知识库文档详情长图" title="图3-26-6 企业知识库文档详情长图"/>
                    <pic:cNvPicPr>
                      <a:picLocks noChangeAspect="1"/>
                    </pic:cNvPicPr>
                  </pic:nvPicPr>
                  <pic:blipFill>
                    <a:blip r:embed="rId54"/>
                    <a:srcRect b="60804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26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8FB6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图3-26-7 知识库文档工作表-七个入口</w:t>
      </w:r>
    </w:p>
    <w:p w14:paraId="2EECF2AE">
      <w:pPr>
        <w:keepLines/>
        <w:spacing w:before="0" w:after="100"/>
        <w:jc w:val="center"/>
      </w:pPr>
      <w:r>
        <w:drawing>
          <wp:inline distT="0" distB="0" distL="114300" distR="114300">
            <wp:extent cx="4617720" cy="2175510"/>
            <wp:effectExtent l="0" t="0" r="0" b="0"/>
            <wp:docPr id="74" name="图3-26-7 知识库文档工作表-七个入口" descr="图3-26-7 知识库文档工作表-七个入口" title="图3-26-7 知识库文档工作表-七个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图3-26-7 知识库文档工作表-七个入口" descr="图3-26-7 知识库文档工作表-七个入口" title="图3-26-7 知识库文档工作表-七个入口"/>
                    <pic:cNvPicPr>
                      <a:picLocks noChangeAspect="1"/>
                    </pic:cNvPicPr>
                  </pic:nvPicPr>
                  <pic:blipFill>
                    <a:blip r:embed="rId55"/>
                    <a:srcRect b="62286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17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0400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图3-26-8 知识库文档工作表-决策流程</w:t>
      </w:r>
    </w:p>
    <w:p w14:paraId="5C218380">
      <w:pPr>
        <w:keepLines/>
        <w:spacing w:before="0" w:after="100"/>
        <w:jc w:val="center"/>
      </w:pPr>
      <w:r>
        <w:drawing>
          <wp:inline distT="0" distB="0" distL="114300" distR="114300">
            <wp:extent cx="4617720" cy="2187575"/>
            <wp:effectExtent l="0" t="0" r="0" b="0"/>
            <wp:docPr id="75" name="图3-26-8 知识库文档工作表-决策流程" descr="图3-26-8 知识库文档工作表-决策流程" title="图3-26-8 知识库文档工作表-决策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图3-26-8 知识库文档工作表-决策流程" descr="图3-26-8 知识库文档工作表-决策流程" title="图3-26-8 知识库文档工作表-决策流程"/>
                    <pic:cNvPicPr>
                      <a:picLocks noChangeAspect="1"/>
                    </pic:cNvPicPr>
                  </pic:nvPicPr>
                  <pic:blipFill>
                    <a:blip r:embed="rId56"/>
                    <a:srcRect b="6207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18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BD07B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图3-26-9 知识库文档工作表-知识规则</w:t>
      </w:r>
    </w:p>
    <w:p w14:paraId="0CF8157F">
      <w:pPr>
        <w:keepLines/>
        <w:spacing w:before="0" w:after="100"/>
        <w:jc w:val="center"/>
      </w:pPr>
      <w:r>
        <w:drawing>
          <wp:inline distT="0" distB="0" distL="114300" distR="114300">
            <wp:extent cx="4617720" cy="2319020"/>
            <wp:effectExtent l="0" t="0" r="0" b="0"/>
            <wp:docPr id="76" name="图3-26-9 知识库文档工作表-知识规则" descr="图3-26-9 知识库文档工作表-知识规则" title="图3-26-9 知识库文档工作表-知识规则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图3-26-9 知识库文档工作表-知识规则" descr="图3-26-9 知识库文档工作表-知识规则" title="图3-26-9 知识库文档工作表-知识规则"/>
                    <pic:cNvPicPr>
                      <a:picLocks noChangeAspect="1"/>
                    </pic:cNvPicPr>
                  </pic:nvPicPr>
                  <pic:blipFill>
                    <a:blip r:embed="rId57"/>
                    <a:srcRect b="59797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3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00DA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9. 平台管理员端</w:t>
      </w:r>
    </w:p>
    <w:p w14:paraId="710000DB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平台管理员通过独立登录页进入控制中心，负责企业账号、注册审批、功能授权和租户预测模型状态。管理员端与企业业务工作台隔离。</w:t>
      </w:r>
    </w:p>
    <w:p w14:paraId="710000DC">
      <w:pPr>
        <w:pStyle w:val="4"/>
        <w:spacing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本页功能</w:t>
      </w:r>
    </w:p>
    <w:p w14:paraId="710000DD">
      <w:pPr>
        <w:pStyle w:val="173"/>
        <w:numPr>
          <w:ilvl w:val="0"/>
          <w:numId w:val="3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创建企业租户和初始账号，审批或拒绝企业注册申请。</w:t>
      </w:r>
    </w:p>
    <w:p w14:paraId="710000DE">
      <w:pPr>
        <w:pStyle w:val="173"/>
        <w:numPr>
          <w:ilvl w:val="0"/>
          <w:numId w:val="3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搜索、启停和维护企业账号，配置销量预测与市场分析权限。</w:t>
      </w:r>
    </w:p>
    <w:p w14:paraId="710000DF">
      <w:pPr>
        <w:pStyle w:val="173"/>
        <w:numPr>
          <w:ilvl w:val="0"/>
          <w:numId w:val="3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查看租户当前模型版本、数据截止日期、可用 SKU 和训练状态。</w:t>
      </w:r>
    </w:p>
    <w:p w14:paraId="710000E0">
      <w:pPr>
        <w:pStyle w:val="173"/>
        <w:numPr>
          <w:ilvl w:val="0"/>
          <w:numId w:val="39"/>
        </w:numPr>
        <w:spacing w:after="120" w:line="240" w:lineRule="auto"/>
        <w:ind w:left="425" w:leftChars="0" w:hanging="425" w:firstLine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执行模型开通、停用或回滚时保留审计记录；失败训练不会替换正式版本。</w:t>
      </w:r>
    </w:p>
    <w:p w14:paraId="032A9852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图3-27-1 平台管理员登录页</w:t>
      </w:r>
    </w:p>
    <w:p w14:paraId="476C2199">
      <w:pPr>
        <w:keepLines/>
        <w:spacing w:before="0" w:after="100"/>
        <w:jc w:val="center"/>
      </w:pPr>
      <w:r>
        <w:drawing>
          <wp:inline distT="0" distB="0" distL="114300" distR="114300">
            <wp:extent cx="4617720" cy="2580640"/>
            <wp:effectExtent l="0" t="0" r="13970" b="14605"/>
            <wp:docPr id="26" name="图片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15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58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E04BA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图3-27-2 管理后台-企业用户与租户生命周期</w:t>
      </w:r>
    </w:p>
    <w:p w14:paraId="5FA78DC1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86075"/>
            <wp:effectExtent l="0" t="0" r="13970" b="14605"/>
            <wp:docPr id="79" name="admin-enterprise-users.png" descr="图3-27-2 管理后台-企业用户与租户生命周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" name="admin-enterprise-users.png" descr="图3-27-2 管理后台-企业用户与租户生命周期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D6BA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图3-27-3 管理后台-开通企业用户</w:t>
      </w:r>
    </w:p>
    <w:p w14:paraId="2182EEDC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86075"/>
            <wp:effectExtent l="0" t="0" r="13970" b="14605"/>
            <wp:docPr id="80" name="admin-create-enterprise-modal.png" descr="图3-27-3 管理后台-开通企业用户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admin-create-enterprise-modal.png" descr="图3-27-3 管理后台-开通企业用户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1D6CD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图3-27-4 管理后台-租户预测模型</w:t>
      </w:r>
    </w:p>
    <w:p w14:paraId="7C118298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86075"/>
            <wp:effectExtent l="0" t="0" r="13970" b="14605"/>
            <wp:docPr id="81" name="admin-forecast-models.png" descr="图3-27-4 管理后台-租户预测模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1" name="admin-forecast-models.png" descr="图3-27-4 管理后台-租户预测模型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303F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图3-27-5 管理后台-模型更新说明</w:t>
      </w:r>
    </w:p>
    <w:p w14:paraId="192664AE">
      <w:pPr>
        <w:keepLines/>
        <w:spacing w:before="0" w:after="100"/>
        <w:jc w:val="center"/>
      </w:pPr>
      <w:r>
        <w:drawing>
          <wp:inline distT="0" distB="0" distL="114300" distR="114300">
            <wp:extent cx="4617720" cy="2886075"/>
            <wp:effectExtent l="0" t="0" r="13970" b="14605"/>
            <wp:docPr id="82" name="admin-model-update-modal.png" descr="图3-27-5 管理后台-模型更新说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admin-model-update-modal.png" descr="图3-27-5 管理后台-模型更新说明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00020">
      <w:pPr>
        <w:pStyle w:val="5"/>
        <w:keepNext/>
        <w:keepLines/>
        <w:spacing w:before="240" w:after="120" w:line="240" w:lineRule="auto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/>
          <w:color w:val="000000" w:themeColor="text1"/>
          <w:sz w:val="22"/>
          <w14:textFill>
            <w14:solidFill>
              <w14:schemeClr w14:val="tx1"/>
            </w14:solidFill>
          </w14:textFill>
        </w:rPr>
        <w:t>10. 按业务目标选择使用路径</w:t>
      </w:r>
    </w:p>
    <w:p w14:paraId="72000021">
      <w:pPr>
        <w:pStyle w:val="169"/>
        <w:spacing w:after="120" w:line="240" w:lineRule="auto"/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b w:val="0"/>
          <w:bCs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>系统没有一条要求所有模块依次完成的固定操作顺序。用户应根据当前目标选择以下路径，产品、知识、经营规则和数据版本在各路径之间复用。</w:t>
      </w:r>
    </w:p>
    <w:p w14:paraId="55626AA4">
      <w:pPr>
        <w:keepNext/>
        <w:keepLines/>
        <w:spacing w:before="100" w:after="40"/>
        <w:jc w:val="center"/>
      </w:pPr>
      <w:r>
        <w:rPr>
          <w:rFonts w:ascii="宋体" w:hAnsi="宋体" w:eastAsia="宋体"/>
          <w:color w:val="465662"/>
          <w:sz w:val="18"/>
        </w:rPr>
        <w:t>图3-28 三条业务链路与企业资产底座关系</w:t>
      </w:r>
    </w:p>
    <w:p w14:paraId="3860F9AA">
      <w:pPr>
        <w:pStyle w:val="4"/>
        <w:ind w:left="0" w:leftChars="0" w:firstLine="0" w:firstLineChars="0"/>
      </w:pPr>
      <w:r>
        <w:drawing>
          <wp:inline distT="0" distB="0" distL="114300" distR="114300">
            <wp:extent cx="5486400" cy="3490595"/>
            <wp:effectExtent l="0" t="0" r="0" b="14605"/>
            <wp:docPr id="78" name="图3-28 三条业务链路与企业资产底座关系" descr="图3-28 三条业务链路与企业资产底座关系" title="图3-28 三条业务链路与企业资产底座关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图3-28 三条业务链路与企业资产底座关系" descr="图3-28 三条业务链路与企业资产底座关系" title="图3-28 三条业务链路与企业资产底座关系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0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AAE5">
      <w:pPr>
        <w:pStyle w:val="173"/>
        <w:numPr>
          <w:ilvl w:val="0"/>
          <w:numId w:val="0"/>
        </w:numPr>
        <w:spacing w:after="120" w:line="240" w:lineRule="auto"/>
        <w:ind w:leftChars="0"/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路径 A｜产品与市场决策：准备或选择产品和授权市场数据 → 进入 AI 工作台运行产品级完整分析，或直接在市场洞察查看五项决策 → 核验证据与必要确认 → 查看报告并对机会记录采纳、拒绝或待验证 → 采纳后跟踪实施与经营观察 → 复盘并更新资料。</w:t>
      </w:r>
    </w:p>
    <w:p w14:paraId="4B814740">
      <w:pPr>
        <w:pStyle w:val="173"/>
        <w:numPr>
          <w:ilvl w:val="0"/>
          <w:numId w:val="0"/>
        </w:numPr>
        <w:spacing w:after="120" w:line="240" w:lineRule="auto"/>
        <w:ind w:leftChars="0"/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路径 B｜销量建模与预测：确认产品中心标准 SKU → 在销量预测中完成标准数据建模、滚动评测和模型发布 → 创建日/周预测 → 将后续真实销量用于偏差复盘和追加训练。该路径按需使用，不是市场分析的前置条件。</w:t>
      </w:r>
    </w:p>
    <w:p w14:paraId="560D2BE9">
      <w:pPr>
        <w:pStyle w:val="173"/>
        <w:numPr>
          <w:ilvl w:val="0"/>
          <w:numId w:val="0"/>
        </w:numPr>
        <w:spacing w:after="120" w:line="240" w:lineRule="auto"/>
        <w:ind w:leftChars="0"/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路径 C｜持续市场监测：维护市场数据、竞品监控和评论舆情 → 查看 Listing、价格、评论主题或合规来源变化 → 将已有预警通过通知渠道投递 → 用户回到相关证据和机会页面处理。</w:t>
      </w:r>
    </w:p>
    <w:p w14:paraId="4974060C">
      <w:pPr>
        <w:pStyle w:val="173"/>
        <w:numPr>
          <w:ilvl w:val="0"/>
          <w:numId w:val="0"/>
        </w:numPr>
        <w:spacing w:after="120" w:line="240" w:lineRule="auto"/>
        <w:ind w:leftChars="0"/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共用支撑资产：产品主档、企业知识库、企业事实、排序策略、准入条件和数据版本按变化维护，在新任务中选择或冻结；不需要每次分析重新建立。</w:t>
      </w:r>
    </w:p>
    <w:p w14:paraId="72000026">
      <w:pPr>
        <w:pStyle w:val="173"/>
        <w:numPr>
          <w:ilvl w:val="0"/>
          <w:numId w:val="0"/>
        </w:numPr>
        <w:spacing w:after="120" w:line="240" w:lineRule="auto"/>
        <w:ind w:leftChars="0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宋体" w:cs="Times New Roman"/>
          <w:color w:val="000000" w:themeColor="text1"/>
          <w:sz w:val="22"/>
          <w14:textFill>
            <w14:solidFill>
              <w14:schemeClr w14:val="tx1"/>
            </w14:solidFill>
          </w14:textFill>
        </w:rPr>
        <w:t>关键边界：市场机会分不等于销量预测；通知投递不代替分析和决策；采纳不等于实施成功；经营观察和企业填报财务不直接证明机会产生了因果收益。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苹方-简">
    <w:altName w:val="Times New Roman"/>
    <w:panose1 w:val="020B0600000000000000"/>
    <w:charset w:val="00"/>
    <w:family w:val="auto"/>
    <w:pitch w:val="default"/>
    <w:sig w:usb0="00000000" w:usb1="00000000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libri Light">
    <w:altName w:val="Helvetica Neue"/>
    <w:panose1 w:val="020F0302020204030204"/>
    <w:charset w:val="00"/>
    <w:family w:val="auto"/>
    <w:pitch w:val="default"/>
    <w:sig w:usb0="00000000" w:usb1="00000000" w:usb2="00000009" w:usb3="00000000" w:csb0="2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CE98B4"/>
    <w:multiLevelType w:val="singleLevel"/>
    <w:tmpl w:val="ABCE98B4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79F53F5"/>
    <w:multiLevelType w:val="singleLevel"/>
    <w:tmpl w:val="B79F53F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FBEE91C"/>
    <w:multiLevelType w:val="singleLevel"/>
    <w:tmpl w:val="BFBEE91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F8BB47B"/>
    <w:multiLevelType w:val="singleLevel"/>
    <w:tmpl w:val="CF8BB47B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4">
    <w:nsid w:val="D76D3D81"/>
    <w:multiLevelType w:val="singleLevel"/>
    <w:tmpl w:val="D76D3D8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DCBD614B"/>
    <w:multiLevelType w:val="singleLevel"/>
    <w:tmpl w:val="DCBD614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FDFBB6F"/>
    <w:multiLevelType w:val="singleLevel"/>
    <w:tmpl w:val="DFDFBB6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7CF36E5"/>
    <w:multiLevelType w:val="singleLevel"/>
    <w:tmpl w:val="E7CF36E5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EAAF6BF7"/>
    <w:multiLevelType w:val="singleLevel"/>
    <w:tmpl w:val="EAAF6BF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EADF5D5B"/>
    <w:multiLevelType w:val="singleLevel"/>
    <w:tmpl w:val="EADF5D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AFE2038"/>
    <w:multiLevelType w:val="singleLevel"/>
    <w:tmpl w:val="EAFE203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EBFF505E"/>
    <w:multiLevelType w:val="singleLevel"/>
    <w:tmpl w:val="EBFF505E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ECE7F774"/>
    <w:multiLevelType w:val="singleLevel"/>
    <w:tmpl w:val="ECE7F774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13">
    <w:nsid w:val="EF6F6442"/>
    <w:multiLevelType w:val="singleLevel"/>
    <w:tmpl w:val="EF6F644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F67FD8DF"/>
    <w:multiLevelType w:val="singleLevel"/>
    <w:tmpl w:val="F67FD8DF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F6FEEC11"/>
    <w:multiLevelType w:val="singleLevel"/>
    <w:tmpl w:val="F6FEEC11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FDBFCF4C"/>
    <w:multiLevelType w:val="singleLevel"/>
    <w:tmpl w:val="FDBFCF4C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FDF60DF0"/>
    <w:multiLevelType w:val="singleLevel"/>
    <w:tmpl w:val="FDF60DF0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FE3ECC2B"/>
    <w:multiLevelType w:val="singleLevel"/>
    <w:tmpl w:val="FE3ECC2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FFDF6326"/>
    <w:multiLevelType w:val="singleLevel"/>
    <w:tmpl w:val="FFDF6326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FFED9742"/>
    <w:multiLevelType w:val="singleLevel"/>
    <w:tmpl w:val="FFED9742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21">
    <w:nsid w:val="FFF73378"/>
    <w:multiLevelType w:val="singleLevel"/>
    <w:tmpl w:val="FFF7337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FFF7E367"/>
    <w:multiLevelType w:val="singleLevel"/>
    <w:tmpl w:val="FFF7E367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4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5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26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27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8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9">
    <w:nsid w:val="0F3AF50D"/>
    <w:multiLevelType w:val="singleLevel"/>
    <w:tmpl w:val="0F3AF50D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0">
    <w:nsid w:val="16ED24E8"/>
    <w:multiLevelType w:val="singleLevel"/>
    <w:tmpl w:val="16ED24E8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1">
    <w:nsid w:val="2CECE3C2"/>
    <w:multiLevelType w:val="singleLevel"/>
    <w:tmpl w:val="2CECE3C2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2">
    <w:nsid w:val="3DFD51C9"/>
    <w:multiLevelType w:val="singleLevel"/>
    <w:tmpl w:val="3DFD51C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3">
    <w:nsid w:val="41C00401"/>
    <w:multiLevelType w:val="singleLevel"/>
    <w:tmpl w:val="41C00401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4">
    <w:nsid w:val="4A74C3FA"/>
    <w:multiLevelType w:val="singleLevel"/>
    <w:tmpl w:val="4A74C3FA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35">
    <w:nsid w:val="4E5F8B3D"/>
    <w:multiLevelType w:val="singleLevel"/>
    <w:tmpl w:val="4E5F8B3D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6">
    <w:nsid w:val="56EE4ACC"/>
    <w:multiLevelType w:val="singleLevel"/>
    <w:tmpl w:val="56EE4ACC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abstractNum w:abstractNumId="37">
    <w:nsid w:val="73ED6F08"/>
    <w:multiLevelType w:val="singleLevel"/>
    <w:tmpl w:val="73ED6F08"/>
    <w:lvl w:ilvl="0" w:tentative="0">
      <w:start w:val="1"/>
      <w:numFmt w:val="decimal"/>
      <w:suff w:val="nothing"/>
      <w:lvlText w:val="%1."/>
      <w:lvlJc w:val="left"/>
      <w:pPr>
        <w:ind w:left="865" w:hanging="425"/>
      </w:pPr>
      <w:rPr>
        <w:rFonts w:hint="default"/>
      </w:rPr>
    </w:lvl>
  </w:abstractNum>
  <w:abstractNum w:abstractNumId="38">
    <w:nsid w:val="7AF47D39"/>
    <w:multiLevelType w:val="singleLevel"/>
    <w:tmpl w:val="7AF47D3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39">
    <w:nsid w:val="7BEA8E58"/>
    <w:multiLevelType w:val="singleLevel"/>
    <w:tmpl w:val="7BEA8E58"/>
    <w:lvl w:ilvl="0" w:tentative="0">
      <w:start w:val="1"/>
      <w:numFmt w:val="decimal"/>
      <w:suff w:val="space"/>
      <w:lvlText w:val="%1."/>
      <w:lvlJc w:val="left"/>
      <w:pPr>
        <w:ind w:left="0" w:firstLine="480"/>
      </w:pPr>
      <w:rPr>
        <w:rFonts w:hint="default"/>
      </w:rPr>
    </w:lvl>
  </w:abstractNum>
  <w:abstractNum w:abstractNumId="40">
    <w:nsid w:val="7D3F375B"/>
    <w:multiLevelType w:val="singleLevel"/>
    <w:tmpl w:val="7D3F375B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4"/>
  </w:num>
  <w:num w:numId="2">
    <w:abstractNumId w:val="27"/>
  </w:num>
  <w:num w:numId="3">
    <w:abstractNumId w:val="28"/>
  </w:num>
  <w:num w:numId="4">
    <w:abstractNumId w:val="25"/>
  </w:num>
  <w:num w:numId="5">
    <w:abstractNumId w:val="23"/>
  </w:num>
  <w:num w:numId="6">
    <w:abstractNumId w:val="26"/>
  </w:num>
  <w:num w:numId="7">
    <w:abstractNumId w:val="39"/>
  </w:num>
  <w:num w:numId="8">
    <w:abstractNumId w:val="33"/>
  </w:num>
  <w:num w:numId="9">
    <w:abstractNumId w:val="20"/>
  </w:num>
  <w:num w:numId="10">
    <w:abstractNumId w:val="29"/>
  </w:num>
  <w:num w:numId="11">
    <w:abstractNumId w:val="3"/>
  </w:num>
  <w:num w:numId="12">
    <w:abstractNumId w:val="37"/>
  </w:num>
  <w:num w:numId="13">
    <w:abstractNumId w:val="36"/>
  </w:num>
  <w:num w:numId="14">
    <w:abstractNumId w:val="0"/>
  </w:num>
  <w:num w:numId="15">
    <w:abstractNumId w:val="17"/>
  </w:num>
  <w:num w:numId="16">
    <w:abstractNumId w:val="31"/>
  </w:num>
  <w:num w:numId="17">
    <w:abstractNumId w:val="21"/>
  </w:num>
  <w:num w:numId="18">
    <w:abstractNumId w:val="11"/>
  </w:num>
  <w:num w:numId="19">
    <w:abstractNumId w:val="8"/>
  </w:num>
  <w:num w:numId="20">
    <w:abstractNumId w:val="40"/>
  </w:num>
  <w:num w:numId="21">
    <w:abstractNumId w:val="14"/>
  </w:num>
  <w:num w:numId="22">
    <w:abstractNumId w:val="10"/>
  </w:num>
  <w:num w:numId="23">
    <w:abstractNumId w:val="18"/>
  </w:num>
  <w:num w:numId="24">
    <w:abstractNumId w:val="7"/>
  </w:num>
  <w:num w:numId="25">
    <w:abstractNumId w:val="22"/>
  </w:num>
  <w:num w:numId="26">
    <w:abstractNumId w:val="5"/>
  </w:num>
  <w:num w:numId="27">
    <w:abstractNumId w:val="4"/>
  </w:num>
  <w:num w:numId="28">
    <w:abstractNumId w:val="16"/>
  </w:num>
  <w:num w:numId="29">
    <w:abstractNumId w:val="19"/>
  </w:num>
  <w:num w:numId="30">
    <w:abstractNumId w:val="32"/>
  </w:num>
  <w:num w:numId="31">
    <w:abstractNumId w:val="15"/>
  </w:num>
  <w:num w:numId="32">
    <w:abstractNumId w:val="2"/>
  </w:num>
  <w:num w:numId="33">
    <w:abstractNumId w:val="30"/>
  </w:num>
  <w:num w:numId="34">
    <w:abstractNumId w:val="1"/>
  </w:num>
  <w:num w:numId="35">
    <w:abstractNumId w:val="9"/>
  </w:num>
  <w:num w:numId="36">
    <w:abstractNumId w:val="13"/>
  </w:num>
  <w:num w:numId="37">
    <w:abstractNumId w:val="6"/>
  </w:num>
  <w:num w:numId="38">
    <w:abstractNumId w:val="38"/>
  </w:num>
  <w:num w:numId="39">
    <w:abstractNumId w:val="35"/>
  </w:num>
  <w:num w:numId="40">
    <w:abstractNumId w:val="34"/>
  </w:num>
  <w:num w:numId="4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6055D8"/>
    <w:rsid w:val="2AC76F92"/>
    <w:rsid w:val="2B2A35D0"/>
    <w:rsid w:val="2C920007"/>
    <w:rsid w:val="345F06BD"/>
    <w:rsid w:val="3ABA3195"/>
    <w:rsid w:val="3ADC5FCB"/>
    <w:rsid w:val="3AEF0F5F"/>
    <w:rsid w:val="3DFD48FA"/>
    <w:rsid w:val="3E174EC3"/>
    <w:rsid w:val="3EC5217F"/>
    <w:rsid w:val="41122F43"/>
    <w:rsid w:val="42103C9C"/>
    <w:rsid w:val="45F3687E"/>
    <w:rsid w:val="4BF453E8"/>
    <w:rsid w:val="4D873CDD"/>
    <w:rsid w:val="4EFAFB15"/>
    <w:rsid w:val="4FC20054"/>
    <w:rsid w:val="53BBDB0C"/>
    <w:rsid w:val="53DBB7ED"/>
    <w:rsid w:val="56755377"/>
    <w:rsid w:val="5BDD1927"/>
    <w:rsid w:val="600D6620"/>
    <w:rsid w:val="645D07FF"/>
    <w:rsid w:val="67564D51"/>
    <w:rsid w:val="675D2A1E"/>
    <w:rsid w:val="69A04061"/>
    <w:rsid w:val="6BF236F2"/>
    <w:rsid w:val="6EF1286D"/>
    <w:rsid w:val="6FF1B6C9"/>
    <w:rsid w:val="719A3A8C"/>
    <w:rsid w:val="72E346C8"/>
    <w:rsid w:val="745A31AD"/>
    <w:rsid w:val="74FF16AB"/>
    <w:rsid w:val="7877285E"/>
    <w:rsid w:val="7BFFB676"/>
    <w:rsid w:val="7C6D24C9"/>
    <w:rsid w:val="7DBD4288"/>
    <w:rsid w:val="7F765DF3"/>
    <w:rsid w:val="7F9E4FC7"/>
    <w:rsid w:val="7FFB16FD"/>
    <w:rsid w:val="A6EF2142"/>
    <w:rsid w:val="BB3D26AF"/>
    <w:rsid w:val="BF44F22D"/>
    <w:rsid w:val="BFEF56A9"/>
    <w:rsid w:val="CDD7D18E"/>
    <w:rsid w:val="D39639D5"/>
    <w:rsid w:val="D5B55805"/>
    <w:rsid w:val="D7F26462"/>
    <w:rsid w:val="DE7BAB76"/>
    <w:rsid w:val="DE7BFBBF"/>
    <w:rsid w:val="DFFFF97A"/>
    <w:rsid w:val="EB47F5E1"/>
    <w:rsid w:val="F3FD131F"/>
    <w:rsid w:val="F5B3FE4A"/>
    <w:rsid w:val="F6DF1832"/>
    <w:rsid w:val="F777BCAB"/>
    <w:rsid w:val="FD351AD2"/>
    <w:rsid w:val="FD58FBEA"/>
    <w:rsid w:val="FDEF84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qFormat="1" w:uiPriority="9" w:semiHidden="0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4"/>
    <w:link w:val="154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5">
    <w:name w:val="heading 2"/>
    <w:basedOn w:val="1"/>
    <w:next w:val="4"/>
    <w:link w:val="168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6">
    <w:name w:val="heading 3"/>
    <w:basedOn w:val="1"/>
    <w:next w:val="4"/>
    <w:link w:val="167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7">
    <w:name w:val="heading 4"/>
    <w:basedOn w:val="1"/>
    <w:next w:val="1"/>
    <w:link w:val="141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5"/>
    <w:next w:val="1"/>
    <w:link w:val="143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9">
    <w:name w:val="heading 6"/>
    <w:next w:val="1"/>
    <w:link w:val="163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10">
    <w:name w:val="heading 7"/>
    <w:next w:val="1"/>
    <w:link w:val="14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1">
    <w:name w:val="heading 8"/>
    <w:next w:val="1"/>
    <w:link w:val="165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2">
    <w:name w:val="heading 9"/>
    <w:next w:val="1"/>
    <w:link w:val="162"/>
    <w:semiHidden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4">
    <w:name w:val="Body Text"/>
    <w:basedOn w:val="1"/>
    <w:link w:val="138"/>
    <w:unhideWhenUsed/>
    <w:uiPriority w:val="99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semiHidden/>
    <w:unhideWhenUsed/>
    <w:qFormat/>
    <w:uiPriority w:val="35"/>
    <w:pPr>
      <w:spacing w:line="240" w:lineRule="auto"/>
    </w:pPr>
    <w:rPr>
      <w:b/>
      <w:bCs/>
      <w:color w:val="4874CB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Block Text"/>
    <w:basedOn w:val="4"/>
    <w:next w:val="4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宋体" w:cs="Times New Roman"/>
      <w:sz w:val="22"/>
    </w:r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6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5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next w:val="1"/>
    <w:qFormat/>
    <w:uiPriority w:val="11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Body Text 2"/>
    <w:basedOn w:val="1"/>
    <w:link w:val="151"/>
    <w:unhideWhenUsed/>
    <w:qFormat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2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3">
    <w:name w:val="Title"/>
    <w:next w:val="1"/>
    <w:qFormat/>
    <w:uiPriority w:val="1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2E54A1" w:themeColor="accent1" w:themeShade="BF"/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874CB" w:themeColor="accent1" w:sz="8" w:space="0"/>
          <w:left w:val="nil"/>
          <w:bottom w:val="single" w:color="4874C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C65F10" w:themeColor="accent2" w:themeShade="BF"/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E822F" w:themeColor="accent2" w:sz="8" w:space="0"/>
          <w:left w:val="nil"/>
          <w:bottom w:val="single" w:color="EE822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B68C02" w:themeColor="accent3" w:themeShade="BF"/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2BA02" w:themeColor="accent3" w:sz="8" w:space="0"/>
          <w:left w:val="nil"/>
          <w:bottom w:val="single" w:color="F2BA02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588E32" w:themeColor="accent4" w:themeShade="BF"/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5BD42" w:themeColor="accent4" w:sz="8" w:space="0"/>
          <w:left w:val="nil"/>
          <w:bottom w:val="single" w:color="75BD4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249087" w:themeColor="accent5" w:themeShade="BF"/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30C0B4" w:themeColor="accent5" w:sz="8" w:space="0"/>
          <w:left w:val="nil"/>
          <w:bottom w:val="single" w:color="30C0B4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C81D31" w:themeColor="accent6" w:themeShade="BF"/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54C5E" w:themeColor="accent6" w:sz="8" w:space="0"/>
          <w:left w:val="nil"/>
          <w:bottom w:val="single" w:color="E54C5E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</w:style>
  <w:style w:type="table" w:styleId="46">
    <w:name w:val="Light List Accent 3"/>
    <w:basedOn w:val="34"/>
    <w:qFormat/>
    <w:uiPriority w:val="61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1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874CB" w:themeColor="accent1" w:sz="6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</w:tcPr>
    </w:tblStylePr>
    <w:tblStylePr w:type="band1Vert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  <w:shd w:val="clear" w:color="auto" w:fill="D1DCF2" w:themeFill="accent1" w:themeFillTint="3F"/>
      </w:tcPr>
    </w:tblStylePr>
    <w:tblStylePr w:type="band2Horz">
      <w:tblPr/>
      <w:tcPr>
        <w:tcBorders>
          <w:top w:val="single" w:color="4874CB" w:themeColor="accent1" w:sz="8" w:space="0"/>
          <w:left w:val="single" w:color="4874CB" w:themeColor="accent1" w:sz="8" w:space="0"/>
          <w:bottom w:val="single" w:color="4874CB" w:themeColor="accent1" w:sz="8" w:space="0"/>
          <w:right w:val="single" w:color="4874CB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1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E822F" w:themeColor="accent2" w:sz="6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</w:tcPr>
    </w:tblStylePr>
    <w:tblStylePr w:type="band1Vert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  <w:shd w:val="clear" w:color="auto" w:fill="FAE0CB" w:themeFill="accent2" w:themeFillTint="3F"/>
      </w:tcPr>
    </w:tblStylePr>
    <w:tblStylePr w:type="band2Horz">
      <w:tblPr/>
      <w:tcPr>
        <w:tcBorders>
          <w:top w:val="single" w:color="EE822F" w:themeColor="accent2" w:sz="8" w:space="0"/>
          <w:left w:val="single" w:color="EE822F" w:themeColor="accent2" w:sz="8" w:space="0"/>
          <w:bottom w:val="single" w:color="EE822F" w:themeColor="accent2" w:sz="8" w:space="0"/>
          <w:right w:val="single" w:color="EE822F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1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2BA02" w:themeColor="accent3" w:sz="6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</w:tcPr>
    </w:tblStylePr>
    <w:tblStylePr w:type="band1Vert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  <w:shd w:val="clear" w:color="auto" w:fill="FEEFBD" w:themeFill="accent3" w:themeFillTint="3F"/>
      </w:tcPr>
    </w:tblStylePr>
    <w:tblStylePr w:type="band2Horz">
      <w:tblPr/>
      <w:tcPr>
        <w:tcBorders>
          <w:top w:val="single" w:color="F2BA02" w:themeColor="accent3" w:sz="8" w:space="0"/>
          <w:left w:val="single" w:color="F2BA02" w:themeColor="accent3" w:sz="8" w:space="0"/>
          <w:bottom w:val="single" w:color="F2BA02" w:themeColor="accent3" w:sz="8" w:space="0"/>
          <w:right w:val="single" w:color="F2BA02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1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5BD42" w:themeColor="accent4" w:sz="6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</w:tcPr>
    </w:tblStylePr>
    <w:tblStylePr w:type="band1Vert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  <w:shd w:val="clear" w:color="auto" w:fill="DCEED0" w:themeFill="accent4" w:themeFillTint="3F"/>
      </w:tcPr>
    </w:tblStylePr>
    <w:tblStylePr w:type="band2Horz">
      <w:tblPr/>
      <w:tcPr>
        <w:tcBorders>
          <w:top w:val="single" w:color="75BD42" w:themeColor="accent4" w:sz="8" w:space="0"/>
          <w:left w:val="single" w:color="75BD42" w:themeColor="accent4" w:sz="8" w:space="0"/>
          <w:bottom w:val="single" w:color="75BD42" w:themeColor="accent4" w:sz="8" w:space="0"/>
          <w:right w:val="single" w:color="75BD4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1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30C0B4" w:themeColor="accent5" w:sz="6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</w:tcPr>
    </w:tblStylePr>
    <w:tblStylePr w:type="band1Vert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  <w:shd w:val="clear" w:color="auto" w:fill="C9F1EE" w:themeFill="accent5" w:themeFillTint="3F"/>
      </w:tcPr>
    </w:tblStylePr>
    <w:tblStylePr w:type="band2Horz">
      <w:tblPr/>
      <w:tcPr>
        <w:tcBorders>
          <w:top w:val="single" w:color="30C0B4" w:themeColor="accent5" w:sz="8" w:space="0"/>
          <w:left w:val="single" w:color="30C0B4" w:themeColor="accent5" w:sz="8" w:space="0"/>
          <w:bottom w:val="single" w:color="30C0B4" w:themeColor="accent5" w:sz="8" w:space="0"/>
          <w:right w:val="single" w:color="30C0B4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1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54C5E" w:themeColor="accent6" w:sz="6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</w:tcPr>
    </w:tblStylePr>
    <w:tblStylePr w:type="band1Vert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  <w:shd w:val="clear" w:color="auto" w:fill="F8D2D7" w:themeFill="accent6" w:themeFillTint="3F"/>
      </w:tcPr>
    </w:tblStylePr>
    <w:tblStylePr w:type="band2Horz">
      <w:tblPr/>
      <w:tcPr>
        <w:tcBorders>
          <w:top w:val="single" w:color="E54C5E" w:themeColor="accent6" w:sz="8" w:space="0"/>
          <w:left w:val="single" w:color="E54C5E" w:themeColor="accent6" w:sz="8" w:space="0"/>
          <w:bottom w:val="single" w:color="E54C5E" w:themeColor="accent6" w:sz="8" w:space="0"/>
          <w:right w:val="single" w:color="E54C5E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596D8" w:themeColor="accent1" w:themeTint="BF" w:sz="8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596D8" w:themeColor="accent1" w:themeTint="BF" w:sz="6" w:space="0"/>
          <w:left w:val="single" w:color="7596D8" w:themeColor="accent1" w:themeTint="BF" w:sz="8" w:space="0"/>
          <w:bottom w:val="single" w:color="7596D8" w:themeColor="accent1" w:themeTint="BF" w:sz="8" w:space="0"/>
          <w:right w:val="single" w:color="7596D8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C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2A163" w:themeColor="accent2" w:themeTint="BF" w:sz="8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2A163" w:themeColor="accent2" w:themeTint="BF" w:sz="6" w:space="0"/>
          <w:left w:val="single" w:color="F2A163" w:themeColor="accent2" w:themeTint="BF" w:sz="8" w:space="0"/>
          <w:bottom w:val="single" w:color="F2A163" w:themeColor="accent2" w:themeTint="BF" w:sz="8" w:space="0"/>
          <w:right w:val="single" w:color="F2A163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0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DCF39" w:themeColor="accent3" w:themeTint="BF" w:sz="8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DCF39" w:themeColor="accent3" w:themeTint="BF" w:sz="6" w:space="0"/>
          <w:left w:val="single" w:color="FDCF39" w:themeColor="accent3" w:themeTint="BF" w:sz="8" w:space="0"/>
          <w:bottom w:val="single" w:color="FDCF39" w:themeColor="accent3" w:themeTint="BF" w:sz="8" w:space="0"/>
          <w:right w:val="single" w:color="FDCF39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FBD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7CD71" w:themeColor="accent4" w:themeTint="BF" w:sz="8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7CD71" w:themeColor="accent4" w:themeTint="BF" w:sz="6" w:space="0"/>
          <w:left w:val="single" w:color="97CD71" w:themeColor="accent4" w:themeTint="BF" w:sz="8" w:space="0"/>
          <w:bottom w:val="single" w:color="97CD71" w:themeColor="accent4" w:themeTint="BF" w:sz="8" w:space="0"/>
          <w:right w:val="single" w:color="97CD71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EED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5DD6CC" w:themeColor="accent5" w:themeTint="BF" w:sz="8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DD6CC" w:themeColor="accent5" w:themeTint="BF" w:sz="6" w:space="0"/>
          <w:left w:val="single" w:color="5DD6CC" w:themeColor="accent5" w:themeTint="BF" w:sz="8" w:space="0"/>
          <w:bottom w:val="single" w:color="5DD6CC" w:themeColor="accent5" w:themeTint="BF" w:sz="8" w:space="0"/>
          <w:right w:val="single" w:color="5DD6C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1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EB7886" w:themeColor="accent6" w:themeTint="BF" w:sz="8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B7886" w:themeColor="accent6" w:themeTint="BF" w:sz="6" w:space="0"/>
          <w:left w:val="single" w:color="EB7886" w:themeColor="accent6" w:themeTint="BF" w:sz="8" w:space="0"/>
          <w:bottom w:val="single" w:color="EB7886" w:themeColor="accent6" w:themeTint="BF" w:sz="8" w:space="0"/>
          <w:right w:val="single" w:color="EB7886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D2D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bottom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874CB" w:themeColor="accent1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874CB" w:themeColor="accent1" w:sz="8" w:space="0"/>
          <w:bottom w:val="single" w:color="4874CB" w:themeColor="accent1" w:sz="8" w:space="0"/>
        </w:tcBorders>
      </w:tcPr>
    </w:tblStylePr>
    <w:tblStylePr w:type="band1Vert">
      <w:tblPr/>
      <w:tcPr>
        <w:shd w:val="clear" w:color="auto" w:fill="D1DCF2" w:themeFill="accent1" w:themeFillTint="3F"/>
      </w:tcPr>
    </w:tblStylePr>
    <w:tblStylePr w:type="band1Horz">
      <w:tblPr/>
      <w:tcPr>
        <w:shd w:val="clear" w:color="auto" w:fill="D1DCF2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bottom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E822F" w:themeColor="accent2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E822F" w:themeColor="accent2" w:sz="8" w:space="0"/>
          <w:bottom w:val="single" w:color="EE822F" w:themeColor="accent2" w:sz="8" w:space="0"/>
        </w:tcBorders>
      </w:tcPr>
    </w:tblStylePr>
    <w:tblStylePr w:type="band1Vert">
      <w:tblPr/>
      <w:tcPr>
        <w:shd w:val="clear" w:color="auto" w:fill="FAE0CB" w:themeFill="accent2" w:themeFillTint="3F"/>
      </w:tcPr>
    </w:tblStylePr>
    <w:tblStylePr w:type="band1Horz">
      <w:tblPr/>
      <w:tcPr>
        <w:shd w:val="clear" w:color="auto" w:fill="FAE0CB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bottom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2BA02" w:themeColor="accent3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2BA02" w:themeColor="accent3" w:sz="8" w:space="0"/>
          <w:bottom w:val="single" w:color="F2BA02" w:themeColor="accent3" w:sz="8" w:space="0"/>
        </w:tcBorders>
      </w:tcPr>
    </w:tblStylePr>
    <w:tblStylePr w:type="band1Vert">
      <w:tblPr/>
      <w:tcPr>
        <w:shd w:val="clear" w:color="auto" w:fill="FEEFBD" w:themeFill="accent3" w:themeFillTint="3F"/>
      </w:tcPr>
    </w:tblStylePr>
    <w:tblStylePr w:type="band1Horz">
      <w:tblPr/>
      <w:tcPr>
        <w:shd w:val="clear" w:color="auto" w:fill="FEEFBD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bottom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5BD42" w:themeColor="accent4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75BD42" w:themeColor="accent4" w:sz="8" w:space="0"/>
          <w:bottom w:val="single" w:color="75BD42" w:themeColor="accent4" w:sz="8" w:space="0"/>
        </w:tcBorders>
      </w:tcPr>
    </w:tblStylePr>
    <w:tblStylePr w:type="band1Vert">
      <w:tblPr/>
      <w:tcPr>
        <w:shd w:val="clear" w:color="auto" w:fill="DCEED0" w:themeFill="accent4" w:themeFillTint="3F"/>
      </w:tcPr>
    </w:tblStylePr>
    <w:tblStylePr w:type="band1Horz">
      <w:tblPr/>
      <w:tcPr>
        <w:shd w:val="clear" w:color="auto" w:fill="DCEED0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bottom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30C0B4" w:themeColor="accent5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30C0B4" w:themeColor="accent5" w:sz="8" w:space="0"/>
          <w:bottom w:val="single" w:color="30C0B4" w:themeColor="accent5" w:sz="8" w:space="0"/>
        </w:tcBorders>
      </w:tcPr>
    </w:tblStylePr>
    <w:tblStylePr w:type="band1Vert">
      <w:tblPr/>
      <w:tcPr>
        <w:shd w:val="clear" w:color="auto" w:fill="C9F1EE" w:themeFill="accent5" w:themeFillTint="3F"/>
      </w:tcPr>
    </w:tblStylePr>
    <w:tblStylePr w:type="band1Horz">
      <w:tblPr/>
      <w:tcPr>
        <w:shd w:val="clear" w:color="auto" w:fill="C9F1EE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bottom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54C5E" w:themeColor="accent6" w:sz="8" w:space="0"/>
        </w:tcBorders>
      </w:tcPr>
    </w:tblStylePr>
    <w:tblStylePr w:type="lastRow">
      <w:rPr>
        <w:b/>
        <w:bCs/>
        <w:color w:val="44546A" w:themeColor="text2"/>
        <w14:textFill>
          <w14:solidFill>
            <w14:schemeClr w14:val="tx2"/>
          </w14:solidFill>
        </w14:textFill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54C5E" w:themeColor="accent6" w:sz="8" w:space="0"/>
          <w:bottom w:val="single" w:color="E54C5E" w:themeColor="accent6" w:sz="8" w:space="0"/>
        </w:tcBorders>
      </w:tcPr>
    </w:tblStylePr>
    <w:tblStylePr w:type="band1Vert">
      <w:tblPr/>
      <w:tcPr>
        <w:shd w:val="clear" w:color="auto" w:fill="F8D2D7" w:themeFill="accent6" w:themeFillTint="3F"/>
      </w:tcPr>
    </w:tblStylePr>
    <w:tblStylePr w:type="band1Horz">
      <w:tblPr/>
      <w:tcPr>
        <w:shd w:val="clear" w:color="auto" w:fill="F8D2D7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874C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874CB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874C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874C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C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E822F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E822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E822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0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2BA02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2BA02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2BA02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FBD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5BD4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5BD4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5BD4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EED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30C0B4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30C0B4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30C0B4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1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54C5E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54C5E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54C5E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D2D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596D8" w:themeColor="accent1" w:themeTint="BF" w:sz="8" w:space="0"/>
        <w:left w:val="single" w:color="7596D8" w:themeColor="accent1" w:themeTint="BF" w:sz="8" w:space="0"/>
        <w:bottom w:val="single" w:color="7596D8" w:themeColor="accent1" w:themeTint="BF" w:sz="8" w:space="0"/>
        <w:right w:val="single" w:color="7596D8" w:themeColor="accent1" w:themeTint="BF" w:sz="8" w:space="0"/>
        <w:insideH w:val="single" w:color="7596D8" w:themeColor="accent1" w:themeTint="BF" w:sz="8" w:space="0"/>
        <w:insideV w:val="single" w:color="7596D8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596D8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F2A163" w:themeColor="accent2" w:themeTint="BF" w:sz="8" w:space="0"/>
        <w:left w:val="single" w:color="F2A163" w:themeColor="accent2" w:themeTint="BF" w:sz="8" w:space="0"/>
        <w:bottom w:val="single" w:color="F2A163" w:themeColor="accent2" w:themeTint="BF" w:sz="8" w:space="0"/>
        <w:right w:val="single" w:color="F2A163" w:themeColor="accent2" w:themeTint="BF" w:sz="8" w:space="0"/>
        <w:insideH w:val="single" w:color="F2A163" w:themeColor="accent2" w:themeTint="BF" w:sz="8" w:space="0"/>
        <w:insideV w:val="single" w:color="F2A163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2A163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FDCF39" w:themeColor="accent3" w:themeTint="BF" w:sz="8" w:space="0"/>
        <w:left w:val="single" w:color="FDCF39" w:themeColor="accent3" w:themeTint="BF" w:sz="8" w:space="0"/>
        <w:bottom w:val="single" w:color="FDCF39" w:themeColor="accent3" w:themeTint="BF" w:sz="8" w:space="0"/>
        <w:right w:val="single" w:color="FDCF39" w:themeColor="accent3" w:themeTint="BF" w:sz="8" w:space="0"/>
        <w:insideH w:val="single" w:color="FDCF39" w:themeColor="accent3" w:themeTint="BF" w:sz="8" w:space="0"/>
        <w:insideV w:val="single" w:color="FDCF39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DCF39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7CD71" w:themeColor="accent4" w:themeTint="BF" w:sz="8" w:space="0"/>
        <w:left w:val="single" w:color="97CD71" w:themeColor="accent4" w:themeTint="BF" w:sz="8" w:space="0"/>
        <w:bottom w:val="single" w:color="97CD71" w:themeColor="accent4" w:themeTint="BF" w:sz="8" w:space="0"/>
        <w:right w:val="single" w:color="97CD71" w:themeColor="accent4" w:themeTint="BF" w:sz="8" w:space="0"/>
        <w:insideH w:val="single" w:color="97CD71" w:themeColor="accent4" w:themeTint="BF" w:sz="8" w:space="0"/>
        <w:insideV w:val="single" w:color="97CD71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7CD71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5DD6CC" w:themeColor="accent5" w:themeTint="BF" w:sz="8" w:space="0"/>
        <w:left w:val="single" w:color="5DD6CC" w:themeColor="accent5" w:themeTint="BF" w:sz="8" w:space="0"/>
        <w:bottom w:val="single" w:color="5DD6CC" w:themeColor="accent5" w:themeTint="BF" w:sz="8" w:space="0"/>
        <w:right w:val="single" w:color="5DD6CC" w:themeColor="accent5" w:themeTint="BF" w:sz="8" w:space="0"/>
        <w:insideH w:val="single" w:color="5DD6CC" w:themeColor="accent5" w:themeTint="BF" w:sz="8" w:space="0"/>
        <w:insideV w:val="single" w:color="5DD6CC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5DD6C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EB7886" w:themeColor="accent6" w:themeTint="BF" w:sz="8" w:space="0"/>
        <w:left w:val="single" w:color="EB7886" w:themeColor="accent6" w:themeTint="BF" w:sz="8" w:space="0"/>
        <w:bottom w:val="single" w:color="EB7886" w:themeColor="accent6" w:themeTint="BF" w:sz="8" w:space="0"/>
        <w:right w:val="single" w:color="EB7886" w:themeColor="accent6" w:themeTint="BF" w:sz="8" w:space="0"/>
        <w:insideH w:val="single" w:color="EB7886" w:themeColor="accent6" w:themeTint="BF" w:sz="8" w:space="0"/>
        <w:insideV w:val="single" w:color="EB7886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B7886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874CB" w:themeColor="accent1" w:sz="8" w:space="0"/>
        <w:left w:val="single" w:color="4874CB" w:themeColor="accent1" w:sz="8" w:space="0"/>
        <w:bottom w:val="single" w:color="4874CB" w:themeColor="accent1" w:sz="8" w:space="0"/>
        <w:right w:val="single" w:color="4874CB" w:themeColor="accent1" w:sz="8" w:space="0"/>
        <w:insideH w:val="single" w:color="4874CB" w:themeColor="accent1" w:sz="8" w:space="0"/>
        <w:insideV w:val="single" w:color="4874CB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1F9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3F4" w:themeFill="accent1" w:themeFillTint="33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3B9E5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8" w:space="0"/>
        <w:left w:val="single" w:color="EE822F" w:themeColor="accent2" w:sz="8" w:space="0"/>
        <w:bottom w:val="single" w:color="EE822F" w:themeColor="accent2" w:sz="8" w:space="0"/>
        <w:right w:val="single" w:color="EE822F" w:themeColor="accent2" w:sz="8" w:space="0"/>
        <w:insideH w:val="single" w:color="EE822F" w:themeColor="accent2" w:sz="8" w:space="0"/>
        <w:insideV w:val="single" w:color="EE822F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5D5" w:themeFill="accent2" w:themeFillTint="33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6C097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8" w:space="0"/>
        <w:left w:val="single" w:color="F2BA02" w:themeColor="accent3" w:sz="8" w:space="0"/>
        <w:bottom w:val="single" w:color="F2BA02" w:themeColor="accent3" w:sz="8" w:space="0"/>
        <w:right w:val="single" w:color="F2BA02" w:themeColor="accent3" w:sz="8" w:space="0"/>
        <w:insideH w:val="single" w:color="F2BA02" w:themeColor="accent3" w:sz="8" w:space="0"/>
        <w:insideV w:val="single" w:color="F2BA02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8E5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CA" w:themeFill="accent3" w:themeFillTint="33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DDF7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8" w:space="0"/>
        <w:left w:val="single" w:color="75BD42" w:themeColor="accent4" w:sz="8" w:space="0"/>
        <w:bottom w:val="single" w:color="75BD42" w:themeColor="accent4" w:sz="8" w:space="0"/>
        <w:right w:val="single" w:color="75BD42" w:themeColor="accent4" w:sz="8" w:space="0"/>
        <w:insideH w:val="single" w:color="75BD42" w:themeColor="accent4" w:sz="8" w:space="0"/>
        <w:insideV w:val="single" w:color="75BD4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1F8EC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F1D9" w:themeFill="accent4" w:themeFillTint="33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ADEA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8" w:space="0"/>
        <w:left w:val="single" w:color="30C0B4" w:themeColor="accent5" w:sz="8" w:space="0"/>
        <w:bottom w:val="single" w:color="30C0B4" w:themeColor="accent5" w:sz="8" w:space="0"/>
        <w:right w:val="single" w:color="30C0B4" w:themeColor="accent5" w:sz="8" w:space="0"/>
        <w:insideH w:val="single" w:color="30C0B4" w:themeColor="accent5" w:sz="8" w:space="0"/>
        <w:insideV w:val="single" w:color="30C0B4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9F9F8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4F1" w:themeFill="accent5" w:themeFillTint="33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93E4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8" w:space="0"/>
        <w:left w:val="single" w:color="E54C5E" w:themeColor="accent6" w:sz="8" w:space="0"/>
        <w:bottom w:val="single" w:color="E54C5E" w:themeColor="accent6" w:sz="8" w:space="0"/>
        <w:right w:val="single" w:color="E54C5E" w:themeColor="accent6" w:sz="8" w:space="0"/>
        <w:insideH w:val="single" w:color="E54C5E" w:themeColor="accent6" w:sz="8" w:space="0"/>
        <w:insideV w:val="single" w:color="E54C5E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CEDEF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DE" w:themeFill="accent6" w:themeFillTint="33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2A5A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1DCF2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874CB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874CB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874C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3B9E5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3B9E5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AE0CB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E822F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E822F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E822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C097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6C097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EFBD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2BA02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2BA02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2BA02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DDF7B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DDF7B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CEED0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75BD4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5BD4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5BD4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ADEA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ADEA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9F1EE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30C0B4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30C0B4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30C0B4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93E4DD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93E4DD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D2D7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E54C5E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54C5E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54C5E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A5AE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2A5AE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874C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E376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D54A0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4A0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E822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33F0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55E10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5E10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BA0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85C0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58B0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8B01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75BD4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A5E2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78D31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78D31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30C0B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75F5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38F86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8F86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4C5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4132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71C31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1C31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4874CB" w:themeColor="accent1" w:sz="4" w:space="0"/>
        <w:bottom w:val="single" w:color="4874CB" w:themeColor="accent1" w:sz="4" w:space="0"/>
        <w:right w:val="single" w:color="4874CB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44380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44380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380" w:themeFill="accent1" w:themeFillShade="99"/>
      </w:tcPr>
    </w:tblStylePr>
    <w:tblStylePr w:type="band1Vert">
      <w:tblPr/>
      <w:tcPr>
        <w:shd w:val="clear" w:color="auto" w:fill="B5C7EA" w:themeFill="accent1" w:themeFillTint="66"/>
      </w:tcPr>
    </w:tblStylePr>
    <w:tblStylePr w:type="band1Horz">
      <w:tblPr/>
      <w:tcPr>
        <w:shd w:val="clear" w:color="auto" w:fill="A3B9E5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E822F" w:themeColor="accent2" w:sz="24" w:space="0"/>
        <w:left w:val="single" w:color="EE822F" w:themeColor="accent2" w:sz="4" w:space="0"/>
        <w:bottom w:val="single" w:color="EE822F" w:themeColor="accent2" w:sz="4" w:space="0"/>
        <w:right w:val="single" w:color="EE822F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E822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E4B0C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E4B0C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4B0C" w:themeFill="accent2" w:themeFillShade="99"/>
      </w:tcPr>
    </w:tblStylePr>
    <w:tblStylePr w:type="band1Vert">
      <w:tblPr/>
      <w:tcPr>
        <w:shd w:val="clear" w:color="auto" w:fill="F8CCAB" w:themeFill="accent2" w:themeFillTint="66"/>
      </w:tcPr>
    </w:tblStylePr>
    <w:tblStylePr w:type="band1Horz">
      <w:tblPr/>
      <w:tcPr>
        <w:shd w:val="clear" w:color="auto" w:fill="F6C097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75BD42" w:themeColor="accent4" w:sz="24" w:space="0"/>
        <w:left w:val="single" w:color="F2BA02" w:themeColor="accent3" w:sz="4" w:space="0"/>
        <w:bottom w:val="single" w:color="F2BA02" w:themeColor="accent3" w:sz="4" w:space="0"/>
        <w:right w:val="single" w:color="F2BA02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5BD4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16F01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16F01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6F01" w:themeFill="accent3" w:themeFillShade="99"/>
      </w:tcPr>
    </w:tblStylePr>
    <w:tblStylePr w:type="band1Vert">
      <w:tblPr/>
      <w:tcPr>
        <w:shd w:val="clear" w:color="auto" w:fill="FEE595" w:themeFill="accent3" w:themeFillTint="66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2BA02" w:themeColor="accent3" w:sz="24" w:space="0"/>
        <w:left w:val="single" w:color="75BD42" w:themeColor="accent4" w:sz="4" w:space="0"/>
        <w:bottom w:val="single" w:color="75BD42" w:themeColor="accent4" w:sz="4" w:space="0"/>
        <w:right w:val="single" w:color="75BD4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2BA02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67127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67127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67127" w:themeFill="accent4" w:themeFillShade="99"/>
      </w:tcPr>
    </w:tblStylePr>
    <w:tblStylePr w:type="band1Vert">
      <w:tblPr/>
      <w:tcPr>
        <w:shd w:val="clear" w:color="auto" w:fill="C7E4B3" w:themeFill="accent4" w:themeFillTint="66"/>
      </w:tcPr>
    </w:tblStylePr>
    <w:tblStylePr w:type="band1Horz">
      <w:tblPr/>
      <w:tcPr>
        <w:shd w:val="clear" w:color="auto" w:fill="BADEA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E54C5E" w:themeColor="accent6" w:sz="24" w:space="0"/>
        <w:left w:val="single" w:color="30C0B4" w:themeColor="accent5" w:sz="4" w:space="0"/>
        <w:bottom w:val="single" w:color="30C0B4" w:themeColor="accent5" w:sz="4" w:space="0"/>
        <w:right w:val="single" w:color="30C0B4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54C5E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1C736B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1C736B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736B" w:themeFill="accent5" w:themeFillShade="99"/>
      </w:tcPr>
    </w:tblStylePr>
    <w:tblStylePr w:type="band1Vert">
      <w:tblPr/>
      <w:tcPr>
        <w:shd w:val="clear" w:color="auto" w:fill="A8E9E3" w:themeFill="accent5" w:themeFillTint="66"/>
      </w:tcPr>
    </w:tblStylePr>
    <w:tblStylePr w:type="band1Horz">
      <w:tblPr/>
      <w:tcPr>
        <w:shd w:val="clear" w:color="auto" w:fill="93E4DD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30C0B4" w:themeColor="accent5" w:sz="24" w:space="0"/>
        <w:left w:val="single" w:color="E54C5E" w:themeColor="accent6" w:sz="4" w:space="0"/>
        <w:bottom w:val="single" w:color="E54C5E" w:themeColor="accent6" w:sz="4" w:space="0"/>
        <w:right w:val="single" w:color="E54C5E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30C0B4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9F172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9F172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F1727" w:themeFill="accent6" w:themeFillShade="99"/>
      </w:tcPr>
    </w:tblStylePr>
    <w:tblStylePr w:type="band1Vert">
      <w:tblPr/>
      <w:tcPr>
        <w:shd w:val="clear" w:color="auto" w:fill="F4B7BE" w:themeFill="accent6" w:themeFillTint="66"/>
      </w:tcPr>
    </w:tblStylePr>
    <w:tblStylePr w:type="band1Horz">
      <w:tblPr/>
      <w:tcPr>
        <w:shd w:val="clear" w:color="auto" w:fill="F2A5AE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1F9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CF2" w:themeFill="accent1" w:themeFillTint="3F"/>
      </w:tcPr>
    </w:tblStylePr>
    <w:tblStylePr w:type="band1Horz">
      <w:tblPr/>
      <w:tcPr>
        <w:shd w:val="clear" w:color="auto" w:fill="DAE3F4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26511" w:themeFill="accent2" w:themeFillShade="CC"/>
      </w:tcPr>
    </w:tblStylePr>
    <w:tblStylePr w:type="lastRow">
      <w:rPr>
        <w:b/>
        <w:bCs/>
        <w:color w:val="D36511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0CB" w:themeFill="accent2" w:themeFillTint="3F"/>
      </w:tcPr>
    </w:tblStylePr>
    <w:tblStylePr w:type="band1Horz">
      <w:tblPr/>
      <w:tcPr>
        <w:shd w:val="clear" w:color="auto" w:fill="FBE5D5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8E5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5D9734" w:themeFill="accent4" w:themeFillShade="CC"/>
      </w:tcPr>
    </w:tblStylePr>
    <w:tblStylePr w:type="lastRow">
      <w:rPr>
        <w:b/>
        <w:bCs/>
        <w:color w:val="5E9735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FBD" w:themeFill="accent3" w:themeFillTint="3F"/>
      </w:tcPr>
    </w:tblStylePr>
    <w:tblStylePr w:type="band1Horz">
      <w:tblPr/>
      <w:tcPr>
        <w:shd w:val="clear" w:color="auto" w:fill="FEF2CA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1F8EC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C19401" w:themeFill="accent3" w:themeFillShade="CC"/>
      </w:tcPr>
    </w:tblStylePr>
    <w:tblStylePr w:type="lastRow">
      <w:rPr>
        <w:b/>
        <w:bCs/>
        <w:color w:val="C29502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ED0" w:themeFill="accent4" w:themeFillTint="3F"/>
      </w:tcPr>
    </w:tblStylePr>
    <w:tblStylePr w:type="band1Horz">
      <w:tblPr/>
      <w:tcPr>
        <w:shd w:val="clear" w:color="auto" w:fill="E3F1D9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9F9F8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D51E34" w:themeFill="accent6" w:themeFillShade="CC"/>
      </w:tcPr>
    </w:tblStylePr>
    <w:tblStylePr w:type="lastRow">
      <w:rPr>
        <w:b/>
        <w:bCs/>
        <w:color w:val="D51F34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1EE" w:themeFill="accent5" w:themeFillTint="3F"/>
      </w:tcPr>
    </w:tblStylePr>
    <w:tblStylePr w:type="band1Horz">
      <w:tblPr/>
      <w:tcPr>
        <w:shd w:val="clear" w:color="auto" w:fill="D3F4F1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CEDEF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26998F" w:themeFill="accent5" w:themeFillShade="CC"/>
      </w:tcPr>
    </w:tblStylePr>
    <w:tblStylePr w:type="lastRow">
      <w:rPr>
        <w:b/>
        <w:bCs/>
        <w:color w:val="269A9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2D7" w:themeFill="accent6" w:themeFillTint="3F"/>
      </w:tcPr>
    </w:tblStylePr>
    <w:tblStylePr w:type="band1Horz">
      <w:tblPr/>
      <w:tcPr>
        <w:shd w:val="clear" w:color="auto" w:fill="F9DBDE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3F4" w:themeFill="accent1" w:themeFillTint="33"/>
    </w:tcPr>
    <w:tblStylePr w:type="firstRow">
      <w:rPr>
        <w:b/>
        <w:bCs/>
      </w:rPr>
      <w:tblPr/>
      <w:tcPr>
        <w:shd w:val="clear" w:color="auto" w:fill="B5C7EA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5C7EA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D54A0" w:themeFill="accent1" w:themeFillShade="BF"/>
      </w:tcPr>
    </w:tblStylePr>
    <w:tblStylePr w:type="band1Vert">
      <w:tblPr/>
      <w:tcPr>
        <w:shd w:val="clear" w:color="auto" w:fill="A3B9E5" w:themeFill="accent1" w:themeFillTint="7F"/>
      </w:tcPr>
    </w:tblStylePr>
    <w:tblStylePr w:type="band1Horz">
      <w:tblPr/>
      <w:tcPr>
        <w:shd w:val="clear" w:color="auto" w:fill="A3B9E5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BE5D5" w:themeFill="accent2" w:themeFillTint="33"/>
    </w:tcPr>
    <w:tblStylePr w:type="firstRow">
      <w:rPr>
        <w:b/>
        <w:bCs/>
      </w:rPr>
      <w:tblPr/>
      <w:tcPr>
        <w:shd w:val="clear" w:color="auto" w:fill="F8CCAB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CCAB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55E10" w:themeFill="accent2" w:themeFillShade="BF"/>
      </w:tcPr>
    </w:tblStylePr>
    <w:tblStylePr w:type="band1Vert">
      <w:tblPr/>
      <w:tcPr>
        <w:shd w:val="clear" w:color="auto" w:fill="F6C097" w:themeFill="accent2" w:themeFillTint="7F"/>
      </w:tcPr>
    </w:tblStylePr>
    <w:tblStylePr w:type="band1Horz">
      <w:tblPr/>
      <w:tcPr>
        <w:shd w:val="clear" w:color="auto" w:fill="F6C097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2CA" w:themeFill="accent3" w:themeFillTint="33"/>
    </w:tcPr>
    <w:tblStylePr w:type="firstRow">
      <w:rPr>
        <w:b/>
        <w:bCs/>
      </w:rPr>
      <w:tblPr/>
      <w:tcPr>
        <w:shd w:val="clear" w:color="auto" w:fill="FEE595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E595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B58B01" w:themeFill="accent3" w:themeFillShade="BF"/>
      </w:tcPr>
    </w:tblStylePr>
    <w:tblStylePr w:type="band1Vert">
      <w:tblPr/>
      <w:tcPr>
        <w:shd w:val="clear" w:color="auto" w:fill="FDDF7B" w:themeFill="accent3" w:themeFillTint="7F"/>
      </w:tcPr>
    </w:tblStylePr>
    <w:tblStylePr w:type="band1Horz">
      <w:tblPr/>
      <w:tcPr>
        <w:shd w:val="clear" w:color="auto" w:fill="FDDF7B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3F1D9" w:themeFill="accent4" w:themeFillTint="33"/>
    </w:tcPr>
    <w:tblStylePr w:type="firstRow">
      <w:rPr>
        <w:b/>
        <w:bCs/>
      </w:rPr>
      <w:tblPr/>
      <w:tcPr>
        <w:shd w:val="clear" w:color="auto" w:fill="C7E4B3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7E4B3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78D31" w:themeFill="accent4" w:themeFillShade="BF"/>
      </w:tcPr>
    </w:tblStylePr>
    <w:tblStylePr w:type="band1Vert">
      <w:tblPr/>
      <w:tcPr>
        <w:shd w:val="clear" w:color="auto" w:fill="BADEA0" w:themeFill="accent4" w:themeFillTint="7F"/>
      </w:tcPr>
    </w:tblStylePr>
    <w:tblStylePr w:type="band1Horz">
      <w:tblPr/>
      <w:tcPr>
        <w:shd w:val="clear" w:color="auto" w:fill="BADEA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F4F1" w:themeFill="accent5" w:themeFillTint="33"/>
    </w:tcPr>
    <w:tblStylePr w:type="firstRow">
      <w:rPr>
        <w:b/>
        <w:bCs/>
      </w:rPr>
      <w:tblPr/>
      <w:tcPr>
        <w:shd w:val="clear" w:color="auto" w:fill="A8E9E3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A8E9E3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238F86" w:themeFill="accent5" w:themeFillShade="BF"/>
      </w:tcPr>
    </w:tblStylePr>
    <w:tblStylePr w:type="band1Vert">
      <w:tblPr/>
      <w:tcPr>
        <w:shd w:val="clear" w:color="auto" w:fill="93E4DD" w:themeFill="accent5" w:themeFillTint="7F"/>
      </w:tcPr>
    </w:tblStylePr>
    <w:tblStylePr w:type="band1Horz">
      <w:tblPr/>
      <w:tcPr>
        <w:shd w:val="clear" w:color="auto" w:fill="93E4DD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9DBDE" w:themeFill="accent6" w:themeFillTint="33"/>
    </w:tcPr>
    <w:tblStylePr w:type="firstRow">
      <w:rPr>
        <w:b/>
        <w:bCs/>
      </w:rPr>
      <w:tblPr/>
      <w:tcPr>
        <w:shd w:val="clear" w:color="auto" w:fill="F4B7BE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4B7BE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71C31" w:themeFill="accent6" w:themeFillShade="BF"/>
      </w:tcPr>
    </w:tblStylePr>
    <w:tblStylePr w:type="band1Vert">
      <w:tblPr/>
      <w:tcPr>
        <w:shd w:val="clear" w:color="auto" w:fill="F2A5AE" w:themeFill="accent6" w:themeFillTint="7F"/>
      </w:tcPr>
    </w:tblStylePr>
    <w:tblStylePr w:type="band1Horz">
      <w:tblPr/>
      <w:tcPr>
        <w:shd w:val="clear" w:color="auto" w:fill="F2A5AE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8"/>
    <w:qFormat/>
    <w:uiPriority w:val="0"/>
    <w:rPr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38">
    <w:name w:val="Body Text Char"/>
    <w:basedOn w:val="134"/>
    <w:link w:val="4"/>
    <w:qFormat/>
    <w:uiPriority w:val="99"/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customStyle="1" w:styleId="139">
    <w:name w:val="Intense Reference"/>
    <w:basedOn w:val="134"/>
    <w:qFormat/>
    <w:uiPriority w:val="32"/>
    <w:rPr>
      <w:b/>
      <w:bCs/>
      <w:smallCaps/>
      <w:color w:val="EE822F" w:themeColor="accent2"/>
      <w:spacing w:val="5"/>
      <w:u w:val="single"/>
      <w14:textFill>
        <w14:solidFill>
          <w14:schemeClr w14:val="accent2"/>
        </w14:solidFill>
      </w14:textFill>
    </w:rPr>
  </w:style>
  <w:style w:type="paragraph" w:customStyle="1" w:styleId="140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41">
    <w:name w:val="Heading 4 Char"/>
    <w:basedOn w:val="134"/>
    <w:link w:val="7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character" w:customStyle="1" w:styleId="142">
    <w:name w:val="Heading 7 Char"/>
    <w:basedOn w:val="134"/>
    <w:link w:val="10"/>
    <w:semiHidden/>
    <w:qFormat/>
    <w:uiPriority w:val="9"/>
    <w:rPr>
      <w:rFonts w:ascii="Times New Roman" w:hAnsi="Times New Roman" w:eastAsia="黑体" w:cs="Times New Roman"/>
      <w:bCs/>
      <w:kern w:val="2"/>
      <w:sz w:val="24"/>
      <w:szCs w:val="24"/>
    </w:rPr>
  </w:style>
  <w:style w:type="character" w:customStyle="1" w:styleId="143">
    <w:name w:val="Heading 5 Char"/>
    <w:basedOn w:val="134"/>
    <w:link w:val="8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8"/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Intense Emphasis"/>
    <w:basedOn w:val="134"/>
    <w:qFormat/>
    <w:uiPriority w:val="21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paragraph" w:styleId="146">
    <w:name w:val="Quote"/>
    <w:basedOn w:val="1"/>
    <w:next w:val="1"/>
    <w:link w:val="15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7">
    <w:name w:val="Intense Quote"/>
    <w:basedOn w:val="1"/>
    <w:next w:val="1"/>
    <w:link w:val="148"/>
    <w:qFormat/>
    <w:uiPriority w:val="30"/>
    <w:pPr>
      <w:pBdr>
        <w:bottom w:val="single" w:color="4874CB" w:themeColor="accent1" w:sz="4" w:space="4"/>
      </w:pBdr>
      <w:spacing w:before="200" w:after="280"/>
      <w:ind w:left="936" w:right="936"/>
    </w:pPr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8">
    <w:name w:val="Intense Quote Char"/>
    <w:basedOn w:val="134"/>
    <w:link w:val="147"/>
    <w:qFormat/>
    <w:uiPriority w:val="30"/>
    <w:rPr>
      <w:b/>
      <w:bCs/>
      <w:i/>
      <w:i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49">
    <w:name w:val="Body Text 3 Char"/>
    <w:basedOn w:val="134"/>
    <w:link w:val="18"/>
    <w:qFormat/>
    <w:uiPriority w:val="99"/>
    <w:rPr>
      <w:sz w:val="16"/>
      <w:szCs w:val="16"/>
    </w:rPr>
  </w:style>
  <w:style w:type="paragraph" w:styleId="15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1">
    <w:name w:val="Body Text 2 Char"/>
    <w:basedOn w:val="134"/>
    <w:link w:val="29"/>
    <w:qFormat/>
    <w:uiPriority w:val="99"/>
  </w:style>
  <w:style w:type="character" w:customStyle="1" w:styleId="152">
    <w:name w:val="Header Char"/>
    <w:basedOn w:val="134"/>
    <w:link w:val="26"/>
    <w:qFormat/>
    <w:uiPriority w:val="99"/>
  </w:style>
  <w:style w:type="character" w:customStyle="1" w:styleId="153">
    <w:name w:val="Heading 3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1 Char"/>
    <w:basedOn w:val="134"/>
    <w:link w:val="3"/>
    <w:qFormat/>
    <w:uiPriority w:val="9"/>
    <w:rPr>
      <w:rFonts w:ascii="Times New Roman" w:hAnsi="Times New Roman" w:eastAsia="黑体" w:cs="Times New Roman"/>
      <w:color w:val="000000"/>
      <w:kern w:val="44"/>
      <w:sz w:val="32"/>
      <w:szCs w:val="44"/>
    </w:rPr>
  </w:style>
  <w:style w:type="character" w:customStyle="1" w:styleId="155">
    <w:name w:val="Quote Char"/>
    <w:basedOn w:val="134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6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7">
    <w:name w:val="Subtle Reference"/>
    <w:basedOn w:val="134"/>
    <w:qFormat/>
    <w:uiPriority w:val="31"/>
    <w:rPr>
      <w:smallCaps/>
      <w:color w:val="EE822F" w:themeColor="accent2"/>
      <w:u w:val="single"/>
      <w14:textFill>
        <w14:solidFill>
          <w14:schemeClr w14:val="accent2"/>
        </w14:solidFill>
      </w14:textFill>
    </w:rPr>
  </w:style>
  <w:style w:type="character" w:customStyle="1" w:styleId="158">
    <w:name w:val="Heading 2 Char"/>
    <w:basedOn w:val="134"/>
    <w:qFormat/>
    <w:uiPriority w:val="9"/>
    <w:rPr>
      <w:rFonts w:asciiTheme="majorHAnsi" w:hAnsiTheme="majorHAnsi" w:eastAsiaTheme="majorEastAsia" w:cstheme="majorBidi"/>
      <w:b/>
      <w:bCs/>
      <w:color w:val="4874CB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59">
    <w:name w:val="Macro Text Char"/>
    <w:basedOn w:val="134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60">
    <w:name w:val="Footer Char"/>
    <w:basedOn w:val="134"/>
    <w:link w:val="25"/>
    <w:qFormat/>
    <w:uiPriority w:val="99"/>
  </w:style>
  <w:style w:type="character" w:customStyle="1" w:styleId="161">
    <w:name w:val="Book Title"/>
    <w:basedOn w:val="134"/>
    <w:qFormat/>
    <w:uiPriority w:val="33"/>
    <w:rPr>
      <w:b/>
      <w:bCs/>
      <w:smallCaps/>
      <w:spacing w:val="5"/>
    </w:rPr>
  </w:style>
  <w:style w:type="character" w:customStyle="1" w:styleId="162">
    <w:name w:val="Heading 9 Char"/>
    <w:basedOn w:val="134"/>
    <w:link w:val="12"/>
    <w:semiHidden/>
    <w:qFormat/>
    <w:uiPriority w:val="9"/>
    <w:rPr>
      <w:rFonts w:ascii="Times New Roman" w:hAnsi="Times New Roman" w:eastAsia="黑体" w:cs="Times New Roman"/>
      <w:kern w:val="2"/>
      <w:sz w:val="21"/>
      <w:szCs w:val="21"/>
    </w:rPr>
  </w:style>
  <w:style w:type="character" w:customStyle="1" w:styleId="163">
    <w:name w:val="Heading 6 Char"/>
    <w:basedOn w:val="134"/>
    <w:link w:val="9"/>
    <w:semiHidden/>
    <w:qFormat/>
    <w:uiPriority w:val="9"/>
    <w:rPr>
      <w:rFonts w:ascii="Times New Roman" w:hAnsi="Times New Roman" w:eastAsia="黑体" w:cs="Times New Roman"/>
      <w:bCs/>
      <w:kern w:val="2"/>
      <w:sz w:val="28"/>
      <w:szCs w:val="24"/>
    </w:rPr>
  </w:style>
  <w:style w:type="character" w:customStyle="1" w:styleId="164">
    <w:name w:val="Title Char"/>
    <w:basedOn w:val="134"/>
    <w:qFormat/>
    <w:uiPriority w:val="10"/>
    <w:rPr>
      <w:rFonts w:asciiTheme="majorHAnsi" w:hAnsiTheme="majorHAnsi" w:eastAsiaTheme="majorEastAsia" w:cstheme="majorBidi"/>
      <w:color w:val="333F50" w:themeColor="text2" w:themeShade="BF"/>
      <w:spacing w:val="5"/>
      <w:kern w:val="28"/>
      <w:sz w:val="52"/>
      <w:szCs w:val="52"/>
    </w:rPr>
  </w:style>
  <w:style w:type="character" w:customStyle="1" w:styleId="165">
    <w:name w:val="Heading 8 Char"/>
    <w:basedOn w:val="134"/>
    <w:link w:val="11"/>
    <w:semiHidden/>
    <w:qFormat/>
    <w:uiPriority w:val="9"/>
    <w:rPr>
      <w:rFonts w:ascii="Times New Roman" w:hAnsi="Times New Roman" w:eastAsia="黑体" w:cs="Times New Roman"/>
      <w:kern w:val="2"/>
      <w:sz w:val="24"/>
      <w:szCs w:val="24"/>
    </w:rPr>
  </w:style>
  <w:style w:type="character" w:customStyle="1" w:styleId="166">
    <w:name w:val="Subtitle Char"/>
    <w:basedOn w:val="134"/>
    <w:qFormat/>
    <w:uiPriority w:val="11"/>
    <w:rPr>
      <w:rFonts w:asciiTheme="majorHAnsi" w:hAnsiTheme="majorHAnsi" w:eastAsiaTheme="majorEastAsia" w:cstheme="majorBidi"/>
      <w:i/>
      <w:iCs/>
      <w:color w:val="4874CB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67">
    <w:name w:val="标题 3 Char"/>
    <w:link w:val="6"/>
    <w:uiPriority w:val="9"/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character" w:customStyle="1" w:styleId="168">
    <w:name w:val="标题 2 Char"/>
    <w:link w:val="5"/>
    <w:uiPriority w:val="9"/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customStyle="1" w:styleId="169">
    <w:name w:val="First Paragraph"/>
    <w:basedOn w:val="4"/>
    <w:next w:val="4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0">
    <w:name w:val="Captioned Figure"/>
    <w:basedOn w:val="171"/>
    <w:qFormat/>
    <w:uiPriority w:val="0"/>
    <w:pPr>
      <w:keepNext/>
    </w:pPr>
  </w:style>
  <w:style w:type="paragraph" w:customStyle="1" w:styleId="171">
    <w:name w:val="Figure"/>
    <w:basedOn w:val="1"/>
    <w:qFormat/>
    <w:uiPriority w:val="0"/>
  </w:style>
  <w:style w:type="paragraph" w:customStyle="1" w:styleId="172">
    <w:name w:val="Image Caption"/>
    <w:basedOn w:val="16"/>
    <w:qFormat/>
    <w:uiPriority w:val="0"/>
  </w:style>
  <w:style w:type="paragraph" w:customStyle="1" w:styleId="173">
    <w:name w:val="Compact"/>
    <w:basedOn w:val="4"/>
    <w:qFormat/>
    <w:uiPriority w:val="0"/>
    <w:pPr>
      <w:spacing w:before="36" w:after="36"/>
    </w:pPr>
    <w:rPr>
      <w:rFonts w:ascii="Times New Roman" w:hAnsi="Times New Roman" w:eastAsia="宋体" w:cs="Times New Roman"/>
      <w:sz w:val="22"/>
    </w:rPr>
  </w:style>
  <w:style w:type="character" w:customStyle="1" w:styleId="174">
    <w:name w:val="Verbatim Char"/>
    <w:basedOn w:val="138"/>
    <w:link w:val="175"/>
    <w:qFormat/>
    <w:uiPriority w:val="0"/>
    <w:rPr>
      <w:rFonts w:ascii="Times New Roman" w:hAnsi="Times New Roman" w:eastAsia="宋体" w:cs="Times New Roman"/>
      <w:sz w:val="22"/>
    </w:rPr>
  </w:style>
  <w:style w:type="paragraph" w:customStyle="1" w:styleId="175">
    <w:name w:val="Source Code"/>
    <w:basedOn w:val="1"/>
    <w:link w:val="174"/>
    <w:qFormat/>
    <w:uiPriority w:val="0"/>
    <w:pPr>
      <w:wordWrap w:val="0"/>
    </w:pPr>
    <w:rPr>
      <w:rFonts w:ascii="Times New Roman" w:hAnsi="Times New Roman" w:eastAsia="宋体" w:cs="Times New Roman"/>
      <w:sz w:val="22"/>
    </w:rPr>
  </w:style>
  <w:style w:type="character" w:customStyle="1" w:styleId="176">
    <w:name w:val="FunctionTok"/>
    <w:basedOn w:val="174"/>
    <w:qFormat/>
    <w:uiPriority w:val="0"/>
    <w:rPr>
      <w:color w:val="06287E"/>
    </w:rPr>
  </w:style>
  <w:style w:type="character" w:customStyle="1" w:styleId="177">
    <w:name w:val="NormalTok"/>
    <w:basedOn w:val="174"/>
    <w:qFormat/>
    <w:uiPriority w:val="0"/>
  </w:style>
  <w:style w:type="character" w:customStyle="1" w:styleId="178">
    <w:name w:val="ExtensionTok"/>
    <w:basedOn w:val="174"/>
    <w:qFormat/>
    <w:uiPriority w:val="0"/>
  </w:style>
  <w:style w:type="table" w:customStyle="1" w:styleId="17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?>
<Relationships xmlns="http://schemas.openxmlformats.org/package/2006/relationships"><Relationship Id="rId9" Type="http://schemas.openxmlformats.org/officeDocument/2006/relationships/image" Target="media/image4.png" /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8" Type="http://schemas.openxmlformats.org/officeDocument/2006/relationships/fontTable" Target="fontTable.xml" /><Relationship Id="rId67" Type="http://schemas.openxmlformats.org/officeDocument/2006/relationships/numbering" Target="numbering.xml" /><Relationship Id="rId63" Type="http://schemas.openxmlformats.org/officeDocument/2006/relationships/image" Target="media/image58.png" /><Relationship Id="rId62" Type="http://schemas.openxmlformats.org/officeDocument/2006/relationships/image" Target="media/image57.png" /><Relationship Id="rId61" Type="http://schemas.openxmlformats.org/officeDocument/2006/relationships/image" Target="media/image56.png" /><Relationship Id="rId60" Type="http://schemas.openxmlformats.org/officeDocument/2006/relationships/image" Target="media/image55.png" /><Relationship Id="rId59" Type="http://schemas.openxmlformats.org/officeDocument/2006/relationships/image" Target="media/image54.png" /><Relationship Id="rId58" Type="http://schemas.openxmlformats.org/officeDocument/2006/relationships/image" Target="media/image53.png" /><Relationship Id="rId57" Type="http://schemas.openxmlformats.org/officeDocument/2006/relationships/image" Target="media/image52.png" /><Relationship Id="rId56" Type="http://schemas.openxmlformats.org/officeDocument/2006/relationships/image" Target="media/image51.png" /><Relationship Id="rId55" Type="http://schemas.openxmlformats.org/officeDocument/2006/relationships/image" Target="media/image50.png" /><Relationship Id="rId54" Type="http://schemas.openxmlformats.org/officeDocument/2006/relationships/image" Target="media/image49.png" /><Relationship Id="rId53" Type="http://schemas.openxmlformats.org/officeDocument/2006/relationships/image" Target="media/image48.png" /><Relationship Id="rId52" Type="http://schemas.openxmlformats.org/officeDocument/2006/relationships/image" Target="media/image47.png" /><Relationship Id="rId51" Type="http://schemas.openxmlformats.org/officeDocument/2006/relationships/image" Target="media/image46.png" /><Relationship Id="rId50" Type="http://schemas.openxmlformats.org/officeDocument/2006/relationships/image" Target="media/image45.png" /><Relationship Id="rId5" Type="http://schemas.openxmlformats.org/officeDocument/2006/relationships/theme" Target="theme/theme1.xml" /><Relationship Id="rId49" Type="http://schemas.openxmlformats.org/officeDocument/2006/relationships/image" Target="media/image44.png" /><Relationship Id="rId48" Type="http://schemas.openxmlformats.org/officeDocument/2006/relationships/image" Target="media/image43.png" /><Relationship Id="rId47" Type="http://schemas.openxmlformats.org/officeDocument/2006/relationships/image" Target="media/image42.png" /><Relationship Id="rId46" Type="http://schemas.openxmlformats.org/officeDocument/2006/relationships/image" Target="media/image41.png" /><Relationship Id="rId45" Type="http://schemas.openxmlformats.org/officeDocument/2006/relationships/image" Target="media/image40.png" /><Relationship Id="rId44" Type="http://schemas.openxmlformats.org/officeDocument/2006/relationships/image" Target="media/image39.png" /><Relationship Id="rId43" Type="http://schemas.openxmlformats.org/officeDocument/2006/relationships/image" Target="media/image38.png" /><Relationship Id="rId42" Type="http://schemas.openxmlformats.org/officeDocument/2006/relationships/image" Target="media/image37.png" /><Relationship Id="rId41" Type="http://schemas.openxmlformats.org/officeDocument/2006/relationships/image" Target="media/image36.png" /><Relationship Id="rId40" Type="http://schemas.openxmlformats.org/officeDocument/2006/relationships/image" Target="media/image35.png" /><Relationship Id="rId4" Type="http://schemas.openxmlformats.org/officeDocument/2006/relationships/endnotes" Target="endnotes.xml" /><Relationship Id="rId39" Type="http://schemas.openxmlformats.org/officeDocument/2006/relationships/image" Target="media/image34.png" /><Relationship Id="rId38" Type="http://schemas.openxmlformats.org/officeDocument/2006/relationships/image" Target="media/image33.png" /><Relationship Id="rId37" Type="http://schemas.openxmlformats.org/officeDocument/2006/relationships/image" Target="media/image32.png" /><Relationship Id="rId36" Type="http://schemas.openxmlformats.org/officeDocument/2006/relationships/image" Target="media/image31.png" /><Relationship Id="rId35" Type="http://schemas.openxmlformats.org/officeDocument/2006/relationships/image" Target="media/image30.png" /><Relationship Id="rId34" Type="http://schemas.openxmlformats.org/officeDocument/2006/relationships/image" Target="media/image29.png" /><Relationship Id="rId33" Type="http://schemas.openxmlformats.org/officeDocument/2006/relationships/image" Target="media/image28.png" /><Relationship Id="rId32" Type="http://schemas.openxmlformats.org/officeDocument/2006/relationships/image" Target="media/image27.png" /><Relationship Id="rId31" Type="http://schemas.openxmlformats.org/officeDocument/2006/relationships/image" Target="media/image26.png" /><Relationship Id="rId30" Type="http://schemas.openxmlformats.org/officeDocument/2006/relationships/image" Target="media/image25.png" /><Relationship Id="rId3" Type="http://schemas.openxmlformats.org/officeDocument/2006/relationships/footnotes" Target="footnotes.xml" /><Relationship Id="rId29" Type="http://schemas.openxmlformats.org/officeDocument/2006/relationships/image" Target="media/image24.png" /><Relationship Id="rId28" Type="http://schemas.openxmlformats.org/officeDocument/2006/relationships/image" Target="media/image23.png" /><Relationship Id="rId27" Type="http://schemas.openxmlformats.org/officeDocument/2006/relationships/image" Target="media/image22.png" /><Relationship Id="rId26" Type="http://schemas.openxmlformats.org/officeDocument/2006/relationships/image" Target="media/image21.png" /><Relationship Id="rId25" Type="http://schemas.openxmlformats.org/officeDocument/2006/relationships/image" Target="media/image20.png" /><Relationship Id="rId24" Type="http://schemas.openxmlformats.org/officeDocument/2006/relationships/image" Target="media/image19.png" /><Relationship Id="rId23" Type="http://schemas.openxmlformats.org/officeDocument/2006/relationships/image" Target="media/image18.png" /><Relationship Id="rId22" Type="http://schemas.openxmlformats.org/officeDocument/2006/relationships/image" Target="media/image17.png" /><Relationship Id="rId21" Type="http://schemas.openxmlformats.org/officeDocument/2006/relationships/image" Target="media/image16.png" /><Relationship Id="rId20" Type="http://schemas.openxmlformats.org/officeDocument/2006/relationships/image" Target="media/image15.png" /><Relationship Id="rId2" Type="http://schemas.openxmlformats.org/officeDocument/2006/relationships/settings" Target="settings.xml" /><Relationship Id="rId19" Type="http://schemas.openxmlformats.org/officeDocument/2006/relationships/image" Target="media/image14.png" /><Relationship Id="rId18" Type="http://schemas.openxmlformats.org/officeDocument/2006/relationships/image" Target="media/image13.png" /><Relationship Id="rId17" Type="http://schemas.openxmlformats.org/officeDocument/2006/relationships/image" Target="media/image12.png" /><Relationship Id="rId16" Type="http://schemas.openxmlformats.org/officeDocument/2006/relationships/image" Target="media/image11.png" /><Relationship Id="rId15" Type="http://schemas.openxmlformats.org/officeDocument/2006/relationships/image" Target="media/image10.png" /><Relationship Id="rId14" Type="http://schemas.openxmlformats.org/officeDocument/2006/relationships/image" Target="media/image9.png" /><Relationship Id="rId13" Type="http://schemas.openxmlformats.org/officeDocument/2006/relationships/image" Target="media/image8.png" /><Relationship Id="rId12" Type="http://schemas.openxmlformats.org/officeDocument/2006/relationships/image" Target="media/image7.png" /><Relationship Id="rId11" Type="http://schemas.openxmlformats.org/officeDocument/2006/relationships/image" Target="media/image6.png" /><Relationship Id="rId10" Type="http://schemas.openxmlformats.org/officeDocument/2006/relationships/image" Target="media/image5.png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76</Pages>
  <Words>13361</Words>
  <Characters>13873</Characters>
  <TotalTime>4</TotalTime>
  <ScaleCrop>false</ScaleCrop>
  <LinksUpToDate>false</LinksUpToDate>
  <CharactersWithSpaces>14200</CharactersWithSpaces>
  <Application>WPS Office_12.1.28496.28496_F1E327BC-269C-435d-A152-05C5408002CA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2026-09-05T08:22:00Z</dcterms:created>
  <dc:creator>Data</dc:creator>
  <cp:lastModifiedBy>耳虫</cp:lastModifiedBy>
  <dcterms:modified xsi:type="dcterms:W3CDTF">2026-10-08T15:05:24Z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2F48592460EEAAA66476C66AB9A3BB7A_43</vt:lpwstr>
  </property>
  <property fmtid="{D5CDD505-2E9C-101B-9397-08002B2CF9AE}" pid="4" name="KSOTemplateDocerSaveRecord">
    <vt:lpwstr>eyJoZGlkIjoiNTA0ZWQxZWE5MjNhMDg4YjlhMzVmOWY4ZDFkNGJhNzYiLCJ1c2VySWQiOiI4ODExNTYyMTEifQ==</vt:lpwstr>
  </property>
</Properties>
</file>