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p w14:paraId="2E968BA9">
      <w:pPr>
        <w:pStyle w:val="3"/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FurniScope 技术架构及调用模型说明</w:t>
      </w:r>
    </w:p>
    <w:p w14:paraId="28331722">
      <w:pPr>
        <w:pStyle w:val="5"/>
        <w:keepNext/>
      </w:pPr>
      <w:r>
        <w:t>系统架构图</w:t>
      </w:r>
    </w:p>
    <w:p w14:paraId="4F091071">
      <w:pPr>
        <w:pStyle w:val="6"/>
        <w:keepNext/>
      </w:pPr>
      <w:r>
        <w:t>4.1.1 总体架构</w:t>
      </w:r>
    </w:p>
    <w:p w14:paraId="7609D2C5">
      <w:pPr>
        <w:keepNext w:val="0"/>
        <w:keepLines w:val="0"/>
        <w:widowControl/>
        <w:suppressLineNumbers w:val="0"/>
        <w:spacing w:before="80" w:after="4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59145" cy="4149725"/>
            <wp:effectExtent l="0" t="0" r="8255" b="13335"/>
            <wp:docPr id="3" name="图4-1 FurniScope总体技术架构" descr="云端多租户、三条业务链路、企业资产和运行基础设施总体架构" title="图4-1 FurniScope总体技术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4-1 FurniScope总体技术架构" descr="云端多租户、三条业务链路、企业资产和运行基础设施总体架构" title="图4-1 FurniScope总体技术架构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41502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6A8679">
      <w:pPr>
        <w:spacing w:before="40" w:after="120" w:line="260" w:lineRule="auto"/>
        <w:jc w:val="center"/>
      </w:pPr>
      <w:r>
        <w:rPr>
          <w:i/>
          <w:iCs/>
          <w:color w:val="666666"/>
          <w:sz w:val="18"/>
          <w:szCs w:val="18"/>
        </w:rPr>
        <w:t>图 4-1  FurniScope 总体技术架构</w:t>
      </w:r>
    </w:p>
    <w:p w14:paraId="641C9BE0">
      <w:r>
        <w:t>FurniScope 当前形态为云端多租户 SaaS。企业用户通过 React 单页应用访问统一 FastAPI 接入层，身份、角色、tenant_id、幂等键和审计信息在进入领域服务前完成校验。系统把产品与市场决策、销量预测、持续监测投递拆成三条相互解耦的业务链路，共享产品/SKU 主档、企业知识库、标准销量、经营策略和机会结果等企业资产；FurniScope Desktop 的本地受控执行属于后续演进方向，不计入本期已实现架构。</w:t>
      </w:r>
    </w:p>
    <w:p w14:paraId="65FFA5F2">
      <w:r>
        <w:t>市场决策任务、数据导入、知识解析、预测训练和通知投递等耗时操作进入 Redis Streams，由独立 Worker 通过消费组、租约、心跳、重试和死信机制执行。最终业务事实写入 PostgreSQL；Redis 只承担任务基础设施职责。文件和模型制品通过租户前缀的私有对象存储管理，开发环境可使用本地后端，生产配置强制使用 S3 兼容后端和 TLS。</w:t>
      </w:r>
    </w:p>
    <w:p w14:paraId="730EB3EC">
      <w:pPr>
        <w:pStyle w:val="6"/>
        <w:keepNext/>
      </w:pPr>
      <w:r>
        <w:t>4.1.2 三条业务链路的端到端调用拓扑</w:t>
      </w:r>
    </w:p>
    <w:p w14:paraId="4EAA6DEA">
      <w:pPr>
        <w:keepNext w:val="0"/>
        <w:keepLines w:val="0"/>
        <w:widowControl/>
        <w:suppressLineNumbers w:val="0"/>
        <w:spacing w:before="80" w:after="4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59145" cy="3221990"/>
            <wp:effectExtent l="0" t="0" r="10160" b="5715"/>
            <wp:docPr id="4" name="图4-2 三条业务链路调用拓扑" descr="市场决策、销量预测和持续监测投递三条链路的端到端调用拓扑" title="图4-2 三条业务链路调用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4-2 三条业务链路调用拓扑" descr="市场决策、销量预测和持续监测投递三条链路的端到端调用拓扑" title="图4-2 三条业务链路调用拓扑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222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0A5002">
      <w:pPr>
        <w:spacing w:before="40" w:after="120" w:line="260" w:lineRule="auto"/>
        <w:jc w:val="center"/>
      </w:pPr>
      <w:r>
        <w:rPr>
          <w:i/>
          <w:iCs/>
          <w:color w:val="666666"/>
          <w:sz w:val="18"/>
          <w:szCs w:val="18"/>
        </w:rPr>
        <w:t>图 4-2  市场决策、销量预测与持续监测投递的端到端调用拓扑</w:t>
      </w:r>
    </w:p>
    <w:p w14:paraId="420B4274">
      <w:pPr>
        <w:pStyle w:val="17"/>
      </w:pPr>
      <w:r>
        <w:t>市场决策主链：产品/SKU、授权市场数据、知识库和经营策略准备完成后，API 冻结任务版本并投递异步分析；Agent 生成可追溯证据、机会评分和报告快照，用户再做采纳、拒绝或待验证决策，并回流实施、销量、退货和 ROI 等经营结果。</w:t>
      </w:r>
    </w:p>
    <w:p w14:paraId="480F7B58">
      <w:pPr>
        <w:pStyle w:val="17"/>
      </w:pPr>
      <w:r>
        <w:t>销量预测独立链：确认后的标准销量数据进入企业训练流程，经三时间窗口滚动评测和数据门槛校验后原子发布；标准建模和快速追加可按需运行，不是市场分析的前置条件。</w:t>
      </w:r>
    </w:p>
    <w:p w14:paraId="5AF6F75C">
      <w:pPr>
        <w:pStyle w:val="17"/>
      </w:pPr>
      <w:r>
        <w:t>持续监测投递链：系统对已授权的竞品、评论和政策数据执行周期或人工触发的规则识别，告警入库后通过已配置渠道投递，并记录送达、失败和最多 5 次重试状态；通知只负责触达，不代替采集、分析和业务决策。</w:t>
      </w:r>
    </w:p>
    <w:p w14:paraId="1974015C">
      <w:pPr>
        <w:pStyle w:val="17"/>
      </w:pPr>
      <w:r>
        <w:t>共享底座：三条链路复用企业资产、PostgreSQL 租户隔离、对象存储、审计和可观测能力，但各自保持数据口径、任务状态和发布生命周期独立。</w:t>
      </w:r>
    </w:p>
    <w:p w14:paraId="34A47D4C">
      <w:pPr>
        <w:pStyle w:val="6"/>
        <w:keepNext/>
      </w:pPr>
      <w:r>
        <w:t>4.1.3 Agent 内部流程</w:t>
      </w:r>
    </w:p>
    <w:p w14:paraId="255F755A">
      <w:pPr>
        <w:keepNext w:val="0"/>
        <w:keepLines w:val="0"/>
        <w:widowControl/>
        <w:suppressLineNumbers w:val="0"/>
        <w:spacing w:before="80" w:after="4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lang w:val="en-US" w:eastAsia="zh-CN"/>
        </w:rPr>
        <w:drawing>
          <wp:inline distT="0" distB="0" distL="114300" distR="114300">
            <wp:extent cx="5859145" cy="1977390"/>
            <wp:effectExtent l="0" t="0" r="3810" b="13970"/>
            <wp:docPr id="5" name="图4-3 Agent内部流程" descr="LangGraph I00到I19节点、人工确认和安全恢复流程" title="图4-3 Agent内部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4-3 Agent内部流程" descr="LangGraph I00到I19节点、人工确认和安全恢复流程" title="图4-3 Agent内部流程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19774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167F20">
      <w:pPr>
        <w:spacing w:before="40" w:after="120" w:line="260" w:lineRule="auto"/>
        <w:jc w:val="center"/>
      </w:pPr>
      <w:r>
        <w:rPr>
          <w:i/>
          <w:iCs/>
          <w:color w:val="666666"/>
          <w:sz w:val="18"/>
          <w:szCs w:val="18"/>
        </w:rPr>
        <w:t>图 4-3  LangGraph I00–I19 内部流程与人工确认恢复</w:t>
      </w:r>
    </w:p>
    <w:p w14:paraId="30C75679">
      <w:r>
        <w:t>市场决策 Agent 以 task_uuid 作为 thread_id，依次完成上下文与数据质量检查、竞品过滤、Embedding 与 Rerank、评论 Map/Reduce、需求聚类、价格与趋势并行分析、机会评分、策略生成、证据审计和最终持久化。I02 会加载已确认产品事实、选定知识库和经营配置；I14 在版本化基础分之上应用企业修正分，但不会让模型直接计算或改写数值。</w:t>
      </w:r>
    </w:p>
    <w:p w14:paraId="66012583">
      <w:r>
        <w:t>当出现事实冲突、数据不足、低置信度或高风险建议时，系统在安全业务 Checkpoint 已提交后进入 waiting_human。用户回答先与恢复 Outbox 在同一事务内保存，再由 Worker 使用 Command(resume=...) 和原 task_uuid/thread_id 恢复。前端仅展示五个业务阶段，不展示模型选择细节、隐式推理过程或内部 Agent 角色。</w:t>
      </w:r>
    </w:p>
    <w:p w14:paraId="1514B9DE">
      <w:pPr>
        <w:pStyle w:val="6"/>
        <w:keepNext/>
      </w:pPr>
      <w:r>
        <w:t>4.1.4 模块组成与职责</w:t>
      </w:r>
    </w:p>
    <w:tbl>
      <w:tblPr>
        <w:tblStyle w:val="34"/>
        <w:tblW w:w="9350" w:type="dxa"/>
        <w:tblInd w:w="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2250"/>
        <w:gridCol w:w="4550"/>
        <w:gridCol w:w="1600"/>
      </w:tblGrid>
      <w:tr w14:paraId="7C31B527">
        <w:trPr>
          <w:tblHeader/>
        </w:trPr>
        <w:tc>
          <w:tcPr>
            <w:tcW w:w="9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184EE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ABF1F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模块/目录</w:t>
            </w:r>
          </w:p>
        </w:tc>
        <w:tc>
          <w:tcPr>
            <w:tcW w:w="4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362D2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当前职责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FBBB8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状态口径</w:t>
            </w:r>
          </w:p>
        </w:tc>
      </w:tr>
      <w:tr w14:paraId="3A0ADAF7">
        <w:trPr>
          <w:cantSplit/>
        </w:trPr>
        <w:tc>
          <w:tcPr>
            <w:tcW w:w="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6169F">
            <w:pPr>
              <w:spacing w:after="40" w:line="260" w:lineRule="auto"/>
            </w:pPr>
            <w:r>
              <w:rPr>
                <w:sz w:val="18"/>
                <w:szCs w:val="18"/>
              </w:rPr>
              <w:t>前端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CB5FD">
            <w:pPr>
              <w:spacing w:after="40" w:line="260" w:lineRule="auto"/>
            </w:pPr>
            <w:r>
              <w:rPr>
                <w:sz w:val="18"/>
                <w:szCs w:val="18"/>
              </w:rPr>
              <w:t>frontend/src/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A9834">
            <w:pPr>
              <w:spacing w:after="40" w:line="260" w:lineRule="auto"/>
            </w:pPr>
            <w:r>
              <w:rPr>
                <w:sz w:val="18"/>
                <w:szCs w:val="18"/>
              </w:rPr>
              <w:t>登录、产品与导入、知识库、AI 工作台、市场决策、报告、销量预测、自动化投递和平台管理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3C11C">
            <w:pPr>
              <w:spacing w:after="40" w:line="260" w:lineRule="auto"/>
            </w:pPr>
            <w:r>
              <w:rPr>
                <w:sz w:val="18"/>
                <w:szCs w:val="18"/>
              </w:rPr>
              <w:t>已实现</w:t>
            </w:r>
          </w:p>
        </w:tc>
      </w:tr>
      <w:tr w14:paraId="46F1D383">
        <w:trPr>
          <w:cantSplit/>
        </w:trPr>
        <w:tc>
          <w:tcPr>
            <w:tcW w:w="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EC337">
            <w:pPr>
              <w:spacing w:after="40" w:line="260" w:lineRule="auto"/>
            </w:pPr>
            <w:r>
              <w:rPr>
                <w:sz w:val="18"/>
                <w:szCs w:val="18"/>
              </w:rPr>
              <w:t>接入</w:t>
            </w:r>
          </w:p>
        </w:tc>
        <w:tc>
          <w:tcPr>
            <w:tcW w:w="22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EB054">
            <w:pPr>
              <w:spacing w:after="40" w:line="260" w:lineRule="auto"/>
            </w:pPr>
            <w:r>
              <w:rPr>
                <w:sz w:val="18"/>
                <w:szCs w:val="18"/>
              </w:rPr>
              <w:t>frontend/nginx.conf、FastAPI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8BBF1">
            <w:pPr>
              <w:spacing w:after="40" w:line="260" w:lineRule="auto"/>
            </w:pPr>
            <w:r>
              <w:rPr>
                <w:sz w:val="18"/>
                <w:szCs w:val="18"/>
              </w:rPr>
              <w:t>静态资源托管、REST API、SSE、统一响应 Envelope、Health/Metrics</w:t>
            </w:r>
          </w:p>
        </w:tc>
        <w:tc>
          <w:tcPr>
            <w:tcW w:w="16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95657">
            <w:pPr>
              <w:spacing w:after="40" w:line="260" w:lineRule="auto"/>
            </w:pPr>
            <w:r>
              <w:rPr>
                <w:sz w:val="18"/>
                <w:szCs w:val="18"/>
              </w:rPr>
              <w:t>已实现</w:t>
            </w:r>
          </w:p>
        </w:tc>
      </w:tr>
      <w:tr w14:paraId="792321BF">
        <w:trPr>
          <w:cantSplit/>
        </w:trPr>
        <w:tc>
          <w:tcPr>
            <w:tcW w:w="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943AE">
            <w:pPr>
              <w:spacing w:after="40" w:line="260" w:lineRule="auto"/>
            </w:pPr>
            <w:r>
              <w:rPr>
                <w:sz w:val="18"/>
                <w:szCs w:val="18"/>
              </w:rPr>
              <w:t>认证与租户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28C43">
            <w:pPr>
              <w:spacing w:after="40" w:line="260" w:lineRule="auto"/>
            </w:pPr>
            <w:r>
              <w:rPr>
                <w:sz w:val="18"/>
                <w:szCs w:val="18"/>
              </w:rPr>
              <w:t>auth.py、security/、tenant_security.py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72BF2">
            <w:pPr>
              <w:spacing w:after="40" w:line="260" w:lineRule="auto"/>
            </w:pPr>
            <w:r>
              <w:rPr>
                <w:sz w:val="18"/>
                <w:szCs w:val="18"/>
              </w:rPr>
              <w:t>RS256 JWT、Refresh Token、RBAC、tenant_id 复核、数据库角色与 RLS 上下文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86B24">
            <w:pPr>
              <w:spacing w:after="40" w:line="260" w:lineRule="auto"/>
            </w:pPr>
            <w:r>
              <w:rPr>
                <w:sz w:val="18"/>
                <w:szCs w:val="18"/>
              </w:rPr>
              <w:t>已实现；生产强制角色分离</w:t>
            </w:r>
          </w:p>
        </w:tc>
      </w:tr>
      <w:tr w14:paraId="3F4783A4">
        <w:trPr>
          <w:cantSplit/>
        </w:trPr>
        <w:tc>
          <w:tcPr>
            <w:tcW w:w="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59E7E">
            <w:pPr>
              <w:spacing w:after="40" w:line="260" w:lineRule="auto"/>
            </w:pPr>
            <w:r>
              <w:rPr>
                <w:sz w:val="18"/>
                <w:szCs w:val="18"/>
              </w:rPr>
              <w:t>产品主档</w:t>
            </w:r>
          </w:p>
        </w:tc>
        <w:tc>
          <w:tcPr>
            <w:tcW w:w="22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3DF1A">
            <w:pPr>
              <w:spacing w:after="40" w:line="260" w:lineRule="auto"/>
            </w:pPr>
            <w:r>
              <w:rPr>
                <w:sz w:val="18"/>
                <w:szCs w:val="18"/>
              </w:rPr>
              <w:t>products、product_imports、product_facts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B69B6">
            <w:pPr>
              <w:spacing w:after="40" w:line="260" w:lineRule="auto"/>
            </w:pPr>
            <w:r>
              <w:rPr>
                <w:sz w:val="18"/>
                <w:szCs w:val="18"/>
              </w:rPr>
              <w:t>单品建档、Excel 批量导入、错误回传、SKU 事实确认和一致性管理</w:t>
            </w:r>
          </w:p>
        </w:tc>
        <w:tc>
          <w:tcPr>
            <w:tcW w:w="16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9C3A4">
            <w:pPr>
              <w:spacing w:after="40" w:line="260" w:lineRule="auto"/>
            </w:pPr>
            <w:r>
              <w:rPr>
                <w:sz w:val="18"/>
                <w:szCs w:val="18"/>
              </w:rPr>
              <w:t>已实现</w:t>
            </w:r>
          </w:p>
        </w:tc>
      </w:tr>
      <w:tr w14:paraId="2FAEEB8B">
        <w:trPr>
          <w:cantSplit/>
        </w:trPr>
        <w:tc>
          <w:tcPr>
            <w:tcW w:w="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C223C">
            <w:pPr>
              <w:spacing w:after="40" w:line="260" w:lineRule="auto"/>
            </w:pPr>
            <w:r>
              <w:rPr>
                <w:sz w:val="18"/>
                <w:szCs w:val="18"/>
              </w:rPr>
              <w:t>知识库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DAED5">
            <w:pPr>
              <w:spacing w:after="40" w:line="260" w:lineRule="auto"/>
            </w:pPr>
            <w:r>
              <w:rPr>
                <w:sz w:val="18"/>
                <w:szCs w:val="18"/>
              </w:rPr>
              <w:t>knowledge_bases、knowledge_service.py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C63F4">
            <w:pPr>
              <w:spacing w:after="40" w:line="260" w:lineRule="auto"/>
            </w:pPr>
            <w:r>
              <w:rPr>
                <w:sz w:val="18"/>
                <w:szCs w:val="18"/>
              </w:rPr>
              <w:t>文档 CRUD、版本、分段、Embedding、检索验真、Citation 和无证据拒答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4AB9B">
            <w:pPr>
              <w:spacing w:after="40" w:line="260" w:lineRule="auto"/>
            </w:pPr>
            <w:r>
              <w:rPr>
                <w:sz w:val="18"/>
                <w:szCs w:val="18"/>
              </w:rPr>
              <w:t>已实现；向量能力按数据库扩展启用</w:t>
            </w:r>
          </w:p>
        </w:tc>
      </w:tr>
      <w:tr w14:paraId="3C9C29B3">
        <w:trPr>
          <w:cantSplit/>
        </w:trPr>
        <w:tc>
          <w:tcPr>
            <w:tcW w:w="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08711">
            <w:pPr>
              <w:spacing w:after="40" w:line="260" w:lineRule="auto"/>
            </w:pPr>
            <w:r>
              <w:rPr>
                <w:sz w:val="18"/>
                <w:szCs w:val="18"/>
              </w:rPr>
              <w:t>受控问数</w:t>
            </w:r>
          </w:p>
        </w:tc>
        <w:tc>
          <w:tcPr>
            <w:tcW w:w="22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4603F">
            <w:pPr>
              <w:spacing w:after="40" w:line="260" w:lineRule="auto"/>
            </w:pPr>
            <w:r>
              <w:rPr>
                <w:sz w:val="18"/>
                <w:szCs w:val="18"/>
              </w:rPr>
              <w:t>data_queries、data_query.py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83977">
            <w:pPr>
              <w:spacing w:after="40" w:line="260" w:lineRule="auto"/>
            </w:pPr>
            <w:r>
              <w:rPr>
                <w:sz w:val="18"/>
                <w:szCs w:val="18"/>
              </w:rPr>
              <w:t>白名单数据域、只读查询、超时/行数限制、租户范围与证据输出</w:t>
            </w:r>
          </w:p>
        </w:tc>
        <w:tc>
          <w:tcPr>
            <w:tcW w:w="16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B5B24">
            <w:pPr>
              <w:spacing w:after="40" w:line="260" w:lineRule="auto"/>
            </w:pPr>
            <w:r>
              <w:rPr>
                <w:sz w:val="18"/>
                <w:szCs w:val="18"/>
              </w:rPr>
              <w:t>已实现</w:t>
            </w:r>
          </w:p>
        </w:tc>
      </w:tr>
      <w:tr w14:paraId="3E025C16">
        <w:trPr>
          <w:cantSplit/>
        </w:trPr>
        <w:tc>
          <w:tcPr>
            <w:tcW w:w="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03BB5">
            <w:pPr>
              <w:spacing w:after="40" w:line="260" w:lineRule="auto"/>
            </w:pPr>
            <w:r>
              <w:rPr>
                <w:sz w:val="18"/>
                <w:szCs w:val="18"/>
              </w:rPr>
              <w:t>市场决策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9014F">
            <w:pPr>
              <w:spacing w:after="40" w:line="260" w:lineRule="auto"/>
            </w:pPr>
            <w:r>
              <w:rPr>
                <w:sz w:val="18"/>
                <w:szCs w:val="18"/>
              </w:rPr>
              <w:t>market_intelligence、furniscope_agent/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EBDD7">
            <w:pPr>
              <w:spacing w:after="40" w:line="260" w:lineRule="auto"/>
            </w:pPr>
            <w:r>
              <w:rPr>
                <w:sz w:val="18"/>
                <w:szCs w:val="18"/>
              </w:rPr>
              <w:t>五项市场决策、I00–I19 编排、规则评分、证据审计和报告冻结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C9DD7">
            <w:pPr>
              <w:spacing w:after="40" w:line="260" w:lineRule="auto"/>
            </w:pPr>
            <w:r>
              <w:rPr>
                <w:sz w:val="18"/>
                <w:szCs w:val="18"/>
              </w:rPr>
              <w:t>已实现</w:t>
            </w:r>
          </w:p>
        </w:tc>
      </w:tr>
      <w:tr w14:paraId="09B65DB3">
        <w:trPr>
          <w:cantSplit/>
        </w:trPr>
        <w:tc>
          <w:tcPr>
            <w:tcW w:w="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8F4FD">
            <w:pPr>
              <w:spacing w:after="40" w:line="260" w:lineRule="auto"/>
            </w:pPr>
            <w:r>
              <w:rPr>
                <w:sz w:val="18"/>
                <w:szCs w:val="18"/>
              </w:rPr>
              <w:t>经营闭环</w:t>
            </w:r>
          </w:p>
        </w:tc>
        <w:tc>
          <w:tcPr>
            <w:tcW w:w="22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40916">
            <w:pPr>
              <w:spacing w:after="40" w:line="260" w:lineRule="auto"/>
            </w:pPr>
            <w:r>
              <w:rPr>
                <w:sz w:val="18"/>
                <w:szCs w:val="18"/>
              </w:rPr>
              <w:t>opportunity_outcomes、enterprise_decision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0D78C">
            <w:pPr>
              <w:spacing w:after="40" w:line="260" w:lineRule="auto"/>
            </w:pPr>
            <w:r>
              <w:rPr>
                <w:sz w:val="18"/>
                <w:szCs w:val="18"/>
              </w:rPr>
              <w:t>机会采纳/拒绝/待验证、实施跟踪、经营结果与财务口径回流</w:t>
            </w:r>
          </w:p>
        </w:tc>
        <w:tc>
          <w:tcPr>
            <w:tcW w:w="16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C3373">
            <w:pPr>
              <w:spacing w:after="40" w:line="260" w:lineRule="auto"/>
            </w:pPr>
            <w:r>
              <w:rPr>
                <w:sz w:val="18"/>
                <w:szCs w:val="18"/>
              </w:rPr>
              <w:t>已实现</w:t>
            </w:r>
          </w:p>
        </w:tc>
      </w:tr>
      <w:tr w14:paraId="7A1F6C10">
        <w:trPr>
          <w:cantSplit/>
        </w:trPr>
        <w:tc>
          <w:tcPr>
            <w:tcW w:w="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8F9BC">
            <w:pPr>
              <w:spacing w:after="40" w:line="260" w:lineRule="auto"/>
            </w:pPr>
            <w:r>
              <w:rPr>
                <w:sz w:val="18"/>
                <w:szCs w:val="18"/>
              </w:rPr>
              <w:t>销量预测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4DDA0">
            <w:pPr>
              <w:spacing w:after="40" w:line="260" w:lineRule="auto"/>
            </w:pPr>
            <w:r>
              <w:rPr>
                <w:sz w:val="18"/>
                <w:szCs w:val="18"/>
              </w:rPr>
              <w:t>furniscope_forecast/、forecast_*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9138E">
            <w:pPr>
              <w:spacing w:after="40" w:line="260" w:lineRule="auto"/>
            </w:pPr>
            <w:r>
              <w:rPr>
                <w:sz w:val="18"/>
                <w:szCs w:val="18"/>
              </w:rPr>
              <w:t>共享预测、企业训练、滚动评测、原子发布、快速追加与回滚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BB7DC">
            <w:pPr>
              <w:spacing w:after="40" w:line="260" w:lineRule="auto"/>
            </w:pPr>
            <w:r>
              <w:rPr>
                <w:sz w:val="18"/>
                <w:szCs w:val="18"/>
              </w:rPr>
              <w:t>已实现</w:t>
            </w:r>
          </w:p>
        </w:tc>
      </w:tr>
      <w:tr w14:paraId="16545300">
        <w:trPr>
          <w:cantSplit/>
        </w:trPr>
        <w:tc>
          <w:tcPr>
            <w:tcW w:w="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10724">
            <w:pPr>
              <w:spacing w:after="40" w:line="260" w:lineRule="auto"/>
            </w:pPr>
            <w:r>
              <w:rPr>
                <w:sz w:val="18"/>
                <w:szCs w:val="18"/>
              </w:rPr>
              <w:t>持续监测</w:t>
            </w:r>
          </w:p>
        </w:tc>
        <w:tc>
          <w:tcPr>
            <w:tcW w:w="22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987F4">
            <w:pPr>
              <w:spacing w:after="40" w:line="260" w:lineRule="auto"/>
            </w:pPr>
            <w:r>
              <w:rPr>
                <w:sz w:val="18"/>
                <w:szCs w:val="18"/>
              </w:rPr>
              <w:t>signals、notifications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4363B">
            <w:pPr>
              <w:spacing w:after="40" w:line="260" w:lineRule="auto"/>
            </w:pPr>
            <w:r>
              <w:rPr>
                <w:sz w:val="18"/>
                <w:szCs w:val="18"/>
              </w:rPr>
              <w:t>竞品/政策信号、告警、渠道 CRUD、投递状态与失败重试</w:t>
            </w:r>
          </w:p>
        </w:tc>
        <w:tc>
          <w:tcPr>
            <w:tcW w:w="16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F43C0">
            <w:pPr>
              <w:spacing w:after="40" w:line="260" w:lineRule="auto"/>
            </w:pPr>
            <w:r>
              <w:rPr>
                <w:sz w:val="18"/>
                <w:szCs w:val="18"/>
              </w:rPr>
              <w:t>已实现；真实外部网关按环境接入</w:t>
            </w:r>
          </w:p>
        </w:tc>
      </w:tr>
      <w:tr w14:paraId="2EEA83F0">
        <w:trPr>
          <w:cantSplit/>
        </w:trPr>
        <w:tc>
          <w:tcPr>
            <w:tcW w:w="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E8D75">
            <w:pPr>
              <w:spacing w:after="40" w:line="260" w:lineRule="auto"/>
            </w:pPr>
            <w:r>
              <w:rPr>
                <w:sz w:val="18"/>
                <w:szCs w:val="18"/>
              </w:rPr>
              <w:t>队列与 Worker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CF53C">
            <w:pPr>
              <w:spacing w:after="40" w:line="260" w:lineRule="auto"/>
            </w:pPr>
            <w:r>
              <w:rPr>
                <w:sz w:val="18"/>
                <w:szCs w:val="18"/>
              </w:rPr>
              <w:t>job_queue.py、worker.py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60BB0">
            <w:pPr>
              <w:spacing w:after="40" w:line="260" w:lineRule="auto"/>
            </w:pPr>
            <w:r>
              <w:rPr>
                <w:sz w:val="18"/>
                <w:szCs w:val="18"/>
              </w:rPr>
              <w:t>Redis Streams、消费组、租约/心跳、重试、死信和定时维护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9724A">
            <w:pPr>
              <w:spacing w:after="40" w:line="260" w:lineRule="auto"/>
            </w:pPr>
            <w:r>
              <w:rPr>
                <w:sz w:val="18"/>
                <w:szCs w:val="18"/>
              </w:rPr>
              <w:t>已实现</w:t>
            </w:r>
          </w:p>
        </w:tc>
      </w:tr>
      <w:tr w14:paraId="6C6B988C">
        <w:trPr>
          <w:cantSplit/>
        </w:trPr>
        <w:tc>
          <w:tcPr>
            <w:tcW w:w="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E4B7D">
            <w:pPr>
              <w:spacing w:after="40" w:line="260" w:lineRule="auto"/>
            </w:pPr>
            <w:r>
              <w:rPr>
                <w:sz w:val="18"/>
                <w:szCs w:val="18"/>
              </w:rPr>
              <w:t>模型适配</w:t>
            </w:r>
          </w:p>
        </w:tc>
        <w:tc>
          <w:tcPr>
            <w:tcW w:w="22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DB70C">
            <w:pPr>
              <w:spacing w:after="40" w:line="260" w:lineRule="auto"/>
            </w:pPr>
            <w:r>
              <w:rPr>
                <w:sz w:val="18"/>
                <w:szCs w:val="18"/>
              </w:rPr>
              <w:t>model_router.py、model_router_client.py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B91BD">
            <w:pPr>
              <w:spacing w:after="40" w:line="260" w:lineRule="auto"/>
            </w:pPr>
            <w:r>
              <w:rPr>
                <w:sz w:val="18"/>
                <w:szCs w:val="18"/>
              </w:rPr>
              <w:t>Chat、Embedding、Rerank、Schema 校验、重试和受限回退</w:t>
            </w:r>
          </w:p>
        </w:tc>
        <w:tc>
          <w:tcPr>
            <w:tcW w:w="16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59354">
            <w:pPr>
              <w:spacing w:after="40" w:line="260" w:lineRule="auto"/>
            </w:pPr>
            <w:r>
              <w:rPr>
                <w:sz w:val="18"/>
                <w:szCs w:val="18"/>
              </w:rPr>
              <w:t>已实现，按密钥启用</w:t>
            </w:r>
          </w:p>
        </w:tc>
      </w:tr>
      <w:tr w14:paraId="50BF3769">
        <w:trPr>
          <w:cantSplit/>
        </w:trPr>
        <w:tc>
          <w:tcPr>
            <w:tcW w:w="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43CE2">
            <w:pPr>
              <w:spacing w:after="40" w:line="260" w:lineRule="auto"/>
            </w:pPr>
            <w:r>
              <w:rPr>
                <w:sz w:val="18"/>
                <w:szCs w:val="18"/>
              </w:rPr>
              <w:t>数据与存储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F4055">
            <w:pPr>
              <w:spacing w:after="40" w:line="260" w:lineRule="auto"/>
            </w:pPr>
            <w:r>
              <w:rPr>
                <w:sz w:val="18"/>
                <w:szCs w:val="18"/>
              </w:rPr>
              <w:t>PostgreSQL、demo_storage.py、migrations/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02BA2">
            <w:pPr>
              <w:spacing w:after="40" w:line="260" w:lineRule="auto"/>
            </w:pPr>
            <w:r>
              <w:rPr>
                <w:sz w:val="18"/>
                <w:szCs w:val="18"/>
              </w:rPr>
              <w:t>业务持久化、RLS/FORCE RLS、Local/S3 私有对象存储、SHA-256 和制品管理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3831F">
            <w:pPr>
              <w:spacing w:after="40" w:line="260" w:lineRule="auto"/>
            </w:pPr>
            <w:r>
              <w:rPr>
                <w:sz w:val="18"/>
                <w:szCs w:val="18"/>
              </w:rPr>
              <w:t>已实现；生产资源待部署验收</w:t>
            </w:r>
          </w:p>
        </w:tc>
      </w:tr>
      <w:tr w14:paraId="71E087CA">
        <w:trPr>
          <w:cantSplit/>
        </w:trPr>
        <w:tc>
          <w:tcPr>
            <w:tcW w:w="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A7FC3">
            <w:pPr>
              <w:spacing w:after="40" w:line="260" w:lineRule="auto"/>
            </w:pPr>
            <w:r>
              <w:rPr>
                <w:sz w:val="18"/>
                <w:szCs w:val="18"/>
              </w:rPr>
              <w:t>运维</w:t>
            </w:r>
          </w:p>
        </w:tc>
        <w:tc>
          <w:tcPr>
            <w:tcW w:w="22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44126">
            <w:pPr>
              <w:spacing w:after="40" w:line="260" w:lineRule="auto"/>
            </w:pPr>
            <w:r>
              <w:rPr>
                <w:sz w:val="18"/>
                <w:szCs w:val="18"/>
              </w:rPr>
              <w:t>deploy/monitoring/、scripts/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D8DE3">
            <w:pPr>
              <w:spacing w:after="40" w:line="260" w:lineRule="auto"/>
            </w:pPr>
            <w:r>
              <w:rPr>
                <w:sz w:val="18"/>
                <w:szCs w:val="18"/>
              </w:rPr>
              <w:t>Prometheus、Grafana、Alertmanager、备份、PITR 准备和恢复脚本</w:t>
            </w:r>
          </w:p>
        </w:tc>
        <w:tc>
          <w:tcPr>
            <w:tcW w:w="16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DF498">
            <w:pPr>
              <w:spacing w:after="40" w:line="260" w:lineRule="auto"/>
            </w:pPr>
            <w:r>
              <w:rPr>
                <w:sz w:val="18"/>
                <w:szCs w:val="18"/>
              </w:rPr>
              <w:t>配置已实现；接收器/演练/高可用待生产验收</w:t>
            </w:r>
          </w:p>
        </w:tc>
      </w:tr>
    </w:tbl>
    <w:p w14:paraId="6C927F66">
      <w:pPr>
        <w:pStyle w:val="5"/>
        <w:keepNext/>
      </w:pPr>
      <w:r>
        <w:t>4.2 调用的阿里云百炼模型与回退边界</w:t>
      </w:r>
    </w:p>
    <w:p w14:paraId="19BA0063">
      <w:pPr>
        <w:pStyle w:val="6"/>
        <w:keepNext/>
      </w:pPr>
      <w:r>
        <w:t>4.2.1 模型清单</w:t>
      </w:r>
    </w:p>
    <w:tbl>
      <w:tblPr>
        <w:tblStyle w:val="34"/>
        <w:tblW w:w="9300" w:type="dxa"/>
        <w:tblInd w:w="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000"/>
        <w:gridCol w:w="1800"/>
        <w:gridCol w:w="2600"/>
        <w:gridCol w:w="1700"/>
      </w:tblGrid>
      <w:tr w14:paraId="71FBAEF9">
        <w:trPr>
          <w:tblHeader/>
        </w:trPr>
        <w:tc>
          <w:tcPr>
            <w:tcW w:w="12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E137E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模型标识</w:t>
            </w:r>
          </w:p>
        </w:tc>
        <w:tc>
          <w:tcPr>
            <w:tcW w:w="20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1E317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用途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A930F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实际调用位置</w:t>
            </w:r>
          </w:p>
        </w:tc>
        <w:tc>
          <w:tcPr>
            <w:tcW w:w="26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4BB79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调用链</w:t>
            </w:r>
          </w:p>
        </w:tc>
        <w:tc>
          <w:tcPr>
            <w:tcW w:w="17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A2E2E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状态与边界</w:t>
            </w:r>
          </w:p>
        </w:tc>
      </w:tr>
      <w:tr w14:paraId="0B7C8CAA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65197">
            <w:pPr>
              <w:spacing w:after="40" w:line="260" w:lineRule="auto"/>
            </w:pPr>
            <w:r>
              <w:rPr>
                <w:sz w:val="18"/>
                <w:szCs w:val="18"/>
              </w:rPr>
              <w:t>qwen3.7-plus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A5438">
            <w:pPr>
              <w:spacing w:after="40" w:line="260" w:lineRule="auto"/>
            </w:pPr>
            <w:r>
              <w:rPr>
                <w:sz w:val="18"/>
                <w:szCs w:val="18"/>
              </w:rPr>
              <w:t>产品资料结构化抽取、基于任务证据的问答与结构化文本组织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F6D44">
            <w:pPr>
              <w:spacing w:after="40" w:line="260" w:lineRule="auto"/>
            </w:pPr>
            <w:r>
              <w:rPr>
                <w:sz w:val="18"/>
                <w:szCs w:val="18"/>
              </w:rPr>
              <w:t>ParseService、任务 Chat、内部 /invoke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3A36F">
            <w:pPr>
              <w:spacing w:after="40" w:line="260" w:lineRule="auto"/>
            </w:pPr>
            <w:r>
              <w:rPr>
                <w:sz w:val="18"/>
                <w:szCs w:val="18"/>
              </w:rPr>
              <w:t>业务服务/Agent → 模型路由客户端 → 百炼 Chat Completions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5015E">
            <w:pPr>
              <w:spacing w:after="40" w:line="260" w:lineRule="auto"/>
            </w:pPr>
            <w:r>
              <w:rPr>
                <w:sz w:val="18"/>
                <w:szCs w:val="18"/>
              </w:rPr>
              <w:t>默认文本模型；配置 Key 后启用</w:t>
            </w:r>
          </w:p>
        </w:tc>
      </w:tr>
      <w:tr w14:paraId="7C568357">
        <w:trPr>
          <w:cantSplit/>
        </w:trPr>
        <w:tc>
          <w:tcPr>
            <w:tcW w:w="12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FEA5D">
            <w:pPr>
              <w:spacing w:after="40" w:line="260" w:lineRule="auto"/>
            </w:pPr>
            <w:r>
              <w:rPr>
                <w:sz w:val="18"/>
                <w:szCs w:val="18"/>
              </w:rPr>
              <w:t>text-embedding-v4</w:t>
            </w:r>
          </w:p>
        </w:tc>
        <w:tc>
          <w:tcPr>
            <w:tcW w:w="20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E13FB">
            <w:pPr>
              <w:spacing w:after="40" w:line="260" w:lineRule="auto"/>
            </w:pPr>
            <w:r>
              <w:rPr>
                <w:sz w:val="18"/>
                <w:szCs w:val="18"/>
              </w:rPr>
              <w:t>竞品语义相似度；知识库分段向量化与检索</w:t>
            </w:r>
          </w:p>
        </w:tc>
        <w:tc>
          <w:tcPr>
            <w:tcW w:w="18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0E70B">
            <w:pPr>
              <w:spacing w:after="40" w:line="260" w:lineRule="auto"/>
            </w:pPr>
            <w:r>
              <w:rPr>
                <w:sz w:val="18"/>
                <w:szCs w:val="18"/>
              </w:rPr>
              <w:t>Agent I05、知识库索引、内部 /embeddings</w:t>
            </w:r>
          </w:p>
        </w:tc>
        <w:tc>
          <w:tcPr>
            <w:tcW w:w="26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CE2F9">
            <w:pPr>
              <w:spacing w:after="40" w:line="260" w:lineRule="auto"/>
            </w:pPr>
            <w:r>
              <w:rPr>
                <w:sz w:val="18"/>
                <w:szCs w:val="18"/>
              </w:rPr>
              <w:t>客户端分批 → 百炼 Embeddings；固定 1024 维</w:t>
            </w:r>
          </w:p>
        </w:tc>
        <w:tc>
          <w:tcPr>
            <w:tcW w:w="17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314E0">
            <w:pPr>
              <w:spacing w:after="40" w:line="260" w:lineRule="auto"/>
            </w:pPr>
            <w:r>
              <w:rPr>
                <w:sz w:val="18"/>
                <w:szCs w:val="18"/>
              </w:rPr>
              <w:t>已接入；两类向量的持久化策略不同</w:t>
            </w:r>
          </w:p>
        </w:tc>
      </w:tr>
      <w:tr w14:paraId="2065C9DB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100D8">
            <w:pPr>
              <w:spacing w:after="40" w:line="260" w:lineRule="auto"/>
            </w:pPr>
            <w:r>
              <w:rPr>
                <w:sz w:val="18"/>
                <w:szCs w:val="18"/>
              </w:rPr>
              <w:t>qwen3-rerank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D00F3">
            <w:pPr>
              <w:spacing w:after="40" w:line="260" w:lineRule="auto"/>
            </w:pPr>
            <w:r>
              <w:rPr>
                <w:sz w:val="18"/>
                <w:szCs w:val="18"/>
              </w:rPr>
              <w:t>产品查询与候选商品/知识片段的相关性重排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EF75E">
            <w:pPr>
              <w:spacing w:after="40" w:line="260" w:lineRule="auto"/>
            </w:pPr>
            <w:r>
              <w:rPr>
                <w:sz w:val="18"/>
                <w:szCs w:val="18"/>
              </w:rPr>
              <w:t>Agent I06、检索服务、内部 /rerank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1C7E5">
            <w:pPr>
              <w:spacing w:after="40" w:line="260" w:lineRule="auto"/>
            </w:pPr>
            <w:r>
              <w:rPr>
                <w:sz w:val="18"/>
                <w:szCs w:val="18"/>
              </w:rPr>
              <w:t>模型路由客户端 → 百炼 Rerank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6191E">
            <w:pPr>
              <w:spacing w:after="40" w:line="260" w:lineRule="auto"/>
            </w:pPr>
            <w:r>
              <w:rPr>
                <w:sz w:val="18"/>
                <w:szCs w:val="18"/>
              </w:rPr>
              <w:t>已接入；模型不可用时使用确定性排序降级</w:t>
            </w:r>
          </w:p>
        </w:tc>
      </w:tr>
      <w:tr w14:paraId="29FD9ED7">
        <w:trPr>
          <w:cantSplit/>
        </w:trPr>
        <w:tc>
          <w:tcPr>
            <w:tcW w:w="12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F93FA">
            <w:pPr>
              <w:spacing w:after="40"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20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37CC0">
            <w:pPr>
              <w:spacing w:after="40" w:line="260" w:lineRule="auto"/>
            </w:pPr>
            <w:r>
              <w:rPr>
                <w:sz w:val="18"/>
                <w:szCs w:val="18"/>
              </w:rPr>
              <w:t>Chat 配额耗尽时的文本回退</w:t>
            </w:r>
          </w:p>
        </w:tc>
        <w:tc>
          <w:tcPr>
            <w:tcW w:w="18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F71EC">
            <w:pPr>
              <w:spacing w:after="40" w:line="260" w:lineRule="auto"/>
            </w:pPr>
            <w:r>
              <w:rPr>
                <w:sz w:val="18"/>
                <w:szCs w:val="18"/>
              </w:rPr>
              <w:t>Chat 路由</w:t>
            </w:r>
          </w:p>
        </w:tc>
        <w:tc>
          <w:tcPr>
            <w:tcW w:w="26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DCA72">
            <w:pPr>
              <w:spacing w:after="40" w:line="260" w:lineRule="auto"/>
            </w:pPr>
            <w:r>
              <w:rPr>
                <w:sz w:val="18"/>
                <w:szCs w:val="18"/>
              </w:rPr>
              <w:t>仅识别为配额/余额耗尽且配置 DEEPSEEK_API_KEY 时调用</w:t>
            </w:r>
          </w:p>
        </w:tc>
        <w:tc>
          <w:tcPr>
            <w:tcW w:w="17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A4385">
            <w:pPr>
              <w:spacing w:after="40" w:line="260" w:lineRule="auto"/>
            </w:pPr>
            <w:r>
              <w:rPr>
                <w:sz w:val="18"/>
                <w:szCs w:val="18"/>
              </w:rPr>
              <w:t>可选；Embedding/Rerank 不跨供应商回退</w:t>
            </w:r>
          </w:p>
        </w:tc>
      </w:tr>
    </w:tbl>
    <w:p w14:paraId="6AB4DDC0">
      <w:r>
        <w:t>当前运行配置未接入视觉大模型。PDF、XLSX 和图片资料先走确定性解析与 OCR；图片无可识别文字时返回明确错误，不会猜测材质、尺寸或工艺属性。模型标识、Base URL 和 Path 均由服务端环境变量注入，业务代码不保存 API Key。</w:t>
      </w:r>
    </w:p>
    <w:p w14:paraId="3C36B5FC">
      <w:pPr>
        <w:pStyle w:val="6"/>
        <w:keepNext/>
      </w:pPr>
      <w:r>
        <w:t>4.2.2 Chat 调用协议</w:t>
      </w:r>
    </w:p>
    <w:p w14:paraId="4357FFED">
      <w:pPr>
        <w:pStyle w:val="17"/>
      </w:pPr>
      <w:r>
        <w:t>默认端点：POST https://token-plan.cn-beijing.maas.aliyuncs.com/compatible-mode/v1/chat/completions；使用服务端 Bearer Token，外部模型 URL 必须为 HTTPS。</w:t>
      </w:r>
    </w:p>
    <w:p w14:paraId="21CFA6F3">
      <w:pPr>
        <w:pStyle w:val="17"/>
      </w:pPr>
      <w:r>
        <w:t>请求模型为 qwen3.7-plus，业务上下文在服务端按任务和租户裁剪；结构化场景要求 JSON Object，并由 Pydantic/必填字段 Schema 二次校验。</w:t>
      </w:r>
    </w:p>
    <w:p w14:paraId="0DD5808E">
      <w:pPr>
        <w:pStyle w:val="17"/>
      </w:pPr>
      <w:r>
        <w:t>默认单次超时 90 秒，最多重试 2 次；通用模型客户端通过进程内 Semaphore 限制并发。</w:t>
      </w:r>
    </w:p>
    <w:p w14:paraId="1AEC3B20">
      <w:pPr>
        <w:pStyle w:val="17"/>
      </w:pPr>
      <w:r>
        <w:t>只有明确识别为配额或余额耗尽且已配置 DeepSeek Key 时才切换 deepseek-chat；普通超时、HTTP 错误或 Schema 错误不跨供应商切换。</w:t>
      </w:r>
    </w:p>
    <w:p w14:paraId="2ADA70D9">
      <w:pPr>
        <w:pStyle w:val="17"/>
      </w:pPr>
      <w:r>
        <w:t>任务问答必须绑定当前任务、知识库或查询证据；模型不可用或证据不足时使用受控模板或明确拒答，不脱离企业数据生成事实。</w:t>
      </w:r>
    </w:p>
    <w:p w14:paraId="5FB2F982">
      <w:pPr>
        <w:pStyle w:val="6"/>
        <w:keepNext/>
      </w:pPr>
      <w:r>
        <w:t>4.2.3 Embedding 调用协议与持久化口径</w:t>
      </w:r>
    </w:p>
    <w:p w14:paraId="11CE155A">
      <w:pPr>
        <w:pStyle w:val="17"/>
      </w:pPr>
      <w:r>
        <w:t>请求模型为 text-embedding-v4，dimensions 固定为 1024，单批最多 10 条文本；客户端自动分批、保持原输入顺序并校验返回数量和向量维度。</w:t>
      </w:r>
    </w:p>
    <w:p w14:paraId="036C7845">
      <w:pPr>
        <w:pStyle w:val="17"/>
      </w:pPr>
      <w:r>
        <w:t>竞品检索：I05 对产品签名和授权市场候选文本生成向量，在 Worker 内存中计算相似度；原始竞品向量不写入 PostgreSQL。不可用时降级为确定性 Token 相似度，并记录质量标记。</w:t>
      </w:r>
    </w:p>
    <w:p w14:paraId="3EED8CA5">
      <w:pPr>
        <w:pStyle w:val="17"/>
      </w:pPr>
      <w:r>
        <w:t>知识库检索：文档、版本、分段、全文检索字段、Embedding 模型/版本与向量结果持久化。迁移 v3_30 在数据库可用 pgvector 时启用 vector(1024) 和 HNSW 索引；扩展不可用时保留全文/关键词检索与进程内相似度回退。</w:t>
      </w:r>
    </w:p>
    <w:p w14:paraId="5BB8DE6D">
      <w:pPr>
        <w:pStyle w:val="17"/>
      </w:pPr>
      <w:r>
        <w:t>因此不能用单一的“无向量持久化”描述整个系统：竞品向量是任务内存路径，知识库向量是条件启用的持久化路径，两者按数据域隔离。</w:t>
      </w:r>
    </w:p>
    <w:p w14:paraId="0546A15C">
      <w:pPr>
        <w:pStyle w:val="6"/>
        <w:keepNext/>
      </w:pPr>
      <w:r>
        <w:t>4.2.4 Rerank 调用协议</w:t>
      </w:r>
    </w:p>
    <w:p w14:paraId="02DE2ED6">
      <w:pPr>
        <w:pStyle w:val="17"/>
      </w:pPr>
      <w:r>
        <w:t>默认端点：POST https://token-plan.cn-beijing.maas.aliyuncs.com/compatible-api/v1/reranks；请求包含 query、documents 和 top_n。</w:t>
      </w:r>
    </w:p>
    <w:p w14:paraId="0082BE37">
      <w:pPr>
        <w:pStyle w:val="17"/>
      </w:pPr>
      <w:r>
        <w:t>响应读取 results[].index 与 relevance_score，并校验候选下标和 0–1 分数范围。</w:t>
      </w:r>
    </w:p>
    <w:p w14:paraId="15463176">
      <w:pPr>
        <w:pStyle w:val="17"/>
      </w:pPr>
      <w:r>
        <w:t>竞品链路中，Rerank 分数与品类、材质、风格等确定性分项共同形成 overall_score；知识库链路中，Rerank 只调整已授权候选片段顺序，不生成证据。</w:t>
      </w:r>
    </w:p>
    <w:p w14:paraId="2E14BCC9">
      <w:pPr>
        <w:pStyle w:val="17"/>
      </w:pPr>
      <w:r>
        <w:t>服务不可用时使用本地 Token/全文相关性排序并记录降级，不影响原文 Citation 的可追溯性。</w:t>
      </w:r>
    </w:p>
    <w:p w14:paraId="6072C903">
      <w:pPr>
        <w:pStyle w:val="6"/>
        <w:keepNext/>
      </w:pPr>
      <w:r>
        <w:t>4.2.5 关键配置项</w:t>
      </w:r>
    </w:p>
    <w:tbl>
      <w:tblPr>
        <w:tblStyle w:val="34"/>
        <w:tblW w:w="9300" w:type="dxa"/>
        <w:tblInd w:w="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2100"/>
        <w:gridCol w:w="3900"/>
      </w:tblGrid>
      <w:tr w14:paraId="25804D1A">
        <w:trPr>
          <w:tblHeader/>
        </w:trPr>
        <w:tc>
          <w:tcPr>
            <w:tcW w:w="33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C4B3C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配置项</w:t>
            </w:r>
          </w:p>
        </w:tc>
        <w:tc>
          <w:tcPr>
            <w:tcW w:w="21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FF096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默认/约束</w:t>
            </w:r>
          </w:p>
        </w:tc>
        <w:tc>
          <w:tcPr>
            <w:tcW w:w="39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154E4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7F206C91">
        <w:trPr>
          <w:cantSplit/>
        </w:trPr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A5200">
            <w:pPr>
              <w:spacing w:after="40" w:line="260" w:lineRule="auto"/>
            </w:pPr>
            <w:r>
              <w:rPr>
                <w:sz w:val="18"/>
                <w:szCs w:val="18"/>
              </w:rPr>
              <w:t>ALIYUN_MODEL_ROUTER_TEXT_MODEL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B3AE3">
            <w:pPr>
              <w:spacing w:after="40" w:line="260" w:lineRule="auto"/>
            </w:pPr>
            <w:r>
              <w:rPr>
                <w:sz w:val="18"/>
                <w:szCs w:val="18"/>
              </w:rPr>
              <w:t>qwen3.7-plus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29345">
            <w:pPr>
              <w:spacing w:after="40" w:line="260" w:lineRule="auto"/>
            </w:pPr>
            <w:r>
              <w:rPr>
                <w:sz w:val="18"/>
                <w:szCs w:val="18"/>
              </w:rPr>
              <w:t>Chat 默认模型</w:t>
            </w:r>
          </w:p>
        </w:tc>
      </w:tr>
      <w:tr w14:paraId="66FE064A">
        <w:trPr>
          <w:cantSplit/>
        </w:trPr>
        <w:tc>
          <w:tcPr>
            <w:tcW w:w="3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6CE52">
            <w:pPr>
              <w:spacing w:after="40" w:line="260" w:lineRule="auto"/>
            </w:pPr>
            <w:r>
              <w:rPr>
                <w:sz w:val="18"/>
                <w:szCs w:val="18"/>
              </w:rPr>
              <w:t>ALIYUN_MODEL_ROUTER_EMBEDDING_MODEL</w:t>
            </w:r>
          </w:p>
        </w:tc>
        <w:tc>
          <w:tcPr>
            <w:tcW w:w="2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ED8A9">
            <w:pPr>
              <w:spacing w:after="40" w:line="260" w:lineRule="auto"/>
            </w:pPr>
            <w:r>
              <w:rPr>
                <w:sz w:val="18"/>
                <w:szCs w:val="18"/>
              </w:rPr>
              <w:t>text-embedding-v4</w:t>
            </w:r>
          </w:p>
        </w:tc>
        <w:tc>
          <w:tcPr>
            <w:tcW w:w="3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D227F">
            <w:pPr>
              <w:spacing w:after="40" w:line="260" w:lineRule="auto"/>
            </w:pPr>
            <w:r>
              <w:rPr>
                <w:sz w:val="18"/>
                <w:szCs w:val="18"/>
              </w:rPr>
              <w:t>竞品与知识库 Embedding</w:t>
            </w:r>
          </w:p>
        </w:tc>
      </w:tr>
      <w:tr w14:paraId="5CBD1C16">
        <w:trPr>
          <w:cantSplit/>
        </w:trPr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73D93">
            <w:pPr>
              <w:spacing w:after="40" w:line="260" w:lineRule="auto"/>
            </w:pPr>
            <w:r>
              <w:rPr>
                <w:sz w:val="18"/>
                <w:szCs w:val="18"/>
              </w:rPr>
              <w:t>ALIYUN_MODEL_ROUTER_EMBEDDING_DIMENSIONS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BA636">
            <w:pPr>
              <w:spacing w:after="40" w:line="260" w:lineRule="auto"/>
            </w:pPr>
            <w:r>
              <w:rPr>
                <w:sz w:val="18"/>
                <w:szCs w:val="18"/>
              </w:rPr>
              <w:t>1024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EB002">
            <w:pPr>
              <w:spacing w:after="40" w:line="260" w:lineRule="auto"/>
            </w:pPr>
            <w:r>
              <w:rPr>
                <w:sz w:val="18"/>
                <w:szCs w:val="18"/>
              </w:rPr>
              <w:t>向量维度；数据库向量列和 HNSW 索引保持一致</w:t>
            </w:r>
          </w:p>
        </w:tc>
      </w:tr>
      <w:tr w14:paraId="4FE4E489">
        <w:trPr>
          <w:cantSplit/>
        </w:trPr>
        <w:tc>
          <w:tcPr>
            <w:tcW w:w="3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12CBB">
            <w:pPr>
              <w:spacing w:after="40" w:line="260" w:lineRule="auto"/>
            </w:pPr>
            <w:r>
              <w:rPr>
                <w:sz w:val="18"/>
                <w:szCs w:val="18"/>
              </w:rPr>
              <w:t>ALIYUN_MODEL_ROUTER_RERANK_MODEL</w:t>
            </w:r>
          </w:p>
        </w:tc>
        <w:tc>
          <w:tcPr>
            <w:tcW w:w="2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A71EC">
            <w:pPr>
              <w:spacing w:after="40" w:line="260" w:lineRule="auto"/>
            </w:pPr>
            <w:r>
              <w:rPr>
                <w:sz w:val="18"/>
                <w:szCs w:val="18"/>
              </w:rPr>
              <w:t>qwen3-rerank</w:t>
            </w:r>
          </w:p>
        </w:tc>
        <w:tc>
          <w:tcPr>
            <w:tcW w:w="3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C88FB">
            <w:pPr>
              <w:spacing w:after="40" w:line="260" w:lineRule="auto"/>
            </w:pPr>
            <w:r>
              <w:rPr>
                <w:sz w:val="18"/>
                <w:szCs w:val="18"/>
              </w:rPr>
              <w:t>候选重排</w:t>
            </w:r>
          </w:p>
        </w:tc>
      </w:tr>
      <w:tr w14:paraId="704200BC">
        <w:trPr>
          <w:cantSplit/>
        </w:trPr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30A34">
            <w:pPr>
              <w:spacing w:after="40" w:line="260" w:lineRule="auto"/>
            </w:pPr>
            <w:r>
              <w:rPr>
                <w:sz w:val="18"/>
                <w:szCs w:val="18"/>
              </w:rPr>
              <w:t>ALIYUN_MODEL_ROUTER_TIMEOUT_SECONDS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4274F">
            <w:pPr>
              <w:spacing w:after="40" w:line="260" w:lineRule="auto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B6D87">
            <w:pPr>
              <w:spacing w:after="40" w:line="260" w:lineRule="auto"/>
            </w:pPr>
            <w:r>
              <w:rPr>
                <w:sz w:val="18"/>
                <w:szCs w:val="18"/>
              </w:rPr>
              <w:t>单次请求超时</w:t>
            </w:r>
          </w:p>
        </w:tc>
      </w:tr>
      <w:tr w14:paraId="2802A193">
        <w:trPr>
          <w:cantSplit/>
        </w:trPr>
        <w:tc>
          <w:tcPr>
            <w:tcW w:w="3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26D01">
            <w:pPr>
              <w:spacing w:after="40" w:line="260" w:lineRule="auto"/>
            </w:pPr>
            <w:r>
              <w:rPr>
                <w:sz w:val="18"/>
                <w:szCs w:val="18"/>
              </w:rPr>
              <w:t>ALIYUN_MODEL_ROUTER_MAX_RETRIES</w:t>
            </w:r>
          </w:p>
        </w:tc>
        <w:tc>
          <w:tcPr>
            <w:tcW w:w="2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3D502">
            <w:pPr>
              <w:spacing w:after="40"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CAE6B">
            <w:pPr>
              <w:spacing w:after="40" w:line="260" w:lineRule="auto"/>
            </w:pPr>
            <w:r>
              <w:rPr>
                <w:sz w:val="18"/>
                <w:szCs w:val="18"/>
              </w:rPr>
              <w:t>初始请求之外最多两次重试</w:t>
            </w:r>
          </w:p>
        </w:tc>
      </w:tr>
      <w:tr w14:paraId="3B3A585E">
        <w:trPr>
          <w:cantSplit/>
        </w:trPr>
        <w:tc>
          <w:tcPr>
            <w:tcW w:w="3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E1B33">
            <w:pPr>
              <w:spacing w:after="40" w:line="260" w:lineRule="auto"/>
            </w:pPr>
            <w:r>
              <w:rPr>
                <w:sz w:val="18"/>
                <w:szCs w:val="18"/>
              </w:rPr>
              <w:t>DEEPSEEK_TEXT_MODEL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A154E">
            <w:pPr>
              <w:spacing w:after="40"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89387">
            <w:pPr>
              <w:spacing w:after="40" w:line="260" w:lineRule="auto"/>
            </w:pPr>
            <w:r>
              <w:rPr>
                <w:sz w:val="18"/>
                <w:szCs w:val="18"/>
              </w:rPr>
              <w:t>仅 Chat 配额耗尽回退</w:t>
            </w:r>
          </w:p>
        </w:tc>
      </w:tr>
      <w:tr w14:paraId="500E6819">
        <w:trPr>
          <w:cantSplit/>
        </w:trPr>
        <w:tc>
          <w:tcPr>
            <w:tcW w:w="3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54A48">
            <w:pPr>
              <w:spacing w:after="40" w:line="260" w:lineRule="auto"/>
            </w:pPr>
            <w:r>
              <w:rPr>
                <w:sz w:val="18"/>
                <w:szCs w:val="18"/>
              </w:rPr>
              <w:t>ALIYUN_MODEL_ROUTER_API_KEY / DEEPSEEK_API_KEY</w:t>
            </w:r>
          </w:p>
        </w:tc>
        <w:tc>
          <w:tcPr>
            <w:tcW w:w="2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8A899">
            <w:pPr>
              <w:spacing w:after="40" w:line="260" w:lineRule="auto"/>
            </w:pPr>
            <w:r>
              <w:rPr>
                <w:sz w:val="18"/>
                <w:szCs w:val="18"/>
              </w:rPr>
              <w:t>仅环境变量或密钥管理服务注入</w:t>
            </w:r>
          </w:p>
        </w:tc>
        <w:tc>
          <w:tcPr>
            <w:tcW w:w="3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93B27">
            <w:pPr>
              <w:spacing w:after="40" w:line="260" w:lineRule="auto"/>
            </w:pPr>
            <w:r>
              <w:rPr>
                <w:sz w:val="18"/>
                <w:szCs w:val="18"/>
              </w:rPr>
              <w:t>不得写入文档、前端或仓库</w:t>
            </w:r>
          </w:p>
        </w:tc>
      </w:tr>
    </w:tbl>
    <w:p w14:paraId="21F8BEBC">
      <w:pPr>
        <w:pStyle w:val="6"/>
        <w:keepNext/>
      </w:pPr>
      <w:r>
        <w:t>4.2.6 内部服务接口</w:t>
      </w:r>
    </w:p>
    <w:tbl>
      <w:tblPr>
        <w:tblStyle w:val="34"/>
        <w:tblW w:w="9900" w:type="dxa"/>
        <w:tblInd w:w="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700"/>
        <w:gridCol w:w="2600"/>
        <w:gridCol w:w="2600"/>
      </w:tblGrid>
      <w:tr w14:paraId="7BC62224"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9673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接口</w:t>
            </w:r>
          </w:p>
        </w:tc>
        <w:tc>
          <w:tcPr>
            <w:tcW w:w="17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B2619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能力</w:t>
            </w:r>
          </w:p>
        </w:tc>
        <w:tc>
          <w:tcPr>
            <w:tcW w:w="26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5E875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输入限制</w:t>
            </w:r>
          </w:p>
        </w:tc>
        <w:tc>
          <w:tcPr>
            <w:tcW w:w="26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24F45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输出</w:t>
            </w:r>
          </w:p>
        </w:tc>
      </w:tr>
      <w:tr w14:paraId="25B4A3F4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9B69E">
            <w:pPr>
              <w:spacing w:after="40" w:line="260" w:lineRule="auto"/>
            </w:pPr>
            <w:r>
              <w:rPr>
                <w:sz w:val="18"/>
                <w:szCs w:val="18"/>
              </w:rPr>
              <w:t>POST /internal/v1/model-router/invoke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B2FC8">
            <w:pPr>
              <w:spacing w:after="40" w:line="260" w:lineRule="auto"/>
            </w:pPr>
            <w:r>
              <w:rPr>
                <w:sz w:val="18"/>
                <w:szCs w:val="18"/>
              </w:rPr>
              <w:t>结构化文本生成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5FEDA">
            <w:pPr>
              <w:spacing w:after="40" w:line="260" w:lineRule="auto"/>
            </w:pPr>
            <w:r>
              <w:rPr>
                <w:sz w:val="18"/>
                <w:szCs w:val="18"/>
              </w:rPr>
              <w:t>1–50 条 Message；可附 Required 字段 Schema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B81CB">
            <w:pPr>
              <w:spacing w:after="40" w:line="260" w:lineRule="auto"/>
            </w:pPr>
            <w:r>
              <w:rPr>
                <w:sz w:val="18"/>
                <w:szCs w:val="18"/>
              </w:rPr>
              <w:t>output JSON、模型与 Provider 元数据</w:t>
            </w:r>
          </w:p>
        </w:tc>
      </w:tr>
      <w:tr w14:paraId="5F0867DB">
        <w:trPr>
          <w:cantSplit/>
        </w:trPr>
        <w:tc>
          <w:tcPr>
            <w:tcW w:w="30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948A9">
            <w:pPr>
              <w:spacing w:after="40" w:line="260" w:lineRule="auto"/>
            </w:pPr>
            <w:r>
              <w:rPr>
                <w:sz w:val="18"/>
                <w:szCs w:val="18"/>
              </w:rPr>
              <w:t>POST /internal/v1/model-router/embeddings</w:t>
            </w:r>
          </w:p>
        </w:tc>
        <w:tc>
          <w:tcPr>
            <w:tcW w:w="17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38087">
            <w:pPr>
              <w:spacing w:after="40" w:line="260" w:lineRule="auto"/>
            </w:pPr>
            <w:r>
              <w:rPr>
                <w:sz w:val="18"/>
                <w:szCs w:val="18"/>
              </w:rPr>
              <w:t>文本向量化</w:t>
            </w:r>
          </w:p>
        </w:tc>
        <w:tc>
          <w:tcPr>
            <w:tcW w:w="26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5D4B1">
            <w:pPr>
              <w:spacing w:after="40" w:line="260" w:lineRule="auto"/>
            </w:pPr>
            <w:r>
              <w:rPr>
                <w:sz w:val="18"/>
                <w:szCs w:val="18"/>
              </w:rPr>
              <w:t>1–10 条非空文本；固定 1024 维</w:t>
            </w:r>
          </w:p>
        </w:tc>
        <w:tc>
          <w:tcPr>
            <w:tcW w:w="26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245D2">
            <w:pPr>
              <w:spacing w:after="40" w:line="260" w:lineRule="auto"/>
            </w:pPr>
            <w:r>
              <w:rPr>
                <w:sz w:val="18"/>
                <w:szCs w:val="18"/>
              </w:rPr>
              <w:t>向量、维度、Token 数和 Provider</w:t>
            </w:r>
          </w:p>
        </w:tc>
      </w:tr>
      <w:tr w14:paraId="21A1009F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3C950">
            <w:pPr>
              <w:spacing w:after="40" w:line="260" w:lineRule="auto"/>
            </w:pPr>
            <w:r>
              <w:rPr>
                <w:sz w:val="18"/>
                <w:szCs w:val="18"/>
              </w:rPr>
              <w:t>POST /internal/v1/model-router/rerank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57FE8">
            <w:pPr>
              <w:spacing w:after="40" w:line="260" w:lineRule="auto"/>
            </w:pPr>
            <w:r>
              <w:rPr>
                <w:sz w:val="18"/>
                <w:szCs w:val="18"/>
              </w:rPr>
              <w:t>候选重排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E2A11">
            <w:pPr>
              <w:spacing w:after="40" w:line="260" w:lineRule="auto"/>
            </w:pPr>
            <w:r>
              <w:rPr>
                <w:sz w:val="18"/>
                <w:szCs w:val="18"/>
              </w:rPr>
              <w:t>query 非空；1–500 个候选文本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45E8A">
            <w:pPr>
              <w:spacing w:after="40" w:line="260" w:lineRule="auto"/>
            </w:pPr>
            <w:r>
              <w:rPr>
                <w:sz w:val="18"/>
                <w:szCs w:val="18"/>
              </w:rPr>
              <w:t>按相关性排序的 index 和 score</w:t>
            </w:r>
          </w:p>
        </w:tc>
      </w:tr>
    </w:tbl>
    <w:p w14:paraId="2A1E2B37">
      <w:r>
        <w:t>以上接口不进入公开 OpenAPI，前端不得直接调用，统一要求 X-Internal-Token。业务接口只接收业务 ID 和受控参数，不允许浏览器上传模型 Base URL、API Key 或任意 Prompt 模板。</w:t>
      </w:r>
    </w:p>
    <w:p w14:paraId="2B82CF2F">
      <w:pPr>
        <w:pStyle w:val="6"/>
        <w:keepNext/>
      </w:pPr>
      <w:r>
        <w:t>4.2.7 模型使用边界与审计</w:t>
      </w:r>
    </w:p>
    <w:p w14:paraId="47CA2F23">
      <w:pPr>
        <w:pStyle w:val="17"/>
      </w:pPr>
      <w:r>
        <w:t>价格、评分、评论数量、销量、误差、样本比例和趋势等数值由 SQL、统计代码或版本化规则计算；大模型不能修改点预测、区间、评测指标或财务结果。</w:t>
      </w:r>
    </w:p>
    <w:p w14:paraId="0DB3615D">
      <w:pPr>
        <w:pStyle w:val="17"/>
      </w:pPr>
      <w:r>
        <w:t>评论观点必须绑定 content_original 的原文区间；知识库回答必须返回用户有权访问的文档 Citation；没有可靠证据时拒答。</w:t>
      </w:r>
    </w:p>
    <w:p w14:paraId="39F9A4B7">
      <w:pPr>
        <w:pStyle w:val="17"/>
      </w:pPr>
      <w:r>
        <w:t>模型调用记录包含实际模型/Provider、输入哈希、Prompt/Schema 版本、Token、耗时、重试和状态等审计字段；不同调用客户端的聚合完整度仍需在生产环境统一验收。</w:t>
      </w:r>
    </w:p>
    <w:p w14:paraId="3C90B9F3">
      <w:pPr>
        <w:pStyle w:val="17"/>
      </w:pPr>
      <w:r>
        <w:t>数据库中的模型路由与 Prompt 管理结构用于治理和版本留痕；运行时密钥仍以环境变量或密钥管理服务为准。</w:t>
      </w:r>
    </w:p>
    <w:p w14:paraId="42E84267">
      <w:pPr>
        <w:pStyle w:val="5"/>
        <w:keepNext/>
      </w:pPr>
      <w:r>
        <w:t>4.3 技术组件与持久化说明</w:t>
      </w:r>
    </w:p>
    <w:p w14:paraId="5CE9BFA2">
      <w:pPr>
        <w:pStyle w:val="6"/>
        <w:keepNext/>
      </w:pPr>
      <w:r>
        <w:t>4.3.1 前端技术栈</w:t>
      </w:r>
    </w:p>
    <w:tbl>
      <w:tblPr>
        <w:tblStyle w:val="34"/>
        <w:tblW w:w="9400" w:type="dxa"/>
        <w:tblInd w:w="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800"/>
        <w:gridCol w:w="4700"/>
      </w:tblGrid>
      <w:tr w14:paraId="1E0799DA">
        <w:trPr>
          <w:tblHeader/>
        </w:trPr>
        <w:tc>
          <w:tcPr>
            <w:tcW w:w="19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E61B0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28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0FF4E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当前技术</w:t>
            </w:r>
          </w:p>
        </w:tc>
        <w:tc>
          <w:tcPr>
            <w:tcW w:w="47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86E87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4258CBA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B9952">
            <w:pPr>
              <w:spacing w:after="40" w:line="260" w:lineRule="auto"/>
            </w:pPr>
            <w:r>
              <w:rPr>
                <w:sz w:val="18"/>
                <w:szCs w:val="18"/>
              </w:rPr>
              <w:t>UI 框架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551B6">
            <w:pPr>
              <w:spacing w:after="40" w:line="260" w:lineRule="auto"/>
            </w:pPr>
            <w:r>
              <w:rPr>
                <w:sz w:val="18"/>
                <w:szCs w:val="18"/>
              </w:rPr>
              <w:t>React 19.2.0、React DOM 19.2.0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834FA">
            <w:pPr>
              <w:spacing w:after="40" w:line="260" w:lineRule="auto"/>
            </w:pPr>
            <w:r>
              <w:rPr>
                <w:sz w:val="18"/>
                <w:szCs w:val="18"/>
              </w:rPr>
              <w:t>函数组件与 Hooks；按业务域拆分页面和状态</w:t>
            </w:r>
          </w:p>
        </w:tc>
      </w:tr>
      <w:tr w14:paraId="39FDCD44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9B0EB">
            <w:pPr>
              <w:spacing w:after="40" w:line="260" w:lineRule="auto"/>
            </w:pPr>
            <w:r>
              <w:rPr>
                <w:sz w:val="18"/>
                <w:szCs w:val="18"/>
              </w:rPr>
              <w:t>构建工具</w:t>
            </w:r>
          </w:p>
        </w:tc>
        <w:tc>
          <w:tcPr>
            <w:tcW w:w="28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0343A">
            <w:pPr>
              <w:spacing w:after="40" w:line="260" w:lineRule="auto"/>
            </w:pPr>
            <w:r>
              <w:rPr>
                <w:sz w:val="18"/>
                <w:szCs w:val="18"/>
              </w:rPr>
              <w:t>Vite 6.4.3</w:t>
            </w:r>
          </w:p>
        </w:tc>
        <w:tc>
          <w:tcPr>
            <w:tcW w:w="47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49D7">
            <w:pPr>
              <w:spacing w:after="40" w:line="260" w:lineRule="auto"/>
            </w:pPr>
            <w:r>
              <w:rPr>
                <w:sz w:val="18"/>
                <w:szCs w:val="18"/>
              </w:rPr>
              <w:t>开发服务器、生产构建和静态资源打包</w:t>
            </w:r>
          </w:p>
        </w:tc>
      </w:tr>
      <w:tr w14:paraId="2193167A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12667">
            <w:pPr>
              <w:spacing w:after="40" w:line="260" w:lineRule="auto"/>
            </w:pPr>
            <w:r>
              <w:rPr>
                <w:sz w:val="18"/>
                <w:szCs w:val="18"/>
              </w:rPr>
              <w:t>图标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777B5">
            <w:pPr>
              <w:spacing w:after="40" w:line="260" w:lineRule="auto"/>
            </w:pPr>
            <w:r>
              <w:rPr>
                <w:sz w:val="18"/>
                <w:szCs w:val="18"/>
              </w:rPr>
              <w:t>@phosphor-icons/react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86CD4">
            <w:pPr>
              <w:spacing w:after="40" w:line="260" w:lineRule="auto"/>
            </w:pPr>
            <w:r>
              <w:rPr>
                <w:sz w:val="18"/>
                <w:szCs w:val="18"/>
              </w:rPr>
              <w:t>统一工具栏、状态和导航图标</w:t>
            </w:r>
          </w:p>
        </w:tc>
      </w:tr>
      <w:tr w14:paraId="114329A8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B2429">
            <w:pPr>
              <w:spacing w:after="40" w:line="260" w:lineRule="auto"/>
            </w:pPr>
            <w:r>
              <w:rPr>
                <w:sz w:val="18"/>
                <w:szCs w:val="18"/>
              </w:rPr>
              <w:t>路由</w:t>
            </w:r>
          </w:p>
        </w:tc>
        <w:tc>
          <w:tcPr>
            <w:tcW w:w="28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4EA75">
            <w:pPr>
              <w:spacing w:after="40" w:line="260" w:lineRule="auto"/>
            </w:pPr>
            <w:r>
              <w:rPr>
                <w:sz w:val="18"/>
                <w:szCs w:val="18"/>
              </w:rPr>
              <w:t>Hash 路由与页面状态存储</w:t>
            </w:r>
          </w:p>
        </w:tc>
        <w:tc>
          <w:tcPr>
            <w:tcW w:w="47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B3CDC">
            <w:pPr>
              <w:spacing w:after="40" w:line="260" w:lineRule="auto"/>
            </w:pPr>
            <w:r>
              <w:rPr>
                <w:sz w:val="18"/>
                <w:szCs w:val="18"/>
              </w:rPr>
              <w:t>覆盖工作台、产品、知识库、市场决策、预测、自动化和管理端</w:t>
            </w:r>
          </w:p>
        </w:tc>
      </w:tr>
      <w:tr w14:paraId="0AA31219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94406">
            <w:pPr>
              <w:spacing w:after="40" w:line="260" w:lineRule="auto"/>
            </w:pPr>
            <w:r>
              <w:rPr>
                <w:sz w:val="18"/>
                <w:szCs w:val="18"/>
              </w:rPr>
              <w:t>请求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F8039">
            <w:pPr>
              <w:spacing w:after="40" w:line="260" w:lineRule="auto"/>
            </w:pPr>
            <w:r>
              <w:rPr>
                <w:sz w:val="18"/>
                <w:szCs w:val="18"/>
              </w:rPr>
              <w:t>fetch + 统一 api.js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1A409">
            <w:pPr>
              <w:spacing w:after="40" w:line="260" w:lineRule="auto"/>
            </w:pPr>
            <w:r>
              <w:rPr>
                <w:sz w:val="18"/>
                <w:szCs w:val="18"/>
              </w:rPr>
              <w:t>JWT、错误 Envelope、SSE、超时和重试边界</w:t>
            </w:r>
          </w:p>
        </w:tc>
      </w:tr>
      <w:tr w14:paraId="477E9A38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4E93E">
            <w:pPr>
              <w:spacing w:after="40" w:line="260" w:lineRule="auto"/>
            </w:pPr>
            <w:r>
              <w:rPr>
                <w:sz w:val="18"/>
                <w:szCs w:val="18"/>
              </w:rPr>
              <w:t>样式</w:t>
            </w:r>
          </w:p>
        </w:tc>
        <w:tc>
          <w:tcPr>
            <w:tcW w:w="28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29EB1">
            <w:pPr>
              <w:spacing w:after="40" w:line="260" w:lineRule="auto"/>
            </w:pPr>
            <w:r>
              <w:rPr>
                <w:sz w:val="18"/>
                <w:szCs w:val="18"/>
              </w:rPr>
              <w:t>模块化 CSS</w:t>
            </w:r>
          </w:p>
        </w:tc>
        <w:tc>
          <w:tcPr>
            <w:tcW w:w="47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1CA52">
            <w:pPr>
              <w:spacing w:after="40" w:line="260" w:lineRule="auto"/>
            </w:pPr>
            <w:r>
              <w:rPr>
                <w:sz w:val="18"/>
                <w:szCs w:val="18"/>
              </w:rPr>
              <w:t>桌面端主工作区并兼容移动视口</w:t>
            </w:r>
          </w:p>
        </w:tc>
      </w:tr>
      <w:tr w14:paraId="5CDF7281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50D97">
            <w:pPr>
              <w:spacing w:after="40" w:line="260" w:lineRule="auto"/>
            </w:pPr>
            <w:r>
              <w:rPr>
                <w:sz w:val="18"/>
                <w:szCs w:val="18"/>
              </w:rPr>
              <w:t>自动化验证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58572">
            <w:pPr>
              <w:spacing w:after="40" w:line="260" w:lineRule="auto"/>
            </w:pPr>
            <w:r>
              <w:rPr>
                <w:sz w:val="18"/>
                <w:szCs w:val="18"/>
              </w:rPr>
              <w:t>Playwright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FF868">
            <w:pPr>
              <w:spacing w:after="40" w:line="260" w:lineRule="auto"/>
            </w:pPr>
            <w:r>
              <w:rPr>
                <w:sz w:val="18"/>
                <w:szCs w:val="18"/>
              </w:rPr>
              <w:t>关键企业链路、契约、响应式和浏览器控制台检查</w:t>
            </w:r>
          </w:p>
        </w:tc>
      </w:tr>
    </w:tbl>
    <w:p w14:paraId="36B002AF">
      <w:pPr>
        <w:pStyle w:val="6"/>
        <w:keepNext/>
      </w:pPr>
      <w:r>
        <w:t>4.3.2 后端技术栈</w:t>
      </w:r>
    </w:p>
    <w:tbl>
      <w:tblPr>
        <w:tblStyle w:val="34"/>
        <w:tblW w:w="9400" w:type="dxa"/>
        <w:tblInd w:w="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950"/>
        <w:gridCol w:w="4550"/>
      </w:tblGrid>
      <w:tr w14:paraId="3D78D2D6">
        <w:trPr>
          <w:tblHeader/>
        </w:trPr>
        <w:tc>
          <w:tcPr>
            <w:tcW w:w="19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4D10E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29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4951E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当前技术</w:t>
            </w:r>
          </w:p>
        </w:tc>
        <w:tc>
          <w:tcPr>
            <w:tcW w:w="45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A607E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FB0C87F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4F3CA">
            <w:pPr>
              <w:spacing w:after="40" w:line="260" w:lineRule="auto"/>
            </w:pPr>
            <w:r>
              <w:rPr>
                <w:sz w:val="18"/>
                <w:szCs w:val="18"/>
              </w:rPr>
              <w:t>运行时</w:t>
            </w:r>
          </w:p>
        </w:tc>
        <w:tc>
          <w:tcPr>
            <w:tcW w:w="2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AF484">
            <w:pPr>
              <w:spacing w:after="40" w:line="260" w:lineRule="auto"/>
            </w:pPr>
            <w:r>
              <w:rPr>
                <w:sz w:val="18"/>
                <w:szCs w:val="18"/>
              </w:rPr>
              <w:t>Python 3.12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5A257">
            <w:pPr>
              <w:spacing w:after="40" w:line="260" w:lineRule="auto"/>
            </w:pPr>
            <w:r>
              <w:rPr>
                <w:sz w:val="18"/>
                <w:szCs w:val="18"/>
              </w:rPr>
              <w:t>API、Worker、Agent 与预测服务统一运行版本</w:t>
            </w:r>
          </w:p>
        </w:tc>
      </w:tr>
      <w:tr w14:paraId="0960A468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9689B">
            <w:pPr>
              <w:spacing w:after="40" w:line="260" w:lineRule="auto"/>
            </w:pPr>
            <w:r>
              <w:rPr>
                <w:sz w:val="18"/>
                <w:szCs w:val="18"/>
              </w:rPr>
              <w:t>Web 框架</w:t>
            </w:r>
          </w:p>
        </w:tc>
        <w:tc>
          <w:tcPr>
            <w:tcW w:w="2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5C21F">
            <w:pPr>
              <w:spacing w:after="40" w:line="260" w:lineRule="auto"/>
            </w:pPr>
            <w:r>
              <w:rPr>
                <w:sz w:val="18"/>
                <w:szCs w:val="18"/>
              </w:rPr>
              <w:t>FastAPI、Starlette、Uvicorn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F75EF">
            <w:pPr>
              <w:spacing w:after="40" w:line="260" w:lineRule="auto"/>
            </w:pPr>
            <w:r>
              <w:rPr>
                <w:sz w:val="18"/>
                <w:szCs w:val="18"/>
              </w:rPr>
              <w:t>REST、SSE、依赖注入、中间件、生命周期与健康检查</w:t>
            </w:r>
          </w:p>
        </w:tc>
      </w:tr>
      <w:tr w14:paraId="303900DA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856E7">
            <w:pPr>
              <w:spacing w:after="40" w:line="260" w:lineRule="auto"/>
            </w:pPr>
            <w:r>
              <w:rPr>
                <w:sz w:val="18"/>
                <w:szCs w:val="18"/>
              </w:rPr>
              <w:t>契约校验</w:t>
            </w:r>
          </w:p>
        </w:tc>
        <w:tc>
          <w:tcPr>
            <w:tcW w:w="2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B76E1">
            <w:pPr>
              <w:spacing w:after="40" w:line="260" w:lineRule="auto"/>
            </w:pPr>
            <w:r>
              <w:rPr>
                <w:sz w:val="18"/>
                <w:szCs w:val="18"/>
              </w:rPr>
              <w:t>Pydantic 2、Pydantic Settings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8D262">
            <w:pPr>
              <w:spacing w:after="40" w:line="260" w:lineRule="auto"/>
            </w:pPr>
            <w:r>
              <w:rPr>
                <w:sz w:val="18"/>
                <w:szCs w:val="18"/>
              </w:rPr>
              <w:t>请求/响应 Schema、环境变量和生产配置约束</w:t>
            </w:r>
          </w:p>
        </w:tc>
      </w:tr>
      <w:tr w14:paraId="0F24BB66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FFCC2">
            <w:pPr>
              <w:spacing w:after="40" w:line="260" w:lineRule="auto"/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2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FC309">
            <w:pPr>
              <w:spacing w:after="40" w:line="260" w:lineRule="auto"/>
            </w:pPr>
            <w:r>
              <w:rPr>
                <w:sz w:val="18"/>
                <w:szCs w:val="18"/>
              </w:rPr>
              <w:t>PostgreSQL 16、SQLAlchemy Async、asyncpg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D2340">
            <w:pPr>
              <w:spacing w:after="40" w:line="260" w:lineRule="auto"/>
            </w:pPr>
            <w:r>
              <w:rPr>
                <w:sz w:val="18"/>
                <w:szCs w:val="18"/>
              </w:rPr>
              <w:t>事务、租户范围查询、RLS、审计和异步连接池</w:t>
            </w:r>
          </w:p>
        </w:tc>
      </w:tr>
      <w:tr w14:paraId="594BA2BB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11427">
            <w:pPr>
              <w:spacing w:after="40" w:line="260" w:lineRule="auto"/>
            </w:pPr>
            <w:r>
              <w:rPr>
                <w:sz w:val="18"/>
                <w:szCs w:val="18"/>
              </w:rPr>
              <w:t>队列</w:t>
            </w:r>
          </w:p>
        </w:tc>
        <w:tc>
          <w:tcPr>
            <w:tcW w:w="2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E4099">
            <w:pPr>
              <w:spacing w:after="40" w:line="260" w:lineRule="auto"/>
            </w:pPr>
            <w:r>
              <w:rPr>
                <w:sz w:val="18"/>
                <w:szCs w:val="18"/>
              </w:rPr>
              <w:t>Redis 7 Streams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4B539">
            <w:pPr>
              <w:spacing w:after="40" w:line="260" w:lineRule="auto"/>
            </w:pPr>
            <w:r>
              <w:rPr>
                <w:sz w:val="18"/>
                <w:szCs w:val="18"/>
              </w:rPr>
              <w:t>消费组、租约、心跳、重试、死信和延迟监控</w:t>
            </w:r>
          </w:p>
        </w:tc>
      </w:tr>
      <w:tr w14:paraId="1AD90D7B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E3820">
            <w:pPr>
              <w:spacing w:after="40" w:line="260" w:lineRule="auto"/>
            </w:pPr>
            <w:r>
              <w:rPr>
                <w:sz w:val="18"/>
                <w:szCs w:val="18"/>
              </w:rPr>
              <w:t>Agent</w:t>
            </w:r>
          </w:p>
        </w:tc>
        <w:tc>
          <w:tcPr>
            <w:tcW w:w="2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4ECD5">
            <w:pPr>
              <w:spacing w:after="40" w:line="260" w:lineRule="auto"/>
            </w:pPr>
            <w:r>
              <w:rPr>
                <w:sz w:val="18"/>
                <w:szCs w:val="18"/>
              </w:rPr>
              <w:t>LangGraph StateGraph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FD550">
            <w:pPr>
              <w:spacing w:after="40" w:line="260" w:lineRule="auto"/>
            </w:pPr>
            <w:r>
              <w:rPr>
                <w:sz w:val="18"/>
                <w:szCs w:val="18"/>
              </w:rPr>
              <w:t>I00–I19 节点、并行分支、Checkpoint、interrupt/resume</w:t>
            </w:r>
          </w:p>
        </w:tc>
      </w:tr>
      <w:tr w14:paraId="6C56648E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115CA">
            <w:pPr>
              <w:spacing w:after="40" w:line="260" w:lineRule="auto"/>
            </w:pPr>
            <w:r>
              <w:rPr>
                <w:sz w:val="18"/>
                <w:szCs w:val="18"/>
              </w:rPr>
              <w:t>预测</w:t>
            </w:r>
          </w:p>
        </w:tc>
        <w:tc>
          <w:tcPr>
            <w:tcW w:w="2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16BA4">
            <w:pPr>
              <w:spacing w:after="40" w:line="260" w:lineRule="auto"/>
            </w:pPr>
            <w:r>
              <w:rPr>
                <w:sz w:val="18"/>
                <w:szCs w:val="18"/>
              </w:rPr>
              <w:t>pandas、XGBoost、LightGBM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24BEC">
            <w:pPr>
              <w:spacing w:after="40" w:line="260" w:lineRule="auto"/>
            </w:pPr>
            <w:r>
              <w:rPr>
                <w:sz w:val="18"/>
                <w:szCs w:val="18"/>
              </w:rPr>
              <w:t>清洗、特征工程、共享预测与企业训练发布</w:t>
            </w:r>
          </w:p>
        </w:tc>
      </w:tr>
      <w:tr w14:paraId="5EC72143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56683">
            <w:pPr>
              <w:spacing w:after="40" w:line="260" w:lineRule="auto"/>
            </w:pPr>
            <w:r>
              <w:rPr>
                <w:sz w:val="18"/>
                <w:szCs w:val="18"/>
              </w:rPr>
              <w:t>文档处理</w:t>
            </w:r>
          </w:p>
        </w:tc>
        <w:tc>
          <w:tcPr>
            <w:tcW w:w="2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85F67">
            <w:pPr>
              <w:spacing w:after="40" w:line="260" w:lineRule="auto"/>
            </w:pPr>
            <w:r>
              <w:rPr>
                <w:sz w:val="18"/>
                <w:szCs w:val="18"/>
              </w:rPr>
              <w:t>PDF/XLSX 解析、Pillow、Tesseract OCR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DB709">
            <w:pPr>
              <w:spacing w:after="40" w:line="260" w:lineRule="auto"/>
            </w:pPr>
            <w:r>
              <w:rPr>
                <w:sz w:val="18"/>
                <w:szCs w:val="18"/>
              </w:rPr>
              <w:t>多格式抽取、来源定位和无文本失败边界</w:t>
            </w:r>
          </w:p>
        </w:tc>
      </w:tr>
      <w:tr w14:paraId="13E906FD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96340">
            <w:pPr>
              <w:spacing w:after="40" w:line="260" w:lineRule="auto"/>
            </w:pPr>
            <w:r>
              <w:rPr>
                <w:sz w:val="18"/>
                <w:szCs w:val="18"/>
              </w:rPr>
              <w:t>对象存储</w:t>
            </w:r>
          </w:p>
        </w:tc>
        <w:tc>
          <w:tcPr>
            <w:tcW w:w="29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2B227">
            <w:pPr>
              <w:spacing w:after="40" w:line="260" w:lineRule="auto"/>
            </w:pPr>
            <w:r>
              <w:rPr>
                <w:sz w:val="18"/>
                <w:szCs w:val="18"/>
              </w:rPr>
              <w:t>Local / S3 兼容双后端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1B002">
            <w:pPr>
              <w:spacing w:after="40" w:line="260" w:lineRule="auto"/>
            </w:pPr>
            <w:r>
              <w:rPr>
                <w:sz w:val="18"/>
                <w:szCs w:val="18"/>
              </w:rPr>
              <w:t>租户前缀、文件校验、SHA-256；生产强制 S3+TLS</w:t>
            </w:r>
          </w:p>
        </w:tc>
      </w:tr>
      <w:tr w14:paraId="56B7DC76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C6EB2">
            <w:pPr>
              <w:spacing w:after="40" w:line="260" w:lineRule="auto"/>
            </w:pPr>
            <w:r>
              <w:rPr>
                <w:sz w:val="18"/>
                <w:szCs w:val="18"/>
              </w:rPr>
              <w:t>可观测</w:t>
            </w:r>
          </w:p>
        </w:tc>
        <w:tc>
          <w:tcPr>
            <w:tcW w:w="29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D448A">
            <w:pPr>
              <w:spacing w:after="40" w:line="260" w:lineRule="auto"/>
            </w:pPr>
            <w:r>
              <w:rPr>
                <w:sz w:val="18"/>
                <w:szCs w:val="18"/>
              </w:rPr>
              <w:t>Prometheus、Grafana、Alertmanager</w:t>
            </w:r>
          </w:p>
        </w:tc>
        <w:tc>
          <w:tcPr>
            <w:tcW w:w="45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12AC7">
            <w:pPr>
              <w:spacing w:after="40" w:line="260" w:lineRule="auto"/>
            </w:pPr>
            <w:r>
              <w:rPr>
                <w:sz w:val="18"/>
                <w:szCs w:val="18"/>
              </w:rPr>
              <w:t>API/Worker/队列/业务指标与告警规则</w:t>
            </w:r>
          </w:p>
        </w:tc>
      </w:tr>
    </w:tbl>
    <w:p w14:paraId="55DEC4D3">
      <w:r>
        <w:t>后端采用 Route → Service → Repository/Runtime 分层：Route 负责 HTTP 契约和鉴权，Service 编排事务与业务规则，Repository/Runtime 负责持久化、队列、模型和制品执行。公开业务接口位于 /api/v1；内部模型与预测接口使用独立服务令牌。</w:t>
      </w:r>
    </w:p>
    <w:p w14:paraId="63B2A2E0">
      <w:pPr>
        <w:pStyle w:val="6"/>
        <w:keepNext/>
      </w:pPr>
      <w:r>
        <w:t>4.3.3 数据域与持久化</w:t>
      </w:r>
    </w:p>
    <w:tbl>
      <w:tblPr>
        <w:tblStyle w:val="34"/>
        <w:tblW w:w="9400" w:type="dxa"/>
        <w:tblInd w:w="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200"/>
        <w:gridCol w:w="4300"/>
      </w:tblGrid>
      <w:tr w14:paraId="3E67EBC1">
        <w:trPr>
          <w:tblHeader/>
        </w:trPr>
        <w:tc>
          <w:tcPr>
            <w:tcW w:w="19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29B8A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数据域</w:t>
            </w:r>
          </w:p>
        </w:tc>
        <w:tc>
          <w:tcPr>
            <w:tcW w:w="32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9DCB1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代表性对象</w:t>
            </w:r>
          </w:p>
        </w:tc>
        <w:tc>
          <w:tcPr>
            <w:tcW w:w="43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FC300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保存内容与边界</w:t>
            </w:r>
          </w:p>
        </w:tc>
      </w:tr>
      <w:tr w14:paraId="7D827DC2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45425">
            <w:pPr>
              <w:spacing w:after="40" w:line="260" w:lineRule="auto"/>
            </w:pPr>
            <w:r>
              <w:rPr>
                <w:sz w:val="18"/>
                <w:szCs w:val="18"/>
              </w:rPr>
              <w:t>租户与认证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2DED3">
            <w:pPr>
              <w:spacing w:after="40" w:line="260" w:lineRule="auto"/>
            </w:pPr>
            <w:r>
              <w:rPr>
                <w:sz w:val="18"/>
                <w:szCs w:val="18"/>
              </w:rPr>
              <w:t>tenants、users、auth_sessions、角色策略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8A511">
            <w:pPr>
              <w:spacing w:after="40" w:line="260" w:lineRule="auto"/>
            </w:pPr>
            <w:r>
              <w:rPr>
                <w:sz w:val="18"/>
                <w:szCs w:val="18"/>
              </w:rPr>
              <w:t>企业、用户、角色、刷新会话、状态和数据库运行角色</w:t>
            </w:r>
          </w:p>
        </w:tc>
      </w:tr>
      <w:tr w14:paraId="6330F732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1B727">
            <w:pPr>
              <w:spacing w:after="40" w:line="260" w:lineRule="auto"/>
            </w:pPr>
            <w:r>
              <w:rPr>
                <w:sz w:val="18"/>
                <w:szCs w:val="18"/>
              </w:rPr>
              <w:t>产品与导入</w:t>
            </w:r>
          </w:p>
        </w:tc>
        <w:tc>
          <w:tcPr>
            <w:tcW w:w="32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9EE98">
            <w:pPr>
              <w:spacing w:after="40" w:line="260" w:lineRule="auto"/>
            </w:pPr>
            <w:r>
              <w:rPr>
                <w:sz w:val="18"/>
                <w:szCs w:val="18"/>
              </w:rPr>
              <w:t>products、SKU facts、import jobs/errors</w:t>
            </w:r>
          </w:p>
        </w:tc>
        <w:tc>
          <w:tcPr>
            <w:tcW w:w="4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176FB">
            <w:pPr>
              <w:spacing w:after="40" w:line="260" w:lineRule="auto"/>
            </w:pPr>
            <w:r>
              <w:rPr>
                <w:sz w:val="18"/>
                <w:szCs w:val="18"/>
              </w:rPr>
              <w:t>产品主档、SKU 事实、来源优先级、批量导入与错误回传</w:t>
            </w:r>
          </w:p>
        </w:tc>
      </w:tr>
      <w:tr w14:paraId="40D9F430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09CEA">
            <w:pPr>
              <w:spacing w:after="40" w:line="260" w:lineRule="auto"/>
            </w:pPr>
            <w:r>
              <w:rPr>
                <w:sz w:val="18"/>
                <w:szCs w:val="18"/>
              </w:rPr>
              <w:t>市场数据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E1D68">
            <w:pPr>
              <w:spacing w:after="40" w:line="260" w:lineRule="auto"/>
            </w:pPr>
            <w:r>
              <w:rPr>
                <w:sz w:val="18"/>
                <w:szCs w:val="18"/>
              </w:rPr>
              <w:t>datasets、listings、reviews、signals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D92B0">
            <w:pPr>
              <w:spacing w:after="40" w:line="260" w:lineRule="auto"/>
            </w:pPr>
            <w:r>
              <w:rPr>
                <w:sz w:val="18"/>
                <w:szCs w:val="18"/>
              </w:rPr>
              <w:t>授权数据集、商品快照、评论原文、竞品/政策信号</w:t>
            </w:r>
          </w:p>
        </w:tc>
      </w:tr>
      <w:tr w14:paraId="67BF5548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3D7EC">
            <w:pPr>
              <w:spacing w:after="40" w:line="260" w:lineRule="auto"/>
            </w:pPr>
            <w:r>
              <w:rPr>
                <w:sz w:val="18"/>
                <w:szCs w:val="18"/>
              </w:rPr>
              <w:t>分析与报告</w:t>
            </w:r>
          </w:p>
        </w:tc>
        <w:tc>
          <w:tcPr>
            <w:tcW w:w="32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FD68C">
            <w:pPr>
              <w:spacing w:after="40" w:line="260" w:lineRule="auto"/>
            </w:pPr>
            <w:r>
              <w:rPr>
                <w:sz w:val="18"/>
                <w:szCs w:val="18"/>
              </w:rPr>
              <w:t>analysis tasks、evidence、opportunities、reports</w:t>
            </w:r>
          </w:p>
        </w:tc>
        <w:tc>
          <w:tcPr>
            <w:tcW w:w="4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3FDB1">
            <w:pPr>
              <w:spacing w:after="40" w:line="260" w:lineRule="auto"/>
            </w:pPr>
            <w:r>
              <w:rPr>
                <w:sz w:val="18"/>
                <w:szCs w:val="18"/>
              </w:rPr>
              <w:t>冻结版本、阶段、证据、评分、建议和报告快照</w:t>
            </w:r>
          </w:p>
        </w:tc>
      </w:tr>
      <w:tr w14:paraId="6B9545B8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FBB73">
            <w:pPr>
              <w:spacing w:after="40" w:line="260" w:lineRule="auto"/>
            </w:pPr>
            <w:r>
              <w:rPr>
                <w:sz w:val="18"/>
                <w:szCs w:val="18"/>
              </w:rPr>
              <w:t>企业知识库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44235">
            <w:pPr>
              <w:spacing w:after="40" w:line="260" w:lineRule="auto"/>
            </w:pPr>
            <w:r>
              <w:rPr>
                <w:sz w:val="18"/>
                <w:szCs w:val="18"/>
              </w:rPr>
              <w:t>knowledge bases/documents/versions/chunks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61846">
            <w:pPr>
              <w:spacing w:after="40" w:line="260" w:lineRule="auto"/>
            </w:pPr>
            <w:r>
              <w:rPr>
                <w:sz w:val="18"/>
                <w:szCs w:val="18"/>
              </w:rPr>
              <w:t>文档版本、分段、全文字段、Embedding 与 Citation</w:t>
            </w:r>
          </w:p>
        </w:tc>
      </w:tr>
      <w:tr w14:paraId="52A8A3C9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CC316">
            <w:pPr>
              <w:spacing w:after="40" w:line="260" w:lineRule="auto"/>
            </w:pPr>
            <w:r>
              <w:rPr>
                <w:sz w:val="18"/>
                <w:szCs w:val="18"/>
              </w:rPr>
              <w:t>经营配置</w:t>
            </w:r>
          </w:p>
        </w:tc>
        <w:tc>
          <w:tcPr>
            <w:tcW w:w="32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0C318">
            <w:pPr>
              <w:spacing w:after="40" w:line="260" w:lineRule="auto"/>
            </w:pPr>
            <w:r>
              <w:rPr>
                <w:sz w:val="18"/>
                <w:szCs w:val="18"/>
              </w:rPr>
              <w:t>enterprise facts、ranking policy、eligibility rules</w:t>
            </w:r>
          </w:p>
        </w:tc>
        <w:tc>
          <w:tcPr>
            <w:tcW w:w="4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F67E1">
            <w:pPr>
              <w:spacing w:after="40" w:line="260" w:lineRule="auto"/>
            </w:pPr>
            <w:r>
              <w:rPr>
                <w:sz w:val="18"/>
                <w:szCs w:val="18"/>
              </w:rPr>
              <w:t>企业事实、排序策略、准入条件和版本</w:t>
            </w:r>
          </w:p>
        </w:tc>
      </w:tr>
      <w:tr w14:paraId="5014723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6F3DC">
            <w:pPr>
              <w:spacing w:after="40" w:line="260" w:lineRule="auto"/>
            </w:pPr>
            <w:r>
              <w:rPr>
                <w:sz w:val="18"/>
                <w:szCs w:val="18"/>
              </w:rPr>
              <w:t>机会闭环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46AF1">
            <w:pPr>
              <w:spacing w:after="40" w:line="260" w:lineRule="auto"/>
            </w:pPr>
            <w:r>
              <w:rPr>
                <w:sz w:val="18"/>
                <w:szCs w:val="18"/>
              </w:rPr>
              <w:t>opportunity decisions/implementations/outcomes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54ACB">
            <w:pPr>
              <w:spacing w:after="40" w:line="260" w:lineRule="auto"/>
            </w:pPr>
            <w:r>
              <w:rPr>
                <w:sz w:val="18"/>
                <w:szCs w:val="18"/>
              </w:rPr>
              <w:t>采纳/拒绝/待验证、实施状态、销量、退货、财务与 ROI 口径</w:t>
            </w:r>
          </w:p>
        </w:tc>
      </w:tr>
      <w:tr w14:paraId="70AF91C4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7413F">
            <w:pPr>
              <w:spacing w:after="40" w:line="260" w:lineRule="auto"/>
            </w:pPr>
            <w:r>
              <w:rPr>
                <w:sz w:val="18"/>
                <w:szCs w:val="18"/>
              </w:rPr>
              <w:t>销量预测</w:t>
            </w:r>
          </w:p>
        </w:tc>
        <w:tc>
          <w:tcPr>
            <w:tcW w:w="32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C2BBE">
            <w:pPr>
              <w:spacing w:after="40" w:line="260" w:lineRule="auto"/>
            </w:pPr>
            <w:r>
              <w:rPr>
                <w:sz w:val="18"/>
                <w:szCs w:val="18"/>
              </w:rPr>
              <w:t>sales facts、SKU mappings、training runs、model releases</w:t>
            </w:r>
          </w:p>
        </w:tc>
        <w:tc>
          <w:tcPr>
            <w:tcW w:w="4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88E3B">
            <w:pPr>
              <w:spacing w:after="40" w:line="260" w:lineRule="auto"/>
            </w:pPr>
            <w:r>
              <w:rPr>
                <w:sz w:val="18"/>
                <w:szCs w:val="18"/>
              </w:rPr>
              <w:t>标准销量、映射、训练租约、评测、制品版本和发布状态</w:t>
            </w:r>
          </w:p>
        </w:tc>
      </w:tr>
      <w:tr w14:paraId="1567E962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975C1">
            <w:pPr>
              <w:spacing w:after="40" w:line="260" w:lineRule="auto"/>
            </w:pPr>
            <w:r>
              <w:rPr>
                <w:sz w:val="18"/>
                <w:szCs w:val="18"/>
              </w:rPr>
              <w:t>通知投递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C8A14">
            <w:pPr>
              <w:spacing w:after="40" w:line="260" w:lineRule="auto"/>
            </w:pPr>
            <w:r>
              <w:rPr>
                <w:sz w:val="18"/>
                <w:szCs w:val="18"/>
              </w:rPr>
              <w:t>channels、deliveries、attempts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A8DDF">
            <w:pPr>
              <w:spacing w:after="40" w:line="260" w:lineRule="auto"/>
            </w:pPr>
            <w:r>
              <w:rPr>
                <w:sz w:val="18"/>
                <w:szCs w:val="18"/>
              </w:rPr>
              <w:t>渠道配置、告警关联、送达/失败、重试次数与时间</w:t>
            </w:r>
          </w:p>
        </w:tc>
      </w:tr>
      <w:tr w14:paraId="00486B78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3338C">
            <w:pPr>
              <w:spacing w:after="40" w:line="260" w:lineRule="auto"/>
            </w:pPr>
            <w:r>
              <w:rPr>
                <w:sz w:val="18"/>
                <w:szCs w:val="18"/>
              </w:rPr>
              <w:t>Agent 与上下文</w:t>
            </w:r>
          </w:p>
        </w:tc>
        <w:tc>
          <w:tcPr>
            <w:tcW w:w="32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5AB5E">
            <w:pPr>
              <w:spacing w:after="40" w:line="260" w:lineRule="auto"/>
            </w:pPr>
            <w:r>
              <w:rPr>
                <w:sz w:val="18"/>
                <w:szCs w:val="18"/>
              </w:rPr>
              <w:t>conversations、memory、goals/triggers</w:t>
            </w:r>
          </w:p>
        </w:tc>
        <w:tc>
          <w:tcPr>
            <w:tcW w:w="4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06817">
            <w:pPr>
              <w:spacing w:after="40" w:line="260" w:lineRule="auto"/>
            </w:pPr>
            <w:r>
              <w:rPr>
                <w:sz w:val="18"/>
                <w:szCs w:val="18"/>
              </w:rPr>
              <w:t>会话状态、受控记忆、目标与触发器；前台入口本期关闭但底层保留</w:t>
            </w:r>
          </w:p>
        </w:tc>
      </w:tr>
      <w:tr w14:paraId="770ABAA5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FBAA3">
            <w:pPr>
              <w:spacing w:after="40" w:line="260" w:lineRule="auto"/>
            </w:pPr>
            <w:r>
              <w:rPr>
                <w:sz w:val="18"/>
                <w:szCs w:val="18"/>
              </w:rPr>
              <w:t>幂等与审计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73D53">
            <w:pPr>
              <w:spacing w:after="40" w:line="260" w:lineRule="auto"/>
            </w:pPr>
            <w:r>
              <w:rPr>
                <w:sz w:val="18"/>
                <w:szCs w:val="18"/>
              </w:rPr>
              <w:t>idempotency records、audit logs、model runs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BB88D">
            <w:pPr>
              <w:spacing w:after="40" w:line="260" w:lineRule="auto"/>
            </w:pPr>
            <w:r>
              <w:rPr>
                <w:sz w:val="18"/>
                <w:szCs w:val="18"/>
              </w:rPr>
              <w:t>写请求回放、管理操作、模型调用与关键状态变更</w:t>
            </w:r>
          </w:p>
        </w:tc>
      </w:tr>
      <w:tr w14:paraId="4B269E2F">
        <w:trPr>
          <w:cantSplit/>
        </w:trPr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338DB">
            <w:pPr>
              <w:spacing w:after="40" w:line="260" w:lineRule="auto"/>
            </w:pPr>
            <w:r>
              <w:rPr>
                <w:sz w:val="18"/>
                <w:szCs w:val="18"/>
              </w:rPr>
              <w:t>工作流状态</w:t>
            </w:r>
          </w:p>
        </w:tc>
        <w:tc>
          <w:tcPr>
            <w:tcW w:w="32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C5B2E">
            <w:pPr>
              <w:spacing w:after="40" w:line="260" w:lineRule="auto"/>
            </w:pPr>
            <w:r>
              <w:rPr>
                <w:sz w:val="18"/>
                <w:szCs w:val="18"/>
              </w:rPr>
              <w:t>LangGraph checkpoints、业务安全投影、outbox</w:t>
            </w:r>
          </w:p>
        </w:tc>
        <w:tc>
          <w:tcPr>
            <w:tcW w:w="4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1B65C">
            <w:pPr>
              <w:spacing w:after="40" w:line="260" w:lineRule="auto"/>
            </w:pPr>
            <w:r>
              <w:rPr>
                <w:sz w:val="18"/>
                <w:szCs w:val="18"/>
              </w:rPr>
              <w:t>内部恢复状态、轻量引用、恢复令牌和事务补投</w:t>
            </w:r>
          </w:p>
        </w:tc>
      </w:tr>
    </w:tbl>
    <w:p w14:paraId="1FFA5E9B">
      <w:pPr>
        <w:pStyle w:val="7"/>
        <w:keepNext/>
      </w:pPr>
      <w:r>
        <w:t>租户隔离与数据库角色</w:t>
      </w:r>
    </w:p>
    <w:p w14:paraId="0362C6E4">
      <w:pPr>
        <w:pStyle w:val="17"/>
      </w:pPr>
      <w:r>
        <w:t>公开业务查询必须带 tenant_id，JWT 中的租户、用户和角色还会与数据库状态二次核验；跨租户对象引用在 Service/Repository 层拒绝。</w:t>
      </w:r>
    </w:p>
    <w:p w14:paraId="5DBEA507">
      <w:pPr>
        <w:pStyle w:val="17"/>
      </w:pPr>
      <w:r>
        <w:t>安全迁移为租户表配置 RLS 与 FORCE ROW LEVEL SECURITY，并区分 API、Worker、管理迁移等数据库角色；生产配置要求运行时角色分离，禁止应用启动时执行 Schema DDL。</w:t>
      </w:r>
    </w:p>
    <w:p w14:paraId="2B490D9D">
      <w:pPr>
        <w:pStyle w:val="17"/>
      </w:pPr>
      <w:r>
        <w:t>高风险写入使用事务、唯一约束、Idempotency-Key、审计日志和 Outbox；租户删除、备份与迁移按独立生命周期处理。</w:t>
      </w:r>
    </w:p>
    <w:p w14:paraId="24FE1571">
      <w:pPr>
        <w:pStyle w:val="7"/>
        <w:keepNext/>
      </w:pPr>
      <w:r>
        <w:t>知识库与向量检索</w:t>
      </w:r>
    </w:p>
    <w:p w14:paraId="460B06A0">
      <w:r>
        <w:t>知识库保存文档原文、版本、分段、索引状态、Embedding 模型/维度和 Citation 定位信息。检索先执行用户与知识库权限过滤，再进行全文/关键词召回和可用时的 1024 维向量召回，最后可调用 qwen3-rerank 重排。v3_30 在 pgvector 可用时创建 vector(1024) 和 HNSW 索引；不可用时数据库迁移保持可执行，系统回退到全文/关键词及进程内相似度，且必须保留原文引用。</w:t>
      </w:r>
    </w:p>
    <w:p w14:paraId="4849BE5F">
      <w:r>
        <w:t>竞品向量检索与知识库检索是两条不同路径：前者在任务内存中计算并只保存匹配结果，后者持久化文档分段和条件启用的向量索引。两者都先执行租户和授权范围校验，不能把跨租户向量或文本放入同一候选集合。</w:t>
      </w:r>
    </w:p>
    <w:p w14:paraId="1F82F9B6">
      <w:pPr>
        <w:pStyle w:val="7"/>
        <w:keepNext/>
      </w:pPr>
      <w:r>
        <w:t>文件、对象存储与模型制品</w:t>
      </w:r>
    </w:p>
    <w:p w14:paraId="605F3E5A">
      <w:pPr>
        <w:pStyle w:val="17"/>
      </w:pPr>
      <w:r>
        <w:t>ObjectStorage 提供 LocalObjectStorage 与 S3ObjectStorage 两种后端；两者统一执行文件大小、MIME/扩展名、租户前缀和 SHA-256 校验。</w:t>
      </w:r>
    </w:p>
    <w:p w14:paraId="25EFE6F8">
      <w:pPr>
        <w:pStyle w:val="17"/>
      </w:pPr>
      <w:r>
        <w:t>本地后端用于开发环境，目录和文件权限受控；生产环境配置校验强制 STORAGE_BACKEND=s3、完整访问凭证和 secure=true，并要求存储桶按部署策略预创建或显式允许创建。</w:t>
      </w:r>
    </w:p>
    <w:p w14:paraId="3577C537">
      <w:pPr>
        <w:pStyle w:val="17"/>
      </w:pPr>
      <w:r>
        <w:t>真实云端桶、生命周期策略、跨区复制和访问审计属于生产环境验收项，不能仅凭代码存在宣称已经完成。</w:t>
      </w:r>
    </w:p>
    <w:p w14:paraId="70A7624D">
      <w:pPr>
        <w:pStyle w:val="17"/>
      </w:pPr>
      <w:r>
        <w:t>销量预测制品保存在受管根目录或对象存储中，包含模型、编码器、元数据和校验清单；加载前校验租户归属、路径、版本和指纹，客户端不能传入任意文件系统路径。</w:t>
      </w:r>
    </w:p>
    <w:p w14:paraId="3C105053">
      <w:pPr>
        <w:pStyle w:val="7"/>
        <w:keepNext/>
      </w:pPr>
      <w:r>
        <w:t>Redis 与 Checkpoint</w:t>
      </w:r>
    </w:p>
    <w:p w14:paraId="42B6CF3A">
      <w:pPr>
        <w:pStyle w:val="17"/>
      </w:pPr>
      <w:r>
        <w:t>Redis Streams 负责任务传递、消费组、租约接管、去重、重试和死信，不作为业务事实库；最终任务状态和结果以 PostgreSQL 为准。</w:t>
      </w:r>
    </w:p>
    <w:p w14:paraId="7FA35569">
      <w:pPr>
        <w:pStyle w:val="17"/>
      </w:pPr>
      <w:r>
        <w:t>LangGraph PostgreSQL Checkpointer 保存可恢复的内部状态；furniscope 业务安全投影只保存 ID、版本、引用、哈希和可恢复标志，两者不能混为一谈。</w:t>
      </w:r>
    </w:p>
    <w:p w14:paraId="0EF86CA5">
      <w:pPr>
        <w:pStyle w:val="17"/>
      </w:pPr>
      <w:r>
        <w:t>Worker 周期执行补投、授权信号调度和通知维护；租约、心跳和执行令牌避免同一任务被多个实例重复提交结果。</w:t>
      </w:r>
    </w:p>
    <w:p w14:paraId="0A6779F9">
      <w:pPr>
        <w:pStyle w:val="5"/>
        <w:keepNext/>
      </w:pPr>
      <w:r>
        <w:t>4.4 核心数据处理与模型生命周期</w:t>
      </w:r>
    </w:p>
    <w:p w14:paraId="6BBC2B4B">
      <w:pPr>
        <w:pStyle w:val="6"/>
        <w:keepNext/>
      </w:pPr>
      <w:r>
        <w:t>4.4.1 产品主档与批量导入</w:t>
      </w:r>
    </w:p>
    <w:p w14:paraId="29E5A3BB">
      <w:r>
        <w:t>产品可以单条录入或通过 Excel 批量导入。系统先校验模板版本、必填列、SKU 唯一性、字段类型和行级语义，再写入导入任务；错误行携带字段、原因和原值返回，不以部分失败覆盖有效主档。PDF、XLSX、JPG/PNG 等资料进入解析任务，经原生文本、单元格或 OCR 抽取后生成候选事实。事实采用“人工输入 &gt; 文档提取 &gt; AI 识别”的优先级，关键字段确认后才进入分析和训练。</w:t>
      </w:r>
    </w:p>
    <w:p w14:paraId="599238C5">
      <w:pPr>
        <w:pStyle w:val="6"/>
        <w:keepNext/>
      </w:pPr>
      <w:r>
        <w:t>4.4.2 企业知识库与受控问数</w:t>
      </w:r>
    </w:p>
    <w:p w14:paraId="652BDE0F">
      <w:r>
        <w:t>知识文档上传后经过文件校验、版本冻结、文本抽取、分段和索引。用户在工作台绑定指定知识库后，系统只检索其有权访问的版本，答案返回文档、段落和原文 Citation；相关性不足时明确拒答。受控问数只开放白名单数据域和只读操作，限制查询时长、行数和租户范围，结果携带口径与来源，不允许模型自由拼接 SQL 访问任意表。</w:t>
      </w:r>
    </w:p>
    <w:p w14:paraId="3EE916DD">
      <w:pPr>
        <w:pStyle w:val="6"/>
        <w:keepNext/>
      </w:pPr>
      <w:r>
        <w:t>4.4.3 市场决策与经营结果回流</w:t>
      </w:r>
    </w:p>
    <w:p w14:paraId="59E68301">
      <w:r>
        <w:t>已确认产品画像、ready 授权市场数据、选定知识库和经营配置进入市场决策主链。系统执行数据质量检查、竞品过滤、Embedding/Rerank、评论证据抽取、需求聚类、价格/竞争与趋势并行分析、机会评分和策略生成；数值由 SQL 与版本化规则计算，文本模型负责受约束的抽取和组织。报告输出前执行证据审计并冻结数据、评分规则、Prompt/Schema 和模型路由版本。</w:t>
      </w:r>
    </w:p>
    <w:p w14:paraId="4B1BF55D">
      <w:r>
        <w:t>机会进入采纳、拒绝或待验证状态后，实施记录继续跟踪打样、投产和责任人；经营结果可回流销量、退货、收入、成本和 ROI 口径。回流数据用于复盘与后续排序修正，但系统区分相关性与因果性，不把“采纳”直接等同于“实施成功”，也不把经营变化自动归因于单次机会。</w:t>
      </w:r>
    </w:p>
    <w:p w14:paraId="119A66D4">
      <w:pPr>
        <w:pStyle w:val="6"/>
        <w:keepNext/>
      </w:pPr>
      <w:r>
        <w:t>4.4.4 销量预测模型演进关系</w:t>
      </w:r>
    </w:p>
    <w:tbl>
      <w:tblPr>
        <w:tblStyle w:val="34"/>
        <w:tblW w:w="9300" w:type="dxa"/>
        <w:tblInd w:w="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2050"/>
        <w:gridCol w:w="2000"/>
        <w:gridCol w:w="2100"/>
        <w:gridCol w:w="1900"/>
      </w:tblGrid>
      <w:tr w14:paraId="2A4E06CF">
        <w:trPr>
          <w:tblHeader/>
        </w:trPr>
        <w:tc>
          <w:tcPr>
            <w:tcW w:w="12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8BBB4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模型版本</w:t>
            </w:r>
          </w:p>
        </w:tc>
        <w:tc>
          <w:tcPr>
            <w:tcW w:w="205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CA396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定位与数据范围</w:t>
            </w:r>
          </w:p>
        </w:tc>
        <w:tc>
          <w:tcPr>
            <w:tcW w:w="20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EC2FE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算法与特征</w:t>
            </w:r>
          </w:p>
        </w:tc>
        <w:tc>
          <w:tcPr>
            <w:tcW w:w="21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F6335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评测/发布</w:t>
            </w:r>
          </w:p>
        </w:tc>
        <w:tc>
          <w:tcPr>
            <w:tcW w:w="19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FEEA9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路由关系</w:t>
            </w:r>
          </w:p>
        </w:tc>
      </w:tr>
      <w:tr w14:paraId="6E8FBDAF">
        <w:trPr>
          <w:cantSplit/>
        </w:trPr>
        <w:tc>
          <w:tcPr>
            <w:tcW w:w="12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32500">
            <w:pPr>
              <w:spacing w:after="40" w:line="260" w:lineRule="auto"/>
            </w:pPr>
            <w:r>
              <w:rPr>
                <w:sz w:val="18"/>
                <w:szCs w:val="18"/>
              </w:rPr>
              <w:t>sales-forecast-v4</w:t>
            </w:r>
          </w:p>
        </w:tc>
        <w:tc>
          <w:tcPr>
            <w:tcW w:w="20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AF370">
            <w:pPr>
              <w:spacing w:after="40" w:line="260" w:lineRule="auto"/>
            </w:pPr>
            <w:r>
              <w:rPr>
                <w:sz w:val="18"/>
                <w:szCs w:val="18"/>
              </w:rPr>
              <w:t>平台共享基线；历史订单与可选库存数据，支持日/周预测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CE5EC">
            <w:pPr>
              <w:spacing w:after="40" w:line="260" w:lineRule="auto"/>
            </w:pPr>
            <w:r>
              <w:rPr>
                <w:sz w:val="18"/>
                <w:szCs w:val="18"/>
              </w:rPr>
              <w:t>XGBoost + LightGBM 0.5/0.5 集成；日期、价格、折扣、库存等特征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AD53E">
            <w:pPr>
              <w:spacing w:after="40" w:line="260" w:lineRule="auto"/>
            </w:pPr>
            <w:r>
              <w:rPr>
                <w:sz w:val="18"/>
                <w:szCs w:val="18"/>
              </w:rPr>
              <w:t>制品指纹与加载校验；作为稳定共享版本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F86A4">
            <w:pPr>
              <w:spacing w:after="40" w:line="260" w:lineRule="auto"/>
            </w:pPr>
            <w:r>
              <w:rPr>
                <w:sz w:val="18"/>
                <w:szCs w:val="18"/>
              </w:rPr>
              <w:t>租户无有效企业发布或数据不足时使用</w:t>
            </w:r>
          </w:p>
        </w:tc>
      </w:tr>
      <w:tr w14:paraId="7BA85350">
        <w:trPr>
          <w:cantSplit/>
        </w:trPr>
        <w:tc>
          <w:tcPr>
            <w:tcW w:w="12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F4BFD">
            <w:pPr>
              <w:spacing w:after="40" w:line="260" w:lineRule="auto"/>
            </w:pPr>
            <w:r>
              <w:rPr>
                <w:sz w:val="18"/>
                <w:szCs w:val="18"/>
              </w:rPr>
              <w:t>tenant-xgb-v2</w:t>
            </w:r>
          </w:p>
        </w:tc>
        <w:tc>
          <w:tcPr>
            <w:tcW w:w="205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32A8F">
            <w:pPr>
              <w:spacing w:after="40" w:line="260" w:lineRule="auto"/>
            </w:pPr>
            <w:r>
              <w:rPr>
                <w:sz w:val="18"/>
                <w:szCs w:val="18"/>
              </w:rPr>
              <w:t>企业专属模型；仅使用该租户确认后的标准销量和 SKU 映射</w:t>
            </w:r>
          </w:p>
        </w:tc>
        <w:tc>
          <w:tcPr>
            <w:tcW w:w="20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2111F">
            <w:pPr>
              <w:spacing w:after="40" w:line="260" w:lineRule="auto"/>
            </w:pPr>
            <w:r>
              <w:rPr>
                <w:sz w:val="18"/>
                <w:szCs w:val="18"/>
              </w:rPr>
              <w:t>XGBoost 企业训练；稀疏数据走受控回退</w:t>
            </w:r>
          </w:p>
        </w:tc>
        <w:tc>
          <w:tcPr>
            <w:tcW w:w="2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27092">
            <w:pPr>
              <w:spacing w:after="40" w:line="260" w:lineRule="auto"/>
            </w:pPr>
            <w:r>
              <w:rPr>
                <w:sz w:val="18"/>
                <w:szCs w:val="18"/>
              </w:rPr>
              <w:t>三时间窗口滚动评测、误差/数据门槛、原子发布与回滚</w:t>
            </w:r>
          </w:p>
        </w:tc>
        <w:tc>
          <w:tcPr>
            <w:tcW w:w="19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748B1">
            <w:pPr>
              <w:spacing w:after="40" w:line="260" w:lineRule="auto"/>
            </w:pPr>
            <w:r>
              <w:rPr>
                <w:sz w:val="18"/>
                <w:szCs w:val="18"/>
              </w:rPr>
              <w:t>企业版本满足条件且处于 active 时优先；失败不替换旧版本</w:t>
            </w:r>
          </w:p>
        </w:tc>
      </w:tr>
    </w:tbl>
    <w:p w14:paraId="62BCD5BF">
      <w:r>
        <w:t>两者不是简单的新旧替代关系：sales-forecast-v4 是共享基线和兜底，tenant-xgb-v2 是企业标准销量积累到门槛后的专属演进。训练先取得租约并冻结数据截止时间，清洗、SKU 映射和特征工程完成后执行三个时间窗口评测；只有全部门槛通过、制品校验成功时才在事务中切换 active 版本，任何训练或发布失败都保留原正式版本。标准建模与快速追加共用同一发布治理，不允许绕过评测直接覆盖。</w:t>
      </w:r>
    </w:p>
    <w:p w14:paraId="30DEBA69">
      <w:pPr>
        <w:pStyle w:val="6"/>
        <w:keepNext/>
      </w:pPr>
      <w:r>
        <w:t>4.4.5 持续监测与自动化投递</w:t>
      </w:r>
    </w:p>
    <w:p w14:paraId="63DC6772">
      <w:r>
        <w:t>竞品 Listing、价格、评论主题和政策来源变化在授权范围内形成信号，经事件去重、阈值和严重度规则生成告警。通知服务读取已启用渠道并创建投递记录，支持 Webhook、钉钉、Slack、邮件和短信接口形态，记录待投递、已送达和失败状态，失败自动重试最多 5 次。当前代码已实现渠道、状态和重试闭环；真实外部网关凭证、回执和限流需在部署环境单独验收。</w:t>
      </w:r>
    </w:p>
    <w:p w14:paraId="3E904EEF">
      <w:pPr>
        <w:pStyle w:val="5"/>
        <w:keepNext/>
      </w:pPr>
      <w:r>
        <w:t>4.5 安全、部署与生产验收边界</w:t>
      </w:r>
    </w:p>
    <w:p w14:paraId="092B58DF">
      <w:pPr>
        <w:pStyle w:val="6"/>
        <w:keepNext/>
      </w:pPr>
      <w:r>
        <w:t>4.5.1 安全与可靠性基线</w:t>
      </w:r>
    </w:p>
    <w:p w14:paraId="14CAEE7A">
      <w:pPr>
        <w:pStyle w:val="17"/>
      </w:pPr>
      <w:r>
        <w:t>身份与权限：RS256 JWT、15 分钟访问令牌、Refresh Token 轮换、企业用户与平台管理员界面隔离、数据库身份与租户状态复核。</w:t>
      </w:r>
    </w:p>
    <w:p w14:paraId="68CE28C6">
      <w:pPr>
        <w:pStyle w:val="17"/>
      </w:pPr>
      <w:r>
        <w:t>数据库：tenant_id 过滤、RLS/FORCE RLS、API/Worker/迁移角色分离、生产禁止运行时 DDL、审计和幂等记录。</w:t>
      </w:r>
    </w:p>
    <w:p w14:paraId="6EC293D3">
      <w:pPr>
        <w:pStyle w:val="17"/>
      </w:pPr>
      <w:r>
        <w:t>文件与网络：上传类型/大小/签名校验、租户对象前缀、SHA-256、外部模型 HTTPS、生产对象存储 TLS。</w:t>
      </w:r>
    </w:p>
    <w:p w14:paraId="42ACCDF6">
      <w:pPr>
        <w:pStyle w:val="17"/>
      </w:pPr>
      <w:r>
        <w:t>异步可靠性：消费组、租约/心跳、执行令牌、重试、死信、事务 Outbox 和最终状态回查。</w:t>
      </w:r>
    </w:p>
    <w:p w14:paraId="612C4CC5">
      <w:pPr>
        <w:pStyle w:val="17"/>
      </w:pPr>
      <w:r>
        <w:t>模型安全：证据范围裁剪、结构化 Schema 校验、无证据拒答、数值计算与文本生成分离、配额回退边界明确。</w:t>
      </w:r>
    </w:p>
    <w:p w14:paraId="519FAEB3">
      <w:pPr>
        <w:pStyle w:val="6"/>
        <w:keepNext/>
      </w:pPr>
      <w:r>
        <w:t>4.5.2 部署拓扑</w:t>
      </w:r>
    </w:p>
    <w:tbl>
      <w:tblPr>
        <w:tblStyle w:val="34"/>
        <w:tblW w:w="9500" w:type="dxa"/>
        <w:tblInd w:w="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100"/>
        <w:gridCol w:w="4300"/>
      </w:tblGrid>
      <w:tr w14:paraId="4EFC00E4">
        <w:trPr>
          <w:tblHeader/>
        </w:trPr>
        <w:tc>
          <w:tcPr>
            <w:tcW w:w="21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CD5C6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服务</w:t>
            </w:r>
          </w:p>
        </w:tc>
        <w:tc>
          <w:tcPr>
            <w:tcW w:w="31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FB41E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运行方式</w:t>
            </w:r>
          </w:p>
        </w:tc>
        <w:tc>
          <w:tcPr>
            <w:tcW w:w="43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DF7FC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职责/端口</w:t>
            </w:r>
          </w:p>
        </w:tc>
      </w:tr>
      <w:tr w14:paraId="176FED79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7A683">
            <w:pPr>
              <w:spacing w:after="40" w:line="260" w:lineRule="auto"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9E6CA">
            <w:pPr>
              <w:spacing w:after="40" w:line="260" w:lineRule="auto"/>
            </w:pPr>
            <w:r>
              <w:rPr>
                <w:sz w:val="18"/>
                <w:szCs w:val="18"/>
              </w:rPr>
              <w:t>Node 构建 + Nginx 运行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EA363">
            <w:pPr>
              <w:spacing w:after="40" w:line="260" w:lineRule="auto"/>
            </w:pPr>
            <w:r>
              <w:rPr>
                <w:sz w:val="18"/>
                <w:szCs w:val="18"/>
              </w:rPr>
              <w:t>静态站点；反向代理 /api/ 与 /health/</w:t>
            </w:r>
          </w:p>
        </w:tc>
      </w:tr>
      <w:tr w14:paraId="6AC27E14">
        <w:trPr>
          <w:cantSplit/>
        </w:trPr>
        <w:tc>
          <w:tcPr>
            <w:tcW w:w="2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CA4E7">
            <w:pPr>
              <w:spacing w:after="40" w:line="26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FE45F">
            <w:pPr>
              <w:spacing w:after="40" w:line="260" w:lineRule="auto"/>
            </w:pPr>
            <w:r>
              <w:rPr>
                <w:sz w:val="18"/>
                <w:szCs w:val="18"/>
              </w:rPr>
              <w:t>Python 3.12 + Uvicorn</w:t>
            </w:r>
          </w:p>
        </w:tc>
        <w:tc>
          <w:tcPr>
            <w:tcW w:w="4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60C62">
            <w:pPr>
              <w:spacing w:after="40" w:line="260" w:lineRule="auto"/>
            </w:pPr>
            <w:r>
              <w:rPr>
                <w:sz w:val="18"/>
                <w:szCs w:val="18"/>
              </w:rPr>
              <w:t>REST、SSE、Health、Metrics；容器 8000</w:t>
            </w:r>
          </w:p>
        </w:tc>
      </w:tr>
      <w:tr w14:paraId="14D30AFC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4FE49">
            <w:pPr>
              <w:spacing w:after="40" w:line="260" w:lineRule="auto"/>
            </w:pPr>
            <w:r>
              <w:rPr>
                <w:sz w:val="18"/>
                <w:szCs w:val="18"/>
              </w:rPr>
              <w:t>worker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80C91">
            <w:pPr>
              <w:spacing w:after="40" w:line="260" w:lineRule="auto"/>
            </w:pPr>
            <w:r>
              <w:rPr>
                <w:sz w:val="18"/>
                <w:szCs w:val="18"/>
              </w:rPr>
              <w:t>同一 Python 应用的独立进程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6AA1A">
            <w:pPr>
              <w:spacing w:after="40" w:line="260" w:lineRule="auto"/>
            </w:pPr>
            <w:r>
              <w:rPr>
                <w:sz w:val="18"/>
                <w:szCs w:val="18"/>
              </w:rPr>
              <w:t>Redis 任务、Agent、导入、预测训练、信号和通知维护</w:t>
            </w:r>
          </w:p>
        </w:tc>
      </w:tr>
      <w:tr w14:paraId="6440D816">
        <w:trPr>
          <w:cantSplit/>
        </w:trPr>
        <w:tc>
          <w:tcPr>
            <w:tcW w:w="2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945CD">
            <w:pPr>
              <w:spacing w:after="40" w:line="260" w:lineRule="auto"/>
            </w:pPr>
            <w:r>
              <w:rPr>
                <w:sz w:val="18"/>
                <w:szCs w:val="18"/>
              </w:rPr>
              <w:t>postgres</w:t>
            </w:r>
          </w:p>
        </w:tc>
        <w:tc>
          <w:tcPr>
            <w:tcW w:w="3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376C3">
            <w:pPr>
              <w:spacing w:after="40" w:line="260" w:lineRule="auto"/>
            </w:pPr>
            <w:r>
              <w:rPr>
                <w:sz w:val="18"/>
                <w:szCs w:val="18"/>
              </w:rPr>
              <w:t>PostgreSQL 16</w:t>
            </w:r>
          </w:p>
        </w:tc>
        <w:tc>
          <w:tcPr>
            <w:tcW w:w="4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86526">
            <w:pPr>
              <w:spacing w:after="40" w:line="260" w:lineRule="auto"/>
            </w:pPr>
            <w:r>
              <w:rPr>
                <w:sz w:val="18"/>
                <w:szCs w:val="18"/>
              </w:rPr>
              <w:t>业务 Schema、审计、Checkpointer、RLS 和模型发布元数据</w:t>
            </w:r>
          </w:p>
        </w:tc>
      </w:tr>
      <w:tr w14:paraId="7F9CBBBB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23D81">
            <w:pPr>
              <w:spacing w:after="40" w:line="260" w:lineRule="auto"/>
            </w:pPr>
            <w:r>
              <w:rPr>
                <w:sz w:val="18"/>
                <w:szCs w:val="18"/>
              </w:rPr>
              <w:t>redis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E2384">
            <w:pPr>
              <w:spacing w:after="40" w:line="260" w:lineRule="auto"/>
            </w:pPr>
            <w:r>
              <w:rPr>
                <w:sz w:val="18"/>
                <w:szCs w:val="18"/>
              </w:rPr>
              <w:t>Redis 7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C0691">
            <w:pPr>
              <w:spacing w:after="40" w:line="260" w:lineRule="auto"/>
            </w:pPr>
            <w:r>
              <w:rPr>
                <w:sz w:val="18"/>
                <w:szCs w:val="18"/>
              </w:rPr>
              <w:t>Streams、消费组、租约、重试、死信</w:t>
            </w:r>
          </w:p>
        </w:tc>
      </w:tr>
      <w:tr w14:paraId="4E60B733">
        <w:trPr>
          <w:cantSplit/>
        </w:trPr>
        <w:tc>
          <w:tcPr>
            <w:tcW w:w="2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E5B11">
            <w:pPr>
              <w:spacing w:after="40" w:line="260" w:lineRule="auto"/>
            </w:pPr>
            <w:r>
              <w:rPr>
                <w:sz w:val="18"/>
                <w:szCs w:val="18"/>
              </w:rPr>
              <w:t>object storage</w:t>
            </w:r>
          </w:p>
        </w:tc>
        <w:tc>
          <w:tcPr>
            <w:tcW w:w="3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DE906">
            <w:pPr>
              <w:spacing w:after="40" w:line="260" w:lineRule="auto"/>
            </w:pPr>
            <w:r>
              <w:rPr>
                <w:sz w:val="18"/>
                <w:szCs w:val="18"/>
              </w:rPr>
              <w:t>Local 或 S3 兼容</w:t>
            </w:r>
          </w:p>
        </w:tc>
        <w:tc>
          <w:tcPr>
            <w:tcW w:w="4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D4BC2">
            <w:pPr>
              <w:spacing w:after="40" w:line="260" w:lineRule="auto"/>
            </w:pPr>
            <w:r>
              <w:rPr>
                <w:sz w:val="18"/>
                <w:szCs w:val="18"/>
              </w:rPr>
              <w:t>开发文件或生产私有对象；生产要求 S3+TLS</w:t>
            </w:r>
          </w:p>
        </w:tc>
      </w:tr>
      <w:tr w14:paraId="75AC687F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AF678">
            <w:pPr>
              <w:spacing w:after="40" w:line="260" w:lineRule="auto"/>
            </w:pPr>
            <w:r>
              <w:rPr>
                <w:sz w:val="18"/>
                <w:szCs w:val="18"/>
              </w:rPr>
              <w:t>prometheus/grafana/alertmanager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4FBE9">
            <w:pPr>
              <w:spacing w:after="40" w:line="260" w:lineRule="auto"/>
            </w:pPr>
            <w:r>
              <w:rPr>
                <w:sz w:val="18"/>
                <w:szCs w:val="18"/>
              </w:rPr>
              <w:t>可选监控 Profile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64A4F">
            <w:pPr>
              <w:spacing w:after="40" w:line="260" w:lineRule="auto"/>
            </w:pPr>
            <w:r>
              <w:rPr>
                <w:sz w:val="18"/>
                <w:szCs w:val="18"/>
              </w:rPr>
              <w:t>指标采集、看板和告警路由</w:t>
            </w:r>
          </w:p>
        </w:tc>
      </w:tr>
      <w:tr w14:paraId="62E4EE6F">
        <w:trPr>
          <w:cantSplit/>
        </w:trPr>
        <w:tc>
          <w:tcPr>
            <w:tcW w:w="2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80D97">
            <w:pPr>
              <w:spacing w:after="40" w:line="260" w:lineRule="auto"/>
            </w:pPr>
            <w:r>
              <w:rPr>
                <w:sz w:val="18"/>
                <w:szCs w:val="18"/>
              </w:rPr>
              <w:t>backup/PITR</w:t>
            </w:r>
          </w:p>
        </w:tc>
        <w:tc>
          <w:tcPr>
            <w:tcW w:w="3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8D120">
            <w:pPr>
              <w:spacing w:after="40" w:line="260" w:lineRule="auto"/>
            </w:pPr>
            <w:r>
              <w:rPr>
                <w:sz w:val="18"/>
                <w:szCs w:val="18"/>
              </w:rPr>
              <w:t>脚本与计划任务</w:t>
            </w:r>
          </w:p>
        </w:tc>
        <w:tc>
          <w:tcPr>
            <w:tcW w:w="43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E052F">
            <w:pPr>
              <w:spacing w:after="40" w:line="260" w:lineRule="auto"/>
            </w:pPr>
            <w:r>
              <w:rPr>
                <w:sz w:val="18"/>
                <w:szCs w:val="18"/>
              </w:rPr>
              <w:t>逻辑备份、基础备份/WAL、恢复准备与演练</w:t>
            </w:r>
          </w:p>
        </w:tc>
      </w:tr>
    </w:tbl>
    <w:p w14:paraId="0F102DC9">
      <w:pPr>
        <w:pStyle w:val="6"/>
        <w:keepNext/>
      </w:pPr>
      <w:r>
        <w:t>4.5.3 当前完成度与生产验收项</w:t>
      </w:r>
    </w:p>
    <w:tbl>
      <w:tblPr>
        <w:tblStyle w:val="34"/>
        <w:tblW w:w="9300" w:type="dxa"/>
        <w:tblInd w:w="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700"/>
        <w:gridCol w:w="3100"/>
        <w:gridCol w:w="2000"/>
      </w:tblGrid>
      <w:tr w14:paraId="3170CE94">
        <w:trPr>
          <w:tblHeader/>
        </w:trPr>
        <w:tc>
          <w:tcPr>
            <w:tcW w:w="15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AB667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能力</w:t>
            </w:r>
          </w:p>
        </w:tc>
        <w:tc>
          <w:tcPr>
            <w:tcW w:w="27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00AE5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代码/本地闭环</w:t>
            </w:r>
          </w:p>
        </w:tc>
        <w:tc>
          <w:tcPr>
            <w:tcW w:w="31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AD782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生产环境要求</w:t>
            </w:r>
          </w:p>
        </w:tc>
        <w:tc>
          <w:tcPr>
            <w:tcW w:w="20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F3EFC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当前口径</w:t>
            </w:r>
          </w:p>
        </w:tc>
      </w:tr>
      <w:tr w14:paraId="063ACBD2"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C1595">
            <w:pPr>
              <w:spacing w:after="40" w:line="260" w:lineRule="auto"/>
            </w:pPr>
            <w:r>
              <w:rPr>
                <w:sz w:val="18"/>
                <w:szCs w:val="18"/>
              </w:rPr>
              <w:t>应用与任务链路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AC523">
            <w:pPr>
              <w:spacing w:after="40" w:line="260" w:lineRule="auto"/>
            </w:pPr>
            <w:r>
              <w:rPr>
                <w:sz w:val="18"/>
                <w:szCs w:val="18"/>
              </w:rPr>
              <w:t>API、Worker、Redis、PostgreSQL、三业务链路已闭环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E3E60">
            <w:pPr>
              <w:spacing w:after="40" w:line="260" w:lineRule="auto"/>
            </w:pPr>
            <w:r>
              <w:rPr>
                <w:sz w:val="18"/>
                <w:szCs w:val="18"/>
              </w:rPr>
              <w:t>独立生产租户、容量与压测、跨节点高可用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86578">
            <w:pPr>
              <w:spacing w:after="40" w:line="260" w:lineRule="auto"/>
            </w:pPr>
            <w:r>
              <w:rPr>
                <w:sz w:val="18"/>
                <w:szCs w:val="18"/>
              </w:rPr>
              <w:t>本地/比赛验收完成；高可用待验收</w:t>
            </w:r>
          </w:p>
        </w:tc>
      </w:tr>
      <w:tr w14:paraId="3471CD2C">
        <w:trPr>
          <w:cantSplit/>
        </w:trPr>
        <w:tc>
          <w:tcPr>
            <w:tcW w:w="15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3B330">
            <w:pPr>
              <w:spacing w:after="40" w:line="260" w:lineRule="auto"/>
            </w:pPr>
            <w:r>
              <w:rPr>
                <w:sz w:val="18"/>
                <w:szCs w:val="18"/>
              </w:rPr>
              <w:t>对象存储</w:t>
            </w:r>
          </w:p>
        </w:tc>
        <w:tc>
          <w:tcPr>
            <w:tcW w:w="27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DA741">
            <w:pPr>
              <w:spacing w:after="40" w:line="260" w:lineRule="auto"/>
            </w:pPr>
            <w:r>
              <w:rPr>
                <w:sz w:val="18"/>
                <w:szCs w:val="18"/>
              </w:rPr>
              <w:t>Local/S3 双后端、租户前缀、SHA-256、生产配置强校验</w:t>
            </w:r>
          </w:p>
        </w:tc>
        <w:tc>
          <w:tcPr>
            <w:tcW w:w="3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844E8">
            <w:pPr>
              <w:spacing w:after="40" w:line="260" w:lineRule="auto"/>
            </w:pPr>
            <w:r>
              <w:rPr>
                <w:sz w:val="18"/>
                <w:szCs w:val="18"/>
              </w:rPr>
              <w:t>私有 S3 桶、TLS、生命周期、访问审计和容灾</w:t>
            </w:r>
          </w:p>
        </w:tc>
        <w:tc>
          <w:tcPr>
            <w:tcW w:w="20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3D75A">
            <w:pPr>
              <w:spacing w:after="40" w:line="260" w:lineRule="auto"/>
            </w:pPr>
            <w:r>
              <w:rPr>
                <w:sz w:val="18"/>
                <w:szCs w:val="18"/>
              </w:rPr>
              <w:t>代码完成；真实云桶待验收</w:t>
            </w:r>
          </w:p>
        </w:tc>
      </w:tr>
      <w:tr w14:paraId="5496FA55"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EC11F">
            <w:pPr>
              <w:spacing w:after="40" w:line="260" w:lineRule="auto"/>
            </w:pPr>
            <w:r>
              <w:rPr>
                <w:sz w:val="18"/>
                <w:szCs w:val="18"/>
              </w:rPr>
              <w:t>数据库恢复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58562">
            <w:pPr>
              <w:spacing w:after="40" w:line="260" w:lineRule="auto"/>
            </w:pPr>
            <w:r>
              <w:rPr>
                <w:sz w:val="18"/>
                <w:szCs w:val="18"/>
              </w:rPr>
              <w:t>备份、PITR 准备和校验脚本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D98FF">
            <w:pPr>
              <w:spacing w:after="40" w:line="260" w:lineRule="auto"/>
            </w:pPr>
            <w:r>
              <w:rPr>
                <w:sz w:val="18"/>
                <w:szCs w:val="18"/>
              </w:rPr>
              <w:t>持续 WAL、异地副本、定期恢复演练与 RPO/RTO 记录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87648">
            <w:pPr>
              <w:spacing w:after="40" w:line="260" w:lineRule="auto"/>
            </w:pPr>
            <w:r>
              <w:rPr>
                <w:sz w:val="18"/>
                <w:szCs w:val="18"/>
              </w:rPr>
              <w:t>脚本完成；演练待验收</w:t>
            </w:r>
          </w:p>
        </w:tc>
      </w:tr>
      <w:tr w14:paraId="6BF9212D">
        <w:trPr>
          <w:cantSplit/>
        </w:trPr>
        <w:tc>
          <w:tcPr>
            <w:tcW w:w="15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F699E">
            <w:pPr>
              <w:spacing w:after="40" w:line="260" w:lineRule="auto"/>
            </w:pPr>
            <w:r>
              <w:rPr>
                <w:sz w:val="18"/>
                <w:szCs w:val="18"/>
              </w:rPr>
              <w:t>监控告警</w:t>
            </w:r>
          </w:p>
        </w:tc>
        <w:tc>
          <w:tcPr>
            <w:tcW w:w="27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F56F4">
            <w:pPr>
              <w:spacing w:after="40" w:line="260" w:lineRule="auto"/>
            </w:pPr>
            <w:r>
              <w:rPr>
                <w:sz w:val="18"/>
                <w:szCs w:val="18"/>
              </w:rPr>
              <w:t>Prometheus 指标、Grafana 看板、告警规则</w:t>
            </w:r>
          </w:p>
        </w:tc>
        <w:tc>
          <w:tcPr>
            <w:tcW w:w="3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1A9B7">
            <w:pPr>
              <w:spacing w:after="40" w:line="260" w:lineRule="auto"/>
            </w:pPr>
            <w:r>
              <w:rPr>
                <w:sz w:val="18"/>
                <w:szCs w:val="18"/>
              </w:rPr>
              <w:t>配置真实接收器，覆盖队列延迟、备份失败、数据陈旧和通知失败</w:t>
            </w:r>
          </w:p>
        </w:tc>
        <w:tc>
          <w:tcPr>
            <w:tcW w:w="20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8D678">
            <w:pPr>
              <w:spacing w:after="40" w:line="260" w:lineRule="auto"/>
            </w:pPr>
            <w:r>
              <w:rPr>
                <w:sz w:val="18"/>
                <w:szCs w:val="18"/>
              </w:rPr>
              <w:t>规则完成；接收器待验收</w:t>
            </w:r>
          </w:p>
        </w:tc>
      </w:tr>
      <w:tr w14:paraId="3B820E5F"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47974">
            <w:pPr>
              <w:spacing w:after="40" w:line="260" w:lineRule="auto"/>
            </w:pPr>
            <w:r>
              <w:rPr>
                <w:sz w:val="18"/>
                <w:szCs w:val="18"/>
              </w:rPr>
              <w:t>外部通知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D72CB">
            <w:pPr>
              <w:spacing w:after="40" w:line="260" w:lineRule="auto"/>
            </w:pPr>
            <w:r>
              <w:rPr>
                <w:sz w:val="18"/>
                <w:szCs w:val="18"/>
              </w:rPr>
              <w:t>渠道、投递记录、状态和最多 5 次重试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B9CE2">
            <w:pPr>
              <w:spacing w:after="40" w:line="260" w:lineRule="auto"/>
            </w:pPr>
            <w:r>
              <w:rPr>
                <w:sz w:val="18"/>
                <w:szCs w:val="18"/>
              </w:rPr>
              <w:t>真实钉钉/Slack/邮件/短信网关、回执、限流和密钥托管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89A72">
            <w:pPr>
              <w:spacing w:after="40" w:line="260" w:lineRule="auto"/>
            </w:pPr>
            <w:r>
              <w:rPr>
                <w:sz w:val="18"/>
                <w:szCs w:val="18"/>
              </w:rPr>
              <w:t>业务闭环完成；网关待接入</w:t>
            </w:r>
          </w:p>
        </w:tc>
      </w:tr>
      <w:tr w14:paraId="4C59F3F6">
        <w:trPr>
          <w:cantSplit/>
        </w:trPr>
        <w:tc>
          <w:tcPr>
            <w:tcW w:w="15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75875">
            <w:pPr>
              <w:spacing w:after="40" w:line="260" w:lineRule="auto"/>
            </w:pPr>
            <w:r>
              <w:rPr>
                <w:sz w:val="18"/>
                <w:szCs w:val="18"/>
              </w:rPr>
              <w:t>模型与数据</w:t>
            </w:r>
          </w:p>
        </w:tc>
        <w:tc>
          <w:tcPr>
            <w:tcW w:w="27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26F9E">
            <w:pPr>
              <w:spacing w:after="40" w:line="260" w:lineRule="auto"/>
            </w:pPr>
            <w:r>
              <w:rPr>
                <w:sz w:val="18"/>
                <w:szCs w:val="18"/>
              </w:rPr>
              <w:t>共享/企业预测路由、滚动评测、原子发布和市场证据链</w:t>
            </w:r>
          </w:p>
        </w:tc>
        <w:tc>
          <w:tcPr>
            <w:tcW w:w="31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B6E1D">
            <w:pPr>
              <w:spacing w:after="40" w:line="260" w:lineRule="auto"/>
            </w:pPr>
            <w:r>
              <w:rPr>
                <w:sz w:val="18"/>
                <w:szCs w:val="18"/>
              </w:rPr>
              <w:t>真实长期业务数据、误差校准、漂移监控和再训练策略</w:t>
            </w:r>
          </w:p>
        </w:tc>
        <w:tc>
          <w:tcPr>
            <w:tcW w:w="2000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BB3E9">
            <w:pPr>
              <w:spacing w:after="40" w:line="260" w:lineRule="auto"/>
            </w:pPr>
            <w:r>
              <w:rPr>
                <w:sz w:val="18"/>
                <w:szCs w:val="18"/>
              </w:rPr>
              <w:t>机制完成；生产数据校准待验收</w:t>
            </w:r>
          </w:p>
        </w:tc>
      </w:tr>
    </w:tbl>
    <w:p w14:paraId="41B86177">
      <w:r>
        <w:t>综上，本期版本满足比赛展示和本地业务闭环验收，但不能直接等同于生产上线完成。正式上线必须在目标环境完成 TLS、私有对象存储、数据库 PITR 与恢复演练、外部告警/通知接收器、多实例高可用、容量压测及真实业务数据校准，并形成可追溯验收记录。</w:t>
      </w:r>
    </w:p>
    <w:p w14:paraId="74BFB6BE">
      <w:pPr>
        <w:jc w:val="center"/>
      </w:pPr>
      <w:r>
        <w:rPr>
          <w:color w:val="999999"/>
        </w:rPr>
        <w:t>———————————————————————————————————————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CE98B4"/>
    <w:multiLevelType w:val="singleLevel"/>
    <w:tmpl w:val="ABCE98B4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79F53F5"/>
    <w:multiLevelType w:val="singleLevel"/>
    <w:tmpl w:val="B79F53F5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FBEE91C"/>
    <w:multiLevelType w:val="singleLevel"/>
    <w:tmpl w:val="BFBEE91C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F8BB47B"/>
    <w:multiLevelType w:val="singleLevel"/>
    <w:tmpl w:val="CF8BB47B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4">
    <w:nsid w:val="D76D3D81"/>
    <w:multiLevelType w:val="singleLevel"/>
    <w:tmpl w:val="D76D3D81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CBD614B"/>
    <w:multiLevelType w:val="singleLevel"/>
    <w:tmpl w:val="DCBD614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FDFBB6F"/>
    <w:multiLevelType w:val="singleLevel"/>
    <w:tmpl w:val="DFDFBB6F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7CF36E5"/>
    <w:multiLevelType w:val="singleLevel"/>
    <w:tmpl w:val="E7CF36E5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AAF6BF7"/>
    <w:multiLevelType w:val="singleLevel"/>
    <w:tmpl w:val="EAAF6BF7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ADF5D5B"/>
    <w:multiLevelType w:val="singleLevel"/>
    <w:tmpl w:val="EADF5D5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AFE2038"/>
    <w:multiLevelType w:val="singleLevel"/>
    <w:tmpl w:val="EAFE2038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BFF505E"/>
    <w:multiLevelType w:val="singleLevel"/>
    <w:tmpl w:val="EBFF505E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CE7F774"/>
    <w:multiLevelType w:val="singleLevel"/>
    <w:tmpl w:val="ECE7F77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3">
    <w:nsid w:val="EF6F6442"/>
    <w:multiLevelType w:val="singleLevel"/>
    <w:tmpl w:val="EF6F6442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67FD8DF"/>
    <w:multiLevelType w:val="singleLevel"/>
    <w:tmpl w:val="F67FD8DF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F6FEEC11"/>
    <w:multiLevelType w:val="singleLevel"/>
    <w:tmpl w:val="F6FEEC11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FDBFCF4C"/>
    <w:multiLevelType w:val="singleLevel"/>
    <w:tmpl w:val="FDBFCF4C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FDF60DF0"/>
    <w:multiLevelType w:val="singleLevel"/>
    <w:tmpl w:val="FDF60DF0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FE3ECC2B"/>
    <w:multiLevelType w:val="singleLevel"/>
    <w:tmpl w:val="FE3ECC2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FFDF6326"/>
    <w:multiLevelType w:val="singleLevel"/>
    <w:tmpl w:val="FFDF6326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FFED9742"/>
    <w:multiLevelType w:val="singleLevel"/>
    <w:tmpl w:val="FFED9742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21">
    <w:nsid w:val="FFF73378"/>
    <w:multiLevelType w:val="singleLevel"/>
    <w:tmpl w:val="FFF73378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FFF7E367"/>
    <w:multiLevelType w:val="singleLevel"/>
    <w:tmpl w:val="FFF7E367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5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7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8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9">
    <w:nsid w:val="0F3AF50D"/>
    <w:multiLevelType w:val="singleLevel"/>
    <w:tmpl w:val="0F3AF50D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30">
    <w:nsid w:val="16ED24E8"/>
    <w:multiLevelType w:val="singleLevel"/>
    <w:tmpl w:val="16ED24E8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1">
    <w:nsid w:val="2CECE3C2"/>
    <w:multiLevelType w:val="singleLevel"/>
    <w:tmpl w:val="2CECE3C2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3DFD51C9"/>
    <w:multiLevelType w:val="singleLevel"/>
    <w:tmpl w:val="3DFD51C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3">
    <w:nsid w:val="41C00401"/>
    <w:multiLevelType w:val="singleLevel"/>
    <w:tmpl w:val="41C0040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4">
    <w:nsid w:val="4A74C3FA"/>
    <w:multiLevelType w:val="singleLevel"/>
    <w:tmpl w:val="4A74C3F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5">
    <w:nsid w:val="4E5F8B3D"/>
    <w:multiLevelType w:val="singleLevel"/>
    <w:tmpl w:val="4E5F8B3D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6">
    <w:nsid w:val="56EE4ACC"/>
    <w:multiLevelType w:val="singleLevel"/>
    <w:tmpl w:val="56EE4AC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7">
    <w:nsid w:val="73ED6F08"/>
    <w:multiLevelType w:val="singleLevel"/>
    <w:tmpl w:val="73ED6F08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38">
    <w:nsid w:val="7AF47D39"/>
    <w:multiLevelType w:val="singleLevel"/>
    <w:tmpl w:val="7AF47D3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9">
    <w:nsid w:val="7BEA8E58"/>
    <w:multiLevelType w:val="singleLevel"/>
    <w:tmpl w:val="7BEA8E5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0">
    <w:nsid w:val="7D3F375B"/>
    <w:multiLevelType w:val="singleLevel"/>
    <w:tmpl w:val="7D3F375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4"/>
  </w:num>
  <w:num w:numId="2">
    <w:abstractNumId w:val="27"/>
  </w:num>
  <w:num w:numId="3">
    <w:abstractNumId w:val="28"/>
  </w:num>
  <w:num w:numId="4">
    <w:abstractNumId w:val="25"/>
  </w:num>
  <w:num w:numId="5">
    <w:abstractNumId w:val="23"/>
  </w:num>
  <w:num w:numId="6">
    <w:abstractNumId w:val="26"/>
  </w:num>
  <w:num w:numId="7">
    <w:abstractNumId w:val="39"/>
  </w:num>
  <w:num w:numId="8">
    <w:abstractNumId w:val="33"/>
  </w:num>
  <w:num w:numId="9">
    <w:abstractNumId w:val="20"/>
  </w:num>
  <w:num w:numId="10">
    <w:abstractNumId w:val="29"/>
  </w:num>
  <w:num w:numId="11">
    <w:abstractNumId w:val="3"/>
  </w:num>
  <w:num w:numId="12">
    <w:abstractNumId w:val="37"/>
  </w:num>
  <w:num w:numId="13">
    <w:abstractNumId w:val="36"/>
  </w:num>
  <w:num w:numId="14">
    <w:abstractNumId w:val="0"/>
  </w:num>
  <w:num w:numId="15">
    <w:abstractNumId w:val="17"/>
  </w:num>
  <w:num w:numId="16">
    <w:abstractNumId w:val="31"/>
  </w:num>
  <w:num w:numId="17">
    <w:abstractNumId w:val="21"/>
  </w:num>
  <w:num w:numId="18">
    <w:abstractNumId w:val="11"/>
  </w:num>
  <w:num w:numId="19">
    <w:abstractNumId w:val="8"/>
  </w:num>
  <w:num w:numId="20">
    <w:abstractNumId w:val="40"/>
  </w:num>
  <w:num w:numId="21">
    <w:abstractNumId w:val="14"/>
  </w:num>
  <w:num w:numId="22">
    <w:abstractNumId w:val="10"/>
  </w:num>
  <w:num w:numId="23">
    <w:abstractNumId w:val="18"/>
  </w:num>
  <w:num w:numId="24">
    <w:abstractNumId w:val="7"/>
  </w:num>
  <w:num w:numId="25">
    <w:abstractNumId w:val="22"/>
  </w:num>
  <w:num w:numId="26">
    <w:abstractNumId w:val="5"/>
  </w:num>
  <w:num w:numId="27">
    <w:abstractNumId w:val="4"/>
  </w:num>
  <w:num w:numId="28">
    <w:abstractNumId w:val="16"/>
  </w:num>
  <w:num w:numId="29">
    <w:abstractNumId w:val="19"/>
  </w:num>
  <w:num w:numId="30">
    <w:abstractNumId w:val="32"/>
  </w:num>
  <w:num w:numId="31">
    <w:abstractNumId w:val="15"/>
  </w:num>
  <w:num w:numId="32">
    <w:abstractNumId w:val="2"/>
  </w:num>
  <w:num w:numId="33">
    <w:abstractNumId w:val="30"/>
  </w:num>
  <w:num w:numId="34">
    <w:abstractNumId w:val="1"/>
  </w:num>
  <w:num w:numId="35">
    <w:abstractNumId w:val="9"/>
  </w:num>
  <w:num w:numId="36">
    <w:abstractNumId w:val="13"/>
  </w:num>
  <w:num w:numId="37">
    <w:abstractNumId w:val="6"/>
  </w:num>
  <w:num w:numId="38">
    <w:abstractNumId w:val="38"/>
  </w:num>
  <w:num w:numId="39">
    <w:abstractNumId w:val="35"/>
  </w:num>
  <w:num w:numId="40">
    <w:abstractNumId w:val="34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6055D8"/>
    <w:rsid w:val="2AC76F92"/>
    <w:rsid w:val="2B2A35D0"/>
    <w:rsid w:val="2C920007"/>
    <w:rsid w:val="345F06BD"/>
    <w:rsid w:val="3ABA3195"/>
    <w:rsid w:val="3ADC5FCB"/>
    <w:rsid w:val="3AEF0F5F"/>
    <w:rsid w:val="3DFD48FA"/>
    <w:rsid w:val="3E174EC3"/>
    <w:rsid w:val="3EC5217F"/>
    <w:rsid w:val="41122F43"/>
    <w:rsid w:val="42103C9C"/>
    <w:rsid w:val="45F3687E"/>
    <w:rsid w:val="4BF453E8"/>
    <w:rsid w:val="4D873CDD"/>
    <w:rsid w:val="4EFAFB15"/>
    <w:rsid w:val="4FC20054"/>
    <w:rsid w:val="53BBDB0C"/>
    <w:rsid w:val="53DBB7ED"/>
    <w:rsid w:val="56755377"/>
    <w:rsid w:val="5BDD1927"/>
    <w:rsid w:val="600D6620"/>
    <w:rsid w:val="645D07FF"/>
    <w:rsid w:val="67564D51"/>
    <w:rsid w:val="675D2A1E"/>
    <w:rsid w:val="69A04061"/>
    <w:rsid w:val="6BF236F2"/>
    <w:rsid w:val="6EF1286D"/>
    <w:rsid w:val="6FF1B6C9"/>
    <w:rsid w:val="719A3A8C"/>
    <w:rsid w:val="72E346C8"/>
    <w:rsid w:val="745A31AD"/>
    <w:rsid w:val="74FF16AB"/>
    <w:rsid w:val="7877285E"/>
    <w:rsid w:val="7BFFB676"/>
    <w:rsid w:val="7C6D24C9"/>
    <w:rsid w:val="7DBD4288"/>
    <w:rsid w:val="7F765DF3"/>
    <w:rsid w:val="7F9E4FC7"/>
    <w:rsid w:val="7FFB16FD"/>
    <w:rsid w:val="A6EF2142"/>
    <w:rsid w:val="BB3D26AF"/>
    <w:rsid w:val="BF44F22D"/>
    <w:rsid w:val="BFEF56A9"/>
    <w:rsid w:val="CDD7D18E"/>
    <w:rsid w:val="D39639D5"/>
    <w:rsid w:val="D5B55805"/>
    <w:rsid w:val="D7F26462"/>
    <w:rsid w:val="DE7BAB76"/>
    <w:rsid w:val="DE7BFBBF"/>
    <w:rsid w:val="DFFFF97A"/>
    <w:rsid w:val="EB47F5E1"/>
    <w:rsid w:val="F3FD131F"/>
    <w:rsid w:val="F5B3FE4A"/>
    <w:rsid w:val="F6DF1832"/>
    <w:rsid w:val="F777BCAB"/>
    <w:rsid w:val="FD351AD2"/>
    <w:rsid w:val="FD58FBEA"/>
    <w:rsid w:val="FDEF84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4"/>
    <w:link w:val="154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5">
    <w:name w:val="heading 2"/>
    <w:basedOn w:val="1"/>
    <w:next w:val="4"/>
    <w:link w:val="168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6">
    <w:name w:val="heading 3"/>
    <w:basedOn w:val="1"/>
    <w:next w:val="4"/>
    <w:link w:val="167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7">
    <w:name w:val="heading 4"/>
    <w:basedOn w:val="1"/>
    <w:next w:val="1"/>
    <w:link w:val="141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5"/>
    <w:next w:val="1"/>
    <w:link w:val="143"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9">
    <w:name w:val="heading 6"/>
    <w:next w:val="1"/>
    <w:link w:val="16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10">
    <w:name w:val="heading 7"/>
    <w:next w:val="1"/>
    <w:link w:val="142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1">
    <w:name w:val="heading 8"/>
    <w:next w:val="1"/>
    <w:link w:val="16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2">
    <w:name w:val="heading 9"/>
    <w:next w:val="1"/>
    <w:link w:val="162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4">
    <w:name w:val="Body Text"/>
    <w:basedOn w:val="1"/>
    <w:link w:val="138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  <w:sz w:val="22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6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5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8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38">
    <w:name w:val="Body Text Char"/>
    <w:basedOn w:val="134"/>
    <w:link w:val="4"/>
    <w:qFormat/>
    <w:uiPriority w:val="99"/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customStyle="1" w:styleId="139">
    <w:name w:val="Intense Reference"/>
    <w:basedOn w:val="134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paragraph" w:customStyle="1" w:styleId="140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1">
    <w:name w:val="Heading 4 Char"/>
    <w:basedOn w:val="134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42">
    <w:name w:val="Heading 7 Char"/>
    <w:basedOn w:val="134"/>
    <w:link w:val="10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43">
    <w:name w:val="Heading 5 Char"/>
    <w:basedOn w:val="134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Intense Emphasis"/>
    <w:basedOn w:val="134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paragraph" w:styleId="146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7">
    <w:name w:val="Intense Quote"/>
    <w:basedOn w:val="1"/>
    <w:next w:val="1"/>
    <w:link w:val="14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8">
    <w:name w:val="Intense Quote Char"/>
    <w:basedOn w:val="134"/>
    <w:link w:val="147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9">
    <w:name w:val="Body Text 3 Char"/>
    <w:basedOn w:val="134"/>
    <w:link w:val="18"/>
    <w:qFormat/>
    <w:uiPriority w:val="99"/>
    <w:rPr>
      <w:sz w:val="16"/>
      <w:szCs w:val="16"/>
    </w:rPr>
  </w:style>
  <w:style w:type="paragraph" w:styleId="15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1">
    <w:name w:val="Body Text 2 Char"/>
    <w:basedOn w:val="134"/>
    <w:link w:val="29"/>
    <w:qFormat/>
    <w:uiPriority w:val="99"/>
  </w:style>
  <w:style w:type="character" w:customStyle="1" w:styleId="152">
    <w:name w:val="Header Char"/>
    <w:basedOn w:val="134"/>
    <w:link w:val="26"/>
    <w:qFormat/>
    <w:uiPriority w:val="99"/>
  </w:style>
  <w:style w:type="character" w:customStyle="1" w:styleId="153">
    <w:name w:val="Heading 3 Char"/>
    <w:basedOn w:val="134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1 Char"/>
    <w:basedOn w:val="134"/>
    <w:link w:val="3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55">
    <w:name w:val="Quote Char"/>
    <w:basedOn w:val="134"/>
    <w:link w:val="14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7">
    <w:name w:val="Subtle Reference"/>
    <w:basedOn w:val="134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58">
    <w:name w:val="Heading 2 Char"/>
    <w:basedOn w:val="13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60">
    <w:name w:val="Footer Char"/>
    <w:basedOn w:val="134"/>
    <w:link w:val="25"/>
    <w:qFormat/>
    <w:uiPriority w:val="99"/>
  </w:style>
  <w:style w:type="character" w:customStyle="1" w:styleId="161">
    <w:name w:val="Book Title"/>
    <w:basedOn w:val="134"/>
    <w:qFormat/>
    <w:uiPriority w:val="33"/>
    <w:rPr>
      <w:b/>
      <w:bCs/>
      <w:smallCaps/>
      <w:spacing w:val="5"/>
    </w:rPr>
  </w:style>
  <w:style w:type="character" w:customStyle="1" w:styleId="162">
    <w:name w:val="Heading 9 Char"/>
    <w:basedOn w:val="134"/>
    <w:link w:val="12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character" w:customStyle="1" w:styleId="163">
    <w:name w:val="Heading 6 Char"/>
    <w:basedOn w:val="134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64">
    <w:name w:val="Title Char"/>
    <w:basedOn w:val="134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65">
    <w:name w:val="Heading 8 Char"/>
    <w:basedOn w:val="134"/>
    <w:link w:val="11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66">
    <w:name w:val="Subtitle Char"/>
    <w:basedOn w:val="134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7">
    <w:name w:val="标题 3 Char"/>
    <w:link w:val="6"/>
    <w:uiPriority w:val="9"/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character" w:customStyle="1" w:styleId="168">
    <w:name w:val="标题 2 Char"/>
    <w:link w:val="5"/>
    <w:uiPriority w:val="9"/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customStyle="1" w:styleId="169">
    <w:name w:val="First Paragraph"/>
    <w:basedOn w:val="4"/>
    <w:next w:val="4"/>
    <w:qFormat/>
    <w:uiPriority w:val="0"/>
    <w:rPr>
      <w:rFonts w:ascii="Times New Roman" w:hAnsi="Times New Roman" w:eastAsia="宋体" w:cs="Times New Roman"/>
      <w:sz w:val="22"/>
    </w:rPr>
  </w:style>
  <w:style w:type="paragraph" w:customStyle="1" w:styleId="170">
    <w:name w:val="Captioned Figure"/>
    <w:basedOn w:val="171"/>
    <w:qFormat/>
    <w:uiPriority w:val="0"/>
    <w:pPr>
      <w:keepNext/>
    </w:pPr>
  </w:style>
  <w:style w:type="paragraph" w:customStyle="1" w:styleId="171">
    <w:name w:val="Figure"/>
    <w:basedOn w:val="1"/>
    <w:qFormat/>
    <w:uiPriority w:val="0"/>
  </w:style>
  <w:style w:type="paragraph" w:customStyle="1" w:styleId="172">
    <w:name w:val="Image Caption"/>
    <w:basedOn w:val="16"/>
    <w:qFormat/>
    <w:uiPriority w:val="0"/>
  </w:style>
  <w:style w:type="paragraph" w:customStyle="1" w:styleId="173">
    <w:name w:val="Compact"/>
    <w:basedOn w:val="4"/>
    <w:qFormat/>
    <w:uiPriority w:val="0"/>
    <w:pPr>
      <w:spacing w:before="36" w:after="36"/>
    </w:pPr>
    <w:rPr>
      <w:rFonts w:ascii="Times New Roman" w:hAnsi="Times New Roman" w:eastAsia="宋体" w:cs="Times New Roman"/>
      <w:sz w:val="22"/>
    </w:rPr>
  </w:style>
  <w:style w:type="character" w:customStyle="1" w:styleId="174">
    <w:name w:val="Verbatim Char"/>
    <w:basedOn w:val="138"/>
    <w:link w:val="175"/>
    <w:qFormat/>
    <w:uiPriority w:val="0"/>
    <w:rPr>
      <w:rFonts w:ascii="Times New Roman" w:hAnsi="Times New Roman" w:eastAsia="宋体" w:cs="Times New Roman"/>
      <w:sz w:val="22"/>
    </w:rPr>
  </w:style>
  <w:style w:type="paragraph" w:customStyle="1" w:styleId="175">
    <w:name w:val="Source Code"/>
    <w:basedOn w:val="1"/>
    <w:link w:val="174"/>
    <w:qFormat/>
    <w:uiPriority w:val="0"/>
    <w:pPr>
      <w:wordWrap w:val="0"/>
    </w:pPr>
    <w:rPr>
      <w:rFonts w:ascii="Times New Roman" w:hAnsi="Times New Roman" w:eastAsia="宋体" w:cs="Times New Roman"/>
      <w:sz w:val="22"/>
    </w:rPr>
  </w:style>
  <w:style w:type="character" w:customStyle="1" w:styleId="176">
    <w:name w:val="FunctionTok"/>
    <w:basedOn w:val="174"/>
    <w:qFormat/>
    <w:uiPriority w:val="0"/>
    <w:rPr>
      <w:color w:val="06287E"/>
    </w:rPr>
  </w:style>
  <w:style w:type="character" w:customStyle="1" w:styleId="177">
    <w:name w:val="NormalTok"/>
    <w:basedOn w:val="174"/>
    <w:qFormat/>
    <w:uiPriority w:val="0"/>
  </w:style>
  <w:style w:type="character" w:customStyle="1" w:styleId="178">
    <w:name w:val="ExtensionTok"/>
    <w:basedOn w:val="174"/>
    <w:qFormat/>
    <w:uiPriority w:val="0"/>
  </w:style>
  <w:style w:type="table" w:customStyle="1" w:styleId="1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?>
<Relationships xmlns="http://schemas.openxmlformats.org/package/2006/relationships"><Relationship Id="rId68" Type="http://schemas.openxmlformats.org/officeDocument/2006/relationships/fontTable" Target="fontTable.xml" /><Relationship Id="rId67" Type="http://schemas.openxmlformats.org/officeDocument/2006/relationships/numbering" Target="numbering.xml" /><Relationship Id="rId66" Type="http://schemas.openxmlformats.org/officeDocument/2006/relationships/image" Target="media/image61.png" /><Relationship Id="rId65" Type="http://schemas.openxmlformats.org/officeDocument/2006/relationships/image" Target="media/image60.png" /><Relationship Id="rId64" Type="http://schemas.openxmlformats.org/officeDocument/2006/relationships/image" Target="media/image59.png" /><Relationship Id="rId5" Type="http://schemas.openxmlformats.org/officeDocument/2006/relationships/theme" Target="theme/theme1.xml" /><Relationship Id="rId4" Type="http://schemas.openxmlformats.org/officeDocument/2006/relationships/endnotes" Target="endnotes.xml" /><Relationship Id="rId3" Type="http://schemas.openxmlformats.org/officeDocument/2006/relationships/footnotes" Target="footnotes.xml" /><Relationship Id="rId2" Type="http://schemas.openxmlformats.org/officeDocument/2006/relationships/settings" Target="settings.xml" /><Relationship Id="rId1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76</Pages>
  <Words>13361</Words>
  <Characters>13873</Characters>
  <TotalTime>4</TotalTime>
  <ScaleCrop>false</ScaleCrop>
  <LinksUpToDate>false</LinksUpToDate>
  <CharactersWithSpaces>14200</CharactersWithSpaces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2026-09-05T08:22:00Z</dcterms:created>
  <dc:creator>Data</dc:creator>
  <cp:lastModifiedBy>耳虫</cp:lastModifiedBy>
  <dcterms:modified xsi:type="dcterms:W3CDTF">2026-10-08T15:05:25Z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2F48592460EEAAA66476C66AB9A3BB7A_43</vt:lpwstr>
  </property>
  <property fmtid="{D5CDD505-2E9C-101B-9397-08002B2CF9AE}" pid="4" name="KSOTemplateDocerSaveRecord">
    <vt:lpwstr>eyJoZGlkIjoiNTA0ZWQxZWE5MjNhMDg4YjlhMzVmOWY4ZDFkNGJhNzYiLCJ1c2VySWQiOiI4ODExNTYyMTEifQ==</vt:lpwstr>
  </property>
</Properties>
</file>