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after="120" w:before="240"/>
      </w:pPr>
      <w:bookmarkStart w:id="20" w:name="furniscope-系统使用说明书"/>
      <w:r>
        <w:rPr>
          <w:rFonts w:ascii="Times New Roman" w:hAnsi="Times New Roman" w:eastAsia="宋体" w:cs="Times New Roman"/>
          <w:b/>
          <w:sz w:val="22"/>
        </w:rPr>
        <w:t xml:space="preserve">FurniScope 系统使用说明书</w:t>
      </w:r>
      <w:bookmarkEnd w:id="20"/>
    </w:p>
    <w:p>
      <w:pPr>
        <w:pStyle w:val="BlockTex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项目：FurniScope——跨境家具超级 AI 员工</w:t>
      </w:r>
      <w:r>
        <w:rPr>
          <w:rFonts w:ascii="Times New Roman" w:hAnsi="Times New Roman" w:eastAsia="宋体" w:cs="Times New Roman"/>
          <w:sz w:val="22"/>
        </w:rPr>
        <w:br/>
      </w:r>
      <w:r>
        <w:rPr>
          <w:rFonts w:ascii="Times New Roman" w:hAnsi="Times New Roman" w:eastAsia="宋体" w:cs="Times New Roman"/>
          <w:sz w:val="22"/>
        </w:rPr>
        <w:t xml:space="preserve">适用版本：赛事演示版</w:t>
      </w:r>
      <w:r>
        <w:rPr>
          <w:rFonts w:ascii="Times New Roman" w:hAnsi="Times New Roman" w:eastAsia="宋体" w:cs="Times New Roman"/>
          <w:sz w:val="22"/>
        </w:rPr>
        <w:br/>
      </w:r>
      <w:r>
        <w:rPr>
          <w:rFonts w:ascii="Times New Roman" w:hAnsi="Times New Roman" w:eastAsia="宋体" w:cs="Times New Roman"/>
          <w:sz w:val="22"/>
        </w:rPr>
        <w:t xml:space="preserve">更新日期：2026 年 9 月 15 日</w:t>
      </w:r>
      <w:r>
        <w:rPr>
          <w:rFonts w:ascii="Times New Roman" w:hAnsi="Times New Roman" w:eastAsia="宋体" w:cs="Times New Roman"/>
          <w:sz w:val="22"/>
        </w:rPr>
        <w:br/>
      </w:r>
      <w:r>
        <w:rPr>
          <w:rFonts w:ascii="Times New Roman" w:hAnsi="Times New Roman" w:eastAsia="宋体" w:cs="Times New Roman"/>
          <w:sz w:val="22"/>
        </w:rPr>
        <w:t xml:space="preserve">默认地址：</w:t>
      </w:r>
      <w:hyperlink r:id="rId21">
        <w:r>
          <w:rPr>
            <w:rStyle w:val="Hyperlink"/>
          </w:rPr>
          <w:t xml:space="preserve">http://127.0.0.1:8083</w:t>
        </w:r>
      </w:hyperlink>
      <w:r>
        <w:rPr>
          <w:rFonts w:ascii="Times New Roman" w:hAnsi="Times New Roman" w:eastAsia="宋体" w:cs="Times New Roman"/>
          <w:sz w:val="22"/>
        </w:rPr>
        <w:t xml:space="preserve">（局域网演示也可能是内网 IP 的同一端口）</w:t>
      </w:r>
    </w:p>
    <w:p>
      <w:pPr>
        <w:pStyle w:val="FirstParagraph"/>
        <w:spacing w:after="120"/>
      </w:pPr>
      <w:r>
        <w:rPr>
          <w:rFonts w:ascii="Times New Roman" w:hAnsi="Times New Roman" w:eastAsia="宋体" w:cs="Times New Roman"/>
          <w:sz w:val="22"/>
        </w:rPr>
        <w:t xml:space="preserve">本文按</w:t>
      </w:r>
      <w:r>
        <w:rPr>
          <w:rFonts w:ascii="Times New Roman" w:hAnsi="Times New Roman" w:eastAsia="宋体" w:cs="Times New Roman"/>
          <w:b/>
          <w:sz w:val="22"/>
        </w:rPr>
        <w:t xml:space="preserve">真实页面</w:t>
      </w:r>
      <w:r>
        <w:rPr>
          <w:rFonts w:ascii="Times New Roman" w:hAnsi="Times New Roman" w:eastAsia="宋体" w:cs="Times New Roman"/>
          <w:sz w:val="22"/>
        </w:rPr>
        <w:t xml:space="preserve">说明：每页一张运行截图，并写清这个页面能做什么。截图来自 HeFeng 演示租户，不含密码和密钥。建议窗口宽度 1280px 以上。</w:t>
      </w:r>
    </w:p>
    <w:p>
      <w:pPr>
        <w:pStyle w:val="BodyTex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企业用户走左侧六块导航：</w:t>
      </w:r>
      <w:r>
        <w:rPr>
          <w:rFonts w:ascii="Times New Roman" w:hAnsi="Times New Roman" w:eastAsia="宋体" w:cs="Times New Roman"/>
          <w:b/>
          <w:sz w:val="22"/>
        </w:rPr>
        <w:t xml:space="preserve">首页 → 产品中心 → AI 工作台 → 销量预测 → 市场洞察 → 决策报告</w:t>
      </w:r>
      <w:r>
        <w:rPr>
          <w:rFonts w:ascii="Times New Roman" w:hAnsi="Times New Roman" w:eastAsia="宋体" w:cs="Times New Roman"/>
          <w:sz w:val="22"/>
        </w:rPr>
        <w:t xml:space="preserve">。平台管理员走独立入口，看不到企业工作台。</w:t>
      </w:r>
    </w:p>
    <w:p>
      <w:pPr>
        <w:spacing w:after="120"/>
      </w:pPr>
      <w:r>
        <w:rPr>
          <w:rFonts w:ascii="Times New Roman" w:hAnsi="Times New Roman" w:eastAsia="宋体" w:cs="Times New Roman"/>
          <w:sz w:val="22"/>
        </w:rPr>
        <w:pict>
          <v:rect style="width:0;height:1.5pt" o:hralign="center" o:hrstd="t" o:hr="t"/>
        </w:pict>
      </w:r>
    </w:p>
    <w:p>
      <w:pPr>
        <w:pStyle w:val="Heading2"/>
        <w:spacing w:after="120" w:before="240"/>
      </w:pPr>
      <w:bookmarkStart w:id="22" w:name="企业用户登录"/>
      <w:r>
        <w:rPr>
          <w:rFonts w:ascii="Times New Roman" w:hAnsi="Times New Roman" w:eastAsia="宋体" w:cs="Times New Roman"/>
          <w:b/>
          <w:sz w:val="22"/>
        </w:rPr>
        <w:t xml:space="preserve">1. 企业用户登录</w:t>
      </w:r>
      <w:bookmarkEnd w:id="22"/>
    </w:p>
    <w:p>
      <w:pPr>
        <w:pStyle w:val="FirstParagraph"/>
        <w:spacing w:after="120"/>
      </w:pPr>
      <w:r>
        <w:rPr>
          <w:rFonts w:ascii="Times New Roman" w:hAnsi="Times New Roman" w:eastAsia="宋体" w:cs="Times New Roman"/>
          <w:sz w:val="22"/>
        </w:rPr>
        <w:t xml:space="preserve">打开系统后首先进入本页。填写</w:t>
      </w:r>
      <w:r>
        <w:rPr>
          <w:rFonts w:ascii="Times New Roman" w:hAnsi="Times New Roman" w:eastAsia="宋体" w:cs="Times New Roman"/>
          <w:b/>
          <w:sz w:val="22"/>
        </w:rPr>
        <w:t xml:space="preserve">企业邮箱</w:t>
      </w:r>
      <w:r>
        <w:rPr>
          <w:rFonts w:ascii="Times New Roman" w:hAnsi="Times New Roman" w:eastAsia="宋体" w:cs="Times New Roman"/>
          <w:sz w:val="22"/>
        </w:rPr>
        <w:t xml:space="preserve">和</w:t>
      </w:r>
      <w:r>
        <w:rPr>
          <w:rFonts w:ascii="Times New Roman" w:hAnsi="Times New Roman" w:eastAsia="宋体" w:cs="Times New Roman"/>
          <w:b/>
          <w:sz w:val="22"/>
        </w:rPr>
        <w:t xml:space="preserve">密码</w:t>
      </w:r>
      <w:r>
        <w:rPr>
          <w:rFonts w:ascii="Times New Roman" w:hAnsi="Times New Roman" w:eastAsia="宋体" w:cs="Times New Roman"/>
          <w:sz w:val="22"/>
        </w:rPr>
        <w:t xml:space="preserve">后点「登录」。可勾选「记住我」（只记住邮箱，不保存密码）。</w:t>
      </w:r>
    </w:p>
    <w:p>
      <w:pPr>
        <w:pStyle w:val="CaptionedFigure"/>
        <w:spacing w:after="120"/>
      </w:pPr>
      <w:r>
        <w:rPr>
          <w:rFonts w:ascii="Times New Roman" w:hAnsi="Times New Roman" w:eastAsia="宋体" w:cs="Times New Roman"/>
          <w:sz w:val="22"/>
        </w:rPr>
        <w:drawing>
          <wp:inline>
            <wp:extent cx="5334000" cy="3333750"/>
            <wp:effectExtent b="0" l="0" r="0" t="0"/>
            <wp:docPr descr="企业用户登录页" title="" id="1" name="Picture"/>
            <a:graphic>
              <a:graphicData uri="http://schemas.openxmlformats.org/drawingml/2006/picture">
                <pic:pic>
                  <pic:nvPicPr>
                    <pic:cNvPr descr="screenshots/01-logi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20"/>
      </w:pPr>
      <w:r>
        <w:rPr>
          <w:rFonts w:ascii="Times New Roman" w:hAnsi="Times New Roman" w:eastAsia="宋体" w:cs="Times New Roman"/>
          <w:sz w:val="22"/>
        </w:rPr>
        <w:t xml:space="preserve">企业用户登录页</w:t>
      </w:r>
    </w:p>
    <w:p>
      <w:pPr>
        <w:pStyle w:val="BodyText"/>
        <w:spacing w:after="120"/>
      </w:pPr>
      <w:r>
        <w:rPr>
          <w:rFonts w:ascii="Times New Roman" w:hAnsi="Times New Roman" w:eastAsia="宋体" w:cs="Times New Roman"/>
          <w:b/>
          <w:sz w:val="22"/>
        </w:rPr>
        <w:t xml:space="preserve">本页功能</w:t>
      </w:r>
    </w:p>
    <w:p>
      <w:pPr>
        <w:numPr>
          <w:ilvl w:val="0"/>
          <w:numId w:val="1001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企业账号登录，进入工作台。</w:t>
      </w:r>
    </w:p>
    <w:p>
      <w:pPr>
        <w:numPr>
          <w:ilvl w:val="0"/>
          <w:numId w:val="1001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「显示」可临时查看密码，不会写入浏览器持久存储。</w:t>
      </w:r>
    </w:p>
    <w:p>
      <w:pPr>
        <w:numPr>
          <w:ilvl w:val="0"/>
          <w:numId w:val="1001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「忘记密码」只提示联系管理员重置，页面不会发邮件回传密码。</w:t>
      </w:r>
    </w:p>
    <w:p>
      <w:pPr>
        <w:numPr>
          <w:ilvl w:val="0"/>
          <w:numId w:val="1001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「申请注册」跳到企业开户申请。</w:t>
      </w:r>
    </w:p>
    <w:p>
      <w:pPr>
        <w:numPr>
          <w:ilvl w:val="0"/>
          <w:numId w:val="1001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底部「平台管理员入口」跳到管理员登录；管理员账号不能从本页登录。</w:t>
      </w:r>
    </w:p>
    <w:p>
      <w:pPr>
        <w:spacing w:after="120"/>
      </w:pPr>
      <w:r>
        <w:rPr>
          <w:rFonts w:ascii="Times New Roman" w:hAnsi="Times New Roman" w:eastAsia="宋体" w:cs="Times New Roman"/>
          <w:sz w:val="22"/>
        </w:rPr>
        <w:pict>
          <v:rect style="width:0;height:1.5pt" o:hralign="center" o:hrstd="t" o:hr="t"/>
        </w:pict>
      </w:r>
    </w:p>
    <w:p>
      <w:pPr>
        <w:pStyle w:val="Heading2"/>
        <w:spacing w:after="120" w:before="240"/>
      </w:pPr>
      <w:bookmarkStart w:id="24" w:name="申请企业账号"/>
      <w:r>
        <w:rPr>
          <w:rFonts w:ascii="Times New Roman" w:hAnsi="Times New Roman" w:eastAsia="宋体" w:cs="Times New Roman"/>
          <w:b/>
          <w:sz w:val="22"/>
        </w:rPr>
        <w:t xml:space="preserve">2. 申请企业账号</w:t>
      </w:r>
      <w:bookmarkEnd w:id="24"/>
    </w:p>
    <w:p>
      <w:pPr>
        <w:pStyle w:val="FirstParagraph"/>
        <w:spacing w:after="120"/>
      </w:pPr>
      <w:r>
        <w:rPr>
          <w:rFonts w:ascii="Times New Roman" w:hAnsi="Times New Roman" w:eastAsia="宋体" w:cs="Times New Roman"/>
          <w:sz w:val="22"/>
        </w:rPr>
        <w:t xml:space="preserve">从登录页点「申请注册」进入。填写企业名称、联系人、工作邮箱、密码（至少 12 位）并同意条款后提交。</w:t>
      </w:r>
    </w:p>
    <w:p>
      <w:pPr>
        <w:pStyle w:val="CaptionedFigure"/>
        <w:spacing w:after="120"/>
      </w:pPr>
      <w:r>
        <w:rPr>
          <w:rFonts w:ascii="Times New Roman" w:hAnsi="Times New Roman" w:eastAsia="宋体" w:cs="Times New Roman"/>
          <w:sz w:val="22"/>
        </w:rPr>
        <w:drawing>
          <wp:inline>
            <wp:extent cx="5334000" cy="3333750"/>
            <wp:effectExtent b="0" l="0" r="0" t="0"/>
            <wp:docPr descr="申请企业账号" title="" id="1" name="Picture"/>
            <a:graphic>
              <a:graphicData uri="http://schemas.openxmlformats.org/drawingml/2006/picture">
                <pic:pic>
                  <pic:nvPicPr>
                    <pic:cNvPr descr="screenshots/02-registe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20"/>
      </w:pPr>
      <w:r>
        <w:rPr>
          <w:rFonts w:ascii="Times New Roman" w:hAnsi="Times New Roman" w:eastAsia="宋体" w:cs="Times New Roman"/>
          <w:sz w:val="22"/>
        </w:rPr>
        <w:t xml:space="preserve">申请企业账号</w:t>
      </w:r>
    </w:p>
    <w:p>
      <w:pPr>
        <w:pStyle w:val="BodyText"/>
        <w:spacing w:after="120"/>
      </w:pPr>
      <w:r>
        <w:rPr>
          <w:rFonts w:ascii="Times New Roman" w:hAnsi="Times New Roman" w:eastAsia="宋体" w:cs="Times New Roman"/>
          <w:b/>
          <w:sz w:val="22"/>
        </w:rPr>
        <w:t xml:space="preserve">本页功能</w:t>
      </w:r>
    </w:p>
    <w:p>
      <w:pPr>
        <w:numPr>
          <w:ilvl w:val="0"/>
          <w:numId w:val="1002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提交后账号处于</w:t>
      </w:r>
      <w:r>
        <w:rPr>
          <w:rFonts w:ascii="Times New Roman" w:hAnsi="Times New Roman" w:eastAsia="宋体" w:cs="Times New Roman"/>
          <w:b/>
          <w:sz w:val="22"/>
        </w:rPr>
        <w:t xml:space="preserve">待审批</w:t>
      </w:r>
      <w:r>
        <w:rPr>
          <w:rFonts w:ascii="Times New Roman" w:hAnsi="Times New Roman" w:eastAsia="宋体" w:cs="Times New Roman"/>
          <w:sz w:val="22"/>
        </w:rPr>
        <w:t xml:space="preserve">，不能马上登录。</w:t>
      </w:r>
    </w:p>
    <w:p>
      <w:pPr>
        <w:numPr>
          <w:ilvl w:val="0"/>
          <w:numId w:val="1002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平台管理员在后台通过后，用同一邮箱从登录页进入。</w:t>
      </w:r>
    </w:p>
    <w:p>
      <w:pPr>
        <w:numPr>
          <w:ilvl w:val="0"/>
          <w:numId w:val="1002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「返回登录」回到上一页；已有账号可直接登录。</w:t>
      </w:r>
    </w:p>
    <w:p>
      <w:pPr>
        <w:spacing w:after="120"/>
      </w:pPr>
      <w:r>
        <w:rPr>
          <w:rFonts w:ascii="Times New Roman" w:hAnsi="Times New Roman" w:eastAsia="宋体" w:cs="Times New Roman"/>
          <w:sz w:val="22"/>
        </w:rPr>
        <w:pict>
          <v:rect style="width:0;height:1.5pt" o:hralign="center" o:hrstd="t" o:hr="t"/>
        </w:pict>
      </w:r>
    </w:p>
    <w:p>
      <w:pPr>
        <w:pStyle w:val="Heading2"/>
        <w:spacing w:after="120" w:before="240"/>
      </w:pPr>
      <w:bookmarkStart w:id="26" w:name="平台管理员登录"/>
      <w:r>
        <w:rPr>
          <w:rFonts w:ascii="Times New Roman" w:hAnsi="Times New Roman" w:eastAsia="宋体" w:cs="Times New Roman"/>
          <w:b/>
          <w:sz w:val="22"/>
        </w:rPr>
        <w:t xml:space="preserve">3. 平台管理员登录</w:t>
      </w:r>
      <w:bookmarkEnd w:id="26"/>
    </w:p>
    <w:p>
      <w:pPr>
        <w:pStyle w:val="FirstParagraph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地址为</w:t>
      </w:r>
      <w:r>
        <w:rPr>
          <w:rFonts w:ascii="Times New Roman" w:hAnsi="Times New Roman" w:eastAsia="宋体" w:cs="Times New Roman"/>
          <w:sz w:val="22"/>
        </w:rPr>
        <w:t xml:space="preserve"> </w:t>
      </w:r>
      <w:r>
        <w:rPr>
          <w:rStyle w:val="VerbatimChar"/>
          <w:rFonts w:ascii="Times New Roman" w:hAnsi="Times New Roman" w:eastAsia="宋体" w:cs="Times New Roman"/>
          <w:sz w:val="22"/>
        </w:rPr>
        <w:t xml:space="preserve">#admin-login</w:t>
      </w:r>
      <w:r>
        <w:rPr>
          <w:rFonts w:ascii="Times New Roman" w:hAnsi="Times New Roman" w:eastAsia="宋体" w:cs="Times New Roman"/>
          <w:sz w:val="22"/>
        </w:rPr>
        <w:t xml:space="preserve">，或从登录页底部进入。界面与企业登录分开，避免角色混用。</w:t>
      </w:r>
    </w:p>
    <w:p>
      <w:pPr>
        <w:pStyle w:val="CaptionedFigure"/>
        <w:spacing w:after="120"/>
      </w:pPr>
      <w:r>
        <w:rPr>
          <w:rFonts w:ascii="Times New Roman" w:hAnsi="Times New Roman" w:eastAsia="宋体" w:cs="Times New Roman"/>
          <w:sz w:val="22"/>
        </w:rPr>
        <w:drawing>
          <wp:inline>
            <wp:extent cx="5334000" cy="3333750"/>
            <wp:effectExtent b="0" l="0" r="0" t="0"/>
            <wp:docPr descr="平台管理员登录" title="" id="1" name="Picture"/>
            <a:graphic>
              <a:graphicData uri="http://schemas.openxmlformats.org/drawingml/2006/picture">
                <pic:pic>
                  <pic:nvPicPr>
                    <pic:cNvPr descr="screenshots/03-admin-logi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平台管理员登录</w:t>
      </w:r>
    </w:p>
    <w:p>
      <w:pPr>
        <w:pStyle w:val="BodyText"/>
        <w:spacing w:after="120"/>
      </w:pPr>
      <w:r>
        <w:rPr>
          <w:rFonts w:ascii="Times New Roman" w:hAnsi="Times New Roman" w:eastAsia="宋体" w:cs="Times New Roman"/>
          <w:b/>
          <w:sz w:val="22"/>
        </w:rPr>
        <w:t xml:space="preserve">本页功能</w:t>
      </w:r>
    </w:p>
    <w:p>
      <w:pPr>
        <w:numPr>
          <w:ilvl w:val="0"/>
          <w:numId w:val="1003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仅</w:t>
      </w:r>
      <w:r>
        <w:rPr>
          <w:rFonts w:ascii="Times New Roman" w:hAnsi="Times New Roman" w:eastAsia="宋体" w:cs="Times New Roman"/>
          <w:sz w:val="22"/>
        </w:rPr>
        <w:t xml:space="preserve"> </w:t>
      </w:r>
      <w:r>
        <w:rPr>
          <w:rStyle w:val="VerbatimChar"/>
          <w:rFonts w:ascii="Times New Roman" w:hAnsi="Times New Roman" w:eastAsia="宋体" w:cs="Times New Roman"/>
          <w:sz w:val="22"/>
        </w:rPr>
        <w:t xml:space="preserve">admin</w:t>
      </w:r>
      <w:r>
        <w:rPr>
          <w:rFonts w:ascii="Times New Roman" w:hAnsi="Times New Roman" w:eastAsia="宋体" w:cs="Times New Roman"/>
          <w:sz w:val="22"/>
        </w:rPr>
        <w:t xml:space="preserve"> </w:t>
      </w:r>
      <w:r>
        <w:rPr>
          <w:rFonts w:ascii="Times New Roman" w:hAnsi="Times New Roman" w:eastAsia="宋体" w:cs="Times New Roman"/>
          <w:sz w:val="22"/>
        </w:rPr>
        <w:t xml:space="preserve">角色可登录。</w:t>
      </w:r>
    </w:p>
    <w:p>
      <w:pPr>
        <w:numPr>
          <w:ilvl w:val="0"/>
          <w:numId w:val="1003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登录后进入「平台控制中心」，用于开通企业、审批注册、查看预测模型。</w:t>
      </w:r>
    </w:p>
    <w:p>
      <w:pPr>
        <w:numPr>
          <w:ilvl w:val="0"/>
          <w:numId w:val="1003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管理员不会进入产品分析、报告或市场洞察。</w:t>
      </w:r>
    </w:p>
    <w:p>
      <w:pPr>
        <w:spacing w:after="120"/>
      </w:pPr>
      <w:r>
        <w:rPr>
          <w:rFonts w:ascii="Times New Roman" w:hAnsi="Times New Roman" w:eastAsia="宋体" w:cs="Times New Roman"/>
          <w:sz w:val="22"/>
        </w:rPr>
        <w:pict>
          <v:rect style="width:0;height:1.5pt" o:hralign="center" o:hrstd="t" o:hr="t"/>
        </w:pict>
      </w:r>
    </w:p>
    <w:p>
      <w:pPr>
        <w:pStyle w:val="Heading2"/>
        <w:spacing w:after="120" w:before="240"/>
      </w:pPr>
      <w:bookmarkStart w:id="28" w:name="首页"/>
      <w:r>
        <w:rPr>
          <w:rFonts w:ascii="Times New Roman" w:hAnsi="Times New Roman" w:eastAsia="宋体" w:cs="Times New Roman"/>
          <w:b/>
          <w:sz w:val="22"/>
        </w:rPr>
        <w:t xml:space="preserve">4. 首页</w:t>
      </w:r>
      <w:bookmarkEnd w:id="28"/>
    </w:p>
    <w:p>
      <w:pPr>
        <w:pStyle w:val="FirstParagraph"/>
        <w:spacing w:after="120"/>
      </w:pPr>
      <w:r>
        <w:rPr>
          <w:rFonts w:ascii="Times New Roman" w:hAnsi="Times New Roman" w:eastAsia="宋体" w:cs="Times New Roman"/>
          <w:sz w:val="22"/>
        </w:rPr>
        <w:t xml:space="preserve">登录后的默认页。用来看企业当前进度，并从最近任务/报告跳进具体工作。</w:t>
      </w:r>
    </w:p>
    <w:p>
      <w:pPr>
        <w:pStyle w:val="CaptionedFigure"/>
        <w:spacing w:after="120"/>
      </w:pPr>
      <w:r>
        <w:rPr>
          <w:rFonts w:ascii="Times New Roman" w:hAnsi="Times New Roman" w:eastAsia="宋体" w:cs="Times New Roman"/>
          <w:sz w:val="22"/>
        </w:rPr>
        <w:drawing>
          <wp:inline>
            <wp:extent cx="5334000" cy="4293129"/>
            <wp:effectExtent b="0" l="0" r="0" t="0"/>
            <wp:docPr descr="首页" title="" id="1" name="Picture"/>
            <a:graphic>
              <a:graphicData uri="http://schemas.openxmlformats.org/drawingml/2006/picture">
                <pic:pic>
                  <pic:nvPicPr>
                    <pic:cNvPr descr="screenshots/04-ho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3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20"/>
      </w:pPr>
      <w:r>
        <w:rPr>
          <w:rFonts w:ascii="Times New Roman" w:hAnsi="Times New Roman" w:eastAsia="宋体" w:cs="Times New Roman"/>
          <w:sz w:val="22"/>
        </w:rPr>
        <w:t xml:space="preserve">首页</w:t>
      </w:r>
    </w:p>
    <w:p>
      <w:pPr>
        <w:pStyle w:val="BodyText"/>
        <w:spacing w:after="120"/>
      </w:pPr>
      <w:r>
        <w:rPr>
          <w:rFonts w:ascii="Times New Roman" w:hAnsi="Times New Roman" w:eastAsia="宋体" w:cs="Times New Roman"/>
          <w:b/>
          <w:sz w:val="22"/>
        </w:rPr>
        <w:t xml:space="preserve">本页功能</w:t>
      </w:r>
    </w:p>
    <w:p>
      <w:pPr>
        <w:numPr>
          <w:ilvl w:val="0"/>
          <w:numId w:val="1004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顶部四张卡片：产品总数、运行中任务、待确认异常、已生成报告。点击可跳到对应模块。</w:t>
      </w:r>
    </w:p>
    <w:p>
      <w:pPr>
        <w:numPr>
          <w:ilvl w:val="0"/>
          <w:numId w:val="1004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「选择产品」进入产品中心；「进入 AI 工作台」开始分析。</w:t>
      </w:r>
    </w:p>
    <w:p>
      <w:pPr>
        <w:numPr>
          <w:ilvl w:val="0"/>
          <w:numId w:val="1004"/>
        </w:numPr>
        <w:pStyle w:val="Compact"/>
        <w:spacing w:after="120"/>
      </w:pPr>
      <w:r>
        <w:rPr>
          <w:rFonts w:ascii="Times New Roman" w:hAnsi="Times New Roman" w:eastAsia="宋体" w:cs="Times New Roman"/>
          <w:b/>
          <w:sz w:val="22"/>
        </w:rPr>
        <w:t xml:space="preserve">AI 工作任务</w:t>
      </w:r>
      <w:r>
        <w:rPr>
          <w:rFonts w:ascii="Times New Roman" w:hAnsi="Times New Roman" w:eastAsia="宋体" w:cs="Times New Roman"/>
          <w:sz w:val="22"/>
        </w:rPr>
        <w:t xml:space="preserve">：最近分析的进度条（理解产品 → 研究市场 → 评估机会 → 生成建议 → 完成）。可点「查看任务」或「查看异常」。</w:t>
      </w:r>
    </w:p>
    <w:p>
      <w:pPr>
        <w:numPr>
          <w:ilvl w:val="0"/>
          <w:numId w:val="1004"/>
        </w:numPr>
        <w:pStyle w:val="Compact"/>
        <w:spacing w:after="120"/>
      </w:pPr>
      <w:r>
        <w:rPr>
          <w:rFonts w:ascii="Times New Roman" w:hAnsi="Times New Roman" w:eastAsia="宋体" w:cs="Times New Roman"/>
          <w:b/>
          <w:sz w:val="22"/>
        </w:rPr>
        <w:t xml:space="preserve">最近报告</w:t>
      </w:r>
      <w:r>
        <w:rPr>
          <w:rFonts w:ascii="Times New Roman" w:hAnsi="Times New Roman" w:eastAsia="宋体" w:cs="Times New Roman"/>
          <w:sz w:val="22"/>
        </w:rPr>
        <w:t xml:space="preserve">：已完成决策报告的机会分、置信度和结论标签。</w:t>
      </w:r>
    </w:p>
    <w:p>
      <w:pPr>
        <w:numPr>
          <w:ilvl w:val="0"/>
          <w:numId w:val="1004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右上角「待确认」铃铛：有人工确认事项时会提示。</w:t>
      </w:r>
    </w:p>
    <w:p>
      <w:pPr>
        <w:numPr>
          <w:ilvl w:val="0"/>
          <w:numId w:val="1004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左侧导航在所有企业页面保持一致，可随时切换模块。</w:t>
      </w:r>
    </w:p>
    <w:p>
      <w:pPr>
        <w:spacing w:after="120"/>
      </w:pPr>
      <w:r>
        <w:rPr>
          <w:rFonts w:ascii="Times New Roman" w:hAnsi="Times New Roman" w:eastAsia="宋体" w:cs="Times New Roman"/>
          <w:sz w:val="22"/>
        </w:rPr>
        <w:pict>
          <v:rect style="width:0;height:1.5pt" o:hralign="center" o:hrstd="t" o:hr="t"/>
        </w:pict>
      </w:r>
    </w:p>
    <w:p>
      <w:pPr>
        <w:pStyle w:val="Heading2"/>
        <w:spacing w:after="120" w:before="240"/>
      </w:pPr>
      <w:bookmarkStart w:id="30" w:name="产品中心"/>
      <w:r>
        <w:rPr>
          <w:rFonts w:ascii="Times New Roman" w:hAnsi="Times New Roman" w:eastAsia="宋体" w:cs="Times New Roman"/>
          <w:b/>
          <w:sz w:val="22"/>
        </w:rPr>
        <w:t xml:space="preserve">5. 产品中心</w:t>
      </w:r>
      <w:bookmarkEnd w:id="30"/>
    </w:p>
    <w:p>
      <w:pPr>
        <w:pStyle w:val="FirstParagraph"/>
        <w:spacing w:after="120"/>
      </w:pPr>
      <w:r>
        <w:rPr>
          <w:rFonts w:ascii="Times New Roman" w:hAnsi="Times New Roman" w:eastAsia="宋体" w:cs="Times New Roman"/>
          <w:sz w:val="22"/>
        </w:rPr>
        <w:t xml:space="preserve">管理本企业 SKU 档案：搜索、筛选、新建、批量导入，以及从档案发起分析或预测。</w:t>
      </w:r>
    </w:p>
    <w:p>
      <w:pPr>
        <w:pStyle w:val="CaptionedFigure"/>
        <w:spacing w:after="120"/>
      </w:pPr>
      <w:r>
        <w:rPr>
          <w:rFonts w:ascii="Times New Roman" w:hAnsi="Times New Roman" w:eastAsia="宋体" w:cs="Times New Roman"/>
          <w:sz w:val="22"/>
        </w:rPr>
        <w:drawing>
          <wp:inline>
            <wp:extent cx="5334000" cy="3333750"/>
            <wp:effectExtent b="0" l="0" r="0" t="0"/>
            <wp:docPr descr="产品中心列表" title="" id="1" name="Picture"/>
            <a:graphic>
              <a:graphicData uri="http://schemas.openxmlformats.org/drawingml/2006/picture">
                <pic:pic>
                  <pic:nvPicPr>
                    <pic:cNvPr descr="screenshots/05-produc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20"/>
      </w:pPr>
      <w:r>
        <w:rPr>
          <w:rFonts w:ascii="Times New Roman" w:hAnsi="Times New Roman" w:eastAsia="宋体" w:cs="Times New Roman"/>
          <w:sz w:val="22"/>
        </w:rPr>
        <w:t xml:space="preserve">产品中心列表</w:t>
      </w:r>
    </w:p>
    <w:p>
      <w:pPr>
        <w:pStyle w:val="BodyText"/>
        <w:spacing w:after="120"/>
      </w:pPr>
      <w:r>
        <w:rPr>
          <w:rFonts w:ascii="Times New Roman" w:hAnsi="Times New Roman" w:eastAsia="宋体" w:cs="Times New Roman"/>
          <w:b/>
          <w:sz w:val="22"/>
        </w:rPr>
        <w:t xml:space="preserve">本页功能</w:t>
      </w:r>
    </w:p>
    <w:p>
      <w:pPr>
        <w:numPr>
          <w:ilvl w:val="0"/>
          <w:numId w:val="1005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按名称 / SKU 搜索；按品类、创建时间、解析状态筛选。</w:t>
      </w:r>
    </w:p>
    <w:p>
      <w:pPr>
        <w:numPr>
          <w:ilvl w:val="0"/>
          <w:numId w:val="1005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每张卡片展示产品图、解析状态、品类、SKU、MOQ、出厂价。</w:t>
      </w:r>
    </w:p>
    <w:p>
      <w:pPr>
        <w:numPr>
          <w:ilvl w:val="0"/>
          <w:numId w:val="1005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「查看档案」打开右侧/抽屉详情。</w:t>
      </w:r>
    </w:p>
    <w:p>
      <w:pPr>
        <w:numPr>
          <w:ilvl w:val="0"/>
          <w:numId w:val="1005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「销量预测」把该 SKU 带入预测页。</w:t>
      </w:r>
    </w:p>
    <w:p>
      <w:pPr>
        <w:numPr>
          <w:ilvl w:val="0"/>
          <w:numId w:val="1005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「开始分析」要求画像已确认且无冲突；否则会提示先确认或先处理冲突。</w:t>
      </w:r>
    </w:p>
    <w:p>
      <w:pPr>
        <w:numPr>
          <w:ilvl w:val="0"/>
          <w:numId w:val="1005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「新增产品」「Excel 批量导入」打开对应表单。</w:t>
      </w:r>
    </w:p>
    <w:p>
      <w:pPr>
        <w:pStyle w:val="Heading3"/>
        <w:spacing w:after="120" w:before="240"/>
      </w:pPr>
      <w:bookmarkStart w:id="32" w:name="新增产品"/>
      <w:r>
        <w:rPr>
          <w:rFonts w:ascii="Times New Roman" w:hAnsi="Times New Roman" w:eastAsia="宋体" w:cs="Times New Roman"/>
          <w:b/>
          <w:sz w:val="22"/>
        </w:rPr>
        <w:t xml:space="preserve">5.1 新增产品</w:t>
      </w:r>
      <w:bookmarkEnd w:id="32"/>
    </w:p>
    <w:p>
      <w:pPr>
        <w:pStyle w:val="FirstParagraph"/>
        <w:spacing w:after="120"/>
      </w:pPr>
      <w:r>
        <w:rPr>
          <w:rFonts w:ascii="Times New Roman" w:hAnsi="Times New Roman" w:eastAsia="宋体" w:cs="Times New Roman"/>
          <w:sz w:val="22"/>
        </w:rPr>
        <w:t xml:space="preserve">点「新增产品」后的表单。可只建档案，也可同时上传 PDF / Excel / 图片做解析。</w:t>
      </w:r>
    </w:p>
    <w:p>
      <w:pPr>
        <w:pStyle w:val="CaptionedFigure"/>
        <w:spacing w:after="120"/>
      </w:pPr>
      <w:r>
        <w:rPr>
          <w:rFonts w:ascii="Times New Roman" w:hAnsi="Times New Roman" w:eastAsia="宋体" w:cs="Times New Roman"/>
          <w:sz w:val="22"/>
        </w:rPr>
        <w:drawing>
          <wp:inline>
            <wp:extent cx="5334000" cy="3333750"/>
            <wp:effectExtent b="0" l="0" r="0" t="0"/>
            <wp:docPr descr="新增产品" title="" id="1" name="Picture"/>
            <a:graphic>
              <a:graphicData uri="http://schemas.openxmlformats.org/drawingml/2006/picture">
                <pic:pic>
                  <pic:nvPicPr>
                    <pic:cNvPr descr="screenshots/06-product-creat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20"/>
      </w:pPr>
      <w:r>
        <w:rPr>
          <w:rFonts w:ascii="Times New Roman" w:hAnsi="Times New Roman" w:eastAsia="宋体" w:cs="Times New Roman"/>
          <w:sz w:val="22"/>
        </w:rPr>
        <w:t xml:space="preserve">新增产品</w:t>
      </w:r>
    </w:p>
    <w:p>
      <w:pPr>
        <w:pStyle w:val="BodyText"/>
        <w:spacing w:after="120"/>
      </w:pPr>
      <w:r>
        <w:rPr>
          <w:rFonts w:ascii="Times New Roman" w:hAnsi="Times New Roman" w:eastAsia="宋体" w:cs="Times New Roman"/>
          <w:b/>
          <w:sz w:val="22"/>
        </w:rPr>
        <w:t xml:space="preserve">本页功能</w:t>
      </w:r>
    </w:p>
    <w:p>
      <w:pPr>
        <w:numPr>
          <w:ilvl w:val="0"/>
          <w:numId w:val="1006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必填 SKU、名称、品类；可选尺寸、材质、MOQ、成本等工厂参数。</w:t>
      </w:r>
    </w:p>
    <w:p>
      <w:pPr>
        <w:numPr>
          <w:ilvl w:val="0"/>
          <w:numId w:val="1006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人工填写的字段优先级最高，后续资料解析不会静默覆盖。</w:t>
      </w:r>
    </w:p>
    <w:p>
      <w:pPr>
        <w:numPr>
          <w:ilvl w:val="0"/>
          <w:numId w:val="1006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上传资料后点「创建并解析资料」；未上传则只创建空档案。</w:t>
      </w:r>
    </w:p>
    <w:p>
      <w:pPr>
        <w:numPr>
          <w:ilvl w:val="0"/>
          <w:numId w:val="1006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「取消」关闭，不保存。</w:t>
      </w:r>
    </w:p>
    <w:p>
      <w:pPr>
        <w:pStyle w:val="Heading3"/>
        <w:spacing w:after="120" w:before="240"/>
      </w:pPr>
      <w:bookmarkStart w:id="34" w:name="产品档案"/>
      <w:r>
        <w:rPr>
          <w:rFonts w:ascii="Times New Roman" w:hAnsi="Times New Roman" w:eastAsia="宋体" w:cs="Times New Roman"/>
          <w:b/>
          <w:sz w:val="22"/>
        </w:rPr>
        <w:t xml:space="preserve">5.2 产品档案</w:t>
      </w:r>
      <w:bookmarkEnd w:id="34"/>
    </w:p>
    <w:p>
      <w:pPr>
        <w:pStyle w:val="FirstParagraph"/>
        <w:spacing w:after="120"/>
      </w:pPr>
      <w:r>
        <w:rPr>
          <w:rFonts w:ascii="Times New Roman" w:hAnsi="Times New Roman" w:eastAsia="宋体" w:cs="Times New Roman"/>
          <w:sz w:val="22"/>
        </w:rPr>
        <w:t xml:space="preserve">从列表点「查看档案」，或打开</w:t>
      </w:r>
      <w:r>
        <w:rPr>
          <w:rFonts w:ascii="Times New Roman" w:hAnsi="Times New Roman" w:eastAsia="宋体" w:cs="Times New Roman"/>
          <w:sz w:val="22"/>
        </w:rPr>
        <w:t xml:space="preserve"> </w:t>
      </w:r>
      <w:r>
        <w:rPr>
          <w:rStyle w:val="VerbatimChar"/>
          <w:rFonts w:ascii="Times New Roman" w:hAnsi="Times New Roman" w:eastAsia="宋体" w:cs="Times New Roman"/>
          <w:sz w:val="22"/>
        </w:rPr>
        <w:t xml:space="preserve">#products?product=产品ID</w:t>
      </w:r>
      <w:r>
        <w:rPr>
          <w:rFonts w:ascii="Times New Roman" w:hAnsi="Times New Roman" w:eastAsia="宋体" w:cs="Times New Roman"/>
          <w:sz w:val="22"/>
        </w:rPr>
        <w:t xml:space="preserve">。</w:t>
      </w:r>
    </w:p>
    <w:p>
      <w:pPr>
        <w:pStyle w:val="CaptionedFigure"/>
        <w:spacing w:after="120"/>
      </w:pPr>
      <w:r>
        <w:rPr>
          <w:rFonts w:ascii="Times New Roman" w:hAnsi="Times New Roman" w:eastAsia="宋体" w:cs="Times New Roman"/>
          <w:sz w:val="22"/>
        </w:rPr>
        <w:drawing>
          <wp:inline>
            <wp:extent cx="5334000" cy="3333750"/>
            <wp:effectExtent b="0" l="0" r="0" t="0"/>
            <wp:docPr descr="产品档案" title="" id="1" name="Picture"/>
            <a:graphic>
              <a:graphicData uri="http://schemas.openxmlformats.org/drawingml/2006/picture">
                <pic:pic>
                  <pic:nvPicPr>
                    <pic:cNvPr descr="screenshots/07-product-detai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20"/>
      </w:pPr>
      <w:r>
        <w:rPr>
          <w:rFonts w:ascii="Times New Roman" w:hAnsi="Times New Roman" w:eastAsia="宋体" w:cs="Times New Roman"/>
          <w:sz w:val="22"/>
        </w:rPr>
        <w:t xml:space="preserve">产品档案</w:t>
      </w:r>
    </w:p>
    <w:p>
      <w:pPr>
        <w:pStyle w:val="BodyText"/>
        <w:spacing w:after="120"/>
      </w:pPr>
      <w:r>
        <w:rPr>
          <w:rFonts w:ascii="Times New Roman" w:hAnsi="Times New Roman" w:eastAsia="宋体" w:cs="Times New Roman"/>
          <w:b/>
          <w:sz w:val="22"/>
        </w:rPr>
        <w:t xml:space="preserve">本页功能</w:t>
      </w:r>
    </w:p>
    <w:p>
      <w:pPr>
        <w:numPr>
          <w:ilvl w:val="0"/>
          <w:numId w:val="1007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查看标准化画像：尺寸、材质、结构、颜色、认证、出厂价、映射销量等。</w:t>
      </w:r>
    </w:p>
    <w:p>
      <w:pPr>
        <w:numPr>
          <w:ilvl w:val="0"/>
          <w:numId w:val="1007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每条属性带来源、置信度和确认状态。</w:t>
      </w:r>
    </w:p>
    <w:p>
      <w:pPr>
        <w:numPr>
          <w:ilvl w:val="0"/>
          <w:numId w:val="1007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有冲突时按「人工填写 ＞ 文档提取 ＞ AI 识别」处理，可直接改正字段。</w:t>
      </w:r>
    </w:p>
    <w:p>
      <w:pPr>
        <w:numPr>
          <w:ilvl w:val="0"/>
          <w:numId w:val="1007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「使用该产品开始分析」跳到 AI 工作台并带上该产品。</w:t>
      </w:r>
    </w:p>
    <w:p>
      <w:pPr>
        <w:numPr>
          <w:ilvl w:val="0"/>
          <w:numId w:val="1007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「关闭」回到产品列表。</w:t>
      </w:r>
    </w:p>
    <w:p>
      <w:pPr>
        <w:spacing w:after="120"/>
      </w:pPr>
      <w:r>
        <w:rPr>
          <w:rFonts w:ascii="Times New Roman" w:hAnsi="Times New Roman" w:eastAsia="宋体" w:cs="Times New Roman"/>
          <w:sz w:val="22"/>
        </w:rPr>
        <w:pict>
          <v:rect style="width:0;height:1.5pt" o:hralign="center" o:hrstd="t" o:hr="t"/>
        </w:pict>
      </w:r>
    </w:p>
    <w:p>
      <w:pPr>
        <w:pStyle w:val="Heading2"/>
        <w:spacing w:after="120" w:before="240"/>
      </w:pPr>
      <w:bookmarkStart w:id="36" w:name="ai-工作台入口"/>
      <w:r>
        <w:rPr>
          <w:rFonts w:ascii="Times New Roman" w:hAnsi="Times New Roman" w:eastAsia="宋体" w:cs="Times New Roman"/>
          <w:b/>
          <w:sz w:val="22"/>
        </w:rPr>
        <w:t xml:space="preserve">6. AI 工作台（入口）</w:t>
      </w:r>
      <w:bookmarkEnd w:id="36"/>
    </w:p>
    <w:p>
      <w:pPr>
        <w:pStyle w:val="FirstParagraph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分析任务的首页：看工作台数量、运行中任务，并从工作日记进入已有会话。</w:t>
      </w:r>
    </w:p>
    <w:p>
      <w:pPr>
        <w:pStyle w:val="CaptionedFigure"/>
        <w:spacing w:after="120"/>
      </w:pPr>
      <w:r>
        <w:rPr>
          <w:rFonts w:ascii="Times New Roman" w:hAnsi="Times New Roman" w:eastAsia="宋体" w:cs="Times New Roman"/>
          <w:sz w:val="22"/>
        </w:rPr>
        <w:drawing>
          <wp:inline>
            <wp:extent cx="5334000" cy="3333750"/>
            <wp:effectExtent b="0" l="0" r="0" t="0"/>
            <wp:docPr descr="AI 工作台首页" title="" id="1" name="Picture"/>
            <a:graphic>
              <a:graphicData uri="http://schemas.openxmlformats.org/drawingml/2006/picture">
                <pic:pic>
                  <pic:nvPicPr>
                    <pic:cNvPr descr="screenshots/08-analysis-ho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20"/>
      </w:pPr>
      <w:r>
        <w:rPr>
          <w:rFonts w:ascii="Times New Roman" w:hAnsi="Times New Roman" w:eastAsia="宋体" w:cs="Times New Roman"/>
          <w:sz w:val="22"/>
        </w:rPr>
        <w:t xml:space="preserve">AI 工作台首页</w:t>
      </w:r>
    </w:p>
    <w:p>
      <w:pPr>
        <w:pStyle w:val="BodyText"/>
        <w:spacing w:after="120"/>
      </w:pPr>
      <w:r>
        <w:rPr>
          <w:rFonts w:ascii="Times New Roman" w:hAnsi="Times New Roman" w:eastAsia="宋体" w:cs="Times New Roman"/>
          <w:b/>
          <w:sz w:val="22"/>
        </w:rPr>
        <w:t xml:space="preserve">本页功能</w:t>
      </w:r>
    </w:p>
    <w:p>
      <w:pPr>
        <w:numPr>
          <w:ilvl w:val="0"/>
          <w:numId w:val="1008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「进入分析工作台」打开新建/选择弹窗。</w:t>
      </w:r>
    </w:p>
    <w:p>
      <w:pPr>
        <w:numPr>
          <w:ilvl w:val="0"/>
          <w:numId w:val="1008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「从产品中心快捷启动」回到产品列表再选 SKU。</w:t>
      </w:r>
    </w:p>
    <w:p>
      <w:pPr>
        <w:numPr>
          <w:ilvl w:val="0"/>
          <w:numId w:val="1008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指标：工作台数、正在运行、累计分析、最近已完成。</w:t>
      </w:r>
    </w:p>
    <w:p>
      <w:pPr>
        <w:numPr>
          <w:ilvl w:val="0"/>
          <w:numId w:val="1008"/>
        </w:numPr>
        <w:pStyle w:val="Compact"/>
        <w:spacing w:after="120"/>
      </w:pPr>
      <w:r>
        <w:rPr>
          <w:rFonts w:ascii="Times New Roman" w:hAnsi="Times New Roman" w:eastAsia="宋体" w:cs="Times New Roman"/>
          <w:b/>
          <w:sz w:val="22"/>
        </w:rPr>
        <w:t xml:space="preserve">工作日记</w:t>
      </w:r>
      <w:r>
        <w:rPr>
          <w:rFonts w:ascii="Times New Roman" w:hAnsi="Times New Roman" w:eastAsia="宋体" w:cs="Times New Roman"/>
          <w:sz w:val="22"/>
        </w:rPr>
        <w:t xml:space="preserve">：最近 10 条工作台；「更多」打开完整日记页。</w:t>
      </w:r>
    </w:p>
    <w:p>
      <w:pPr>
        <w:numPr>
          <w:ilvl w:val="0"/>
          <w:numId w:val="1008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右侧预览五段流程：数据入口 → 产品解析 → 市场研究 → 机会评估 → 方案 / 报告。</w:t>
      </w:r>
    </w:p>
    <w:p>
      <w:pPr>
        <w:pStyle w:val="Heading3"/>
        <w:spacing w:after="120" w:before="240"/>
      </w:pPr>
      <w:bookmarkStart w:id="38" w:name="新建分析工作台"/>
      <w:r>
        <w:rPr>
          <w:rFonts w:ascii="Times New Roman" w:hAnsi="Times New Roman" w:eastAsia="宋体" w:cs="Times New Roman"/>
          <w:b/>
          <w:sz w:val="22"/>
        </w:rPr>
        <w:t xml:space="preserve">6.1 新建分析工作台</w:t>
      </w:r>
      <w:bookmarkEnd w:id="38"/>
    </w:p>
    <w:p>
      <w:pPr>
        <w:pStyle w:val="FirstParagraph"/>
        <w:spacing w:after="120"/>
      </w:pPr>
      <w:r>
        <w:rPr>
          <w:rFonts w:ascii="Times New Roman" w:hAnsi="Times New Roman" w:eastAsia="宋体" w:cs="Times New Roman"/>
          <w:sz w:val="22"/>
        </w:rPr>
        <w:t xml:space="preserve">点「进入分析工作台」后的弹窗。</w:t>
      </w:r>
    </w:p>
    <w:p>
      <w:pPr>
        <w:pStyle w:val="CaptionedFigure"/>
        <w:spacing w:after="120"/>
      </w:pPr>
      <w:r>
        <w:rPr>
          <w:rFonts w:ascii="Times New Roman" w:hAnsi="Times New Roman" w:eastAsia="宋体" w:cs="Times New Roman"/>
          <w:sz w:val="22"/>
        </w:rPr>
        <w:drawing>
          <wp:inline>
            <wp:extent cx="5334000" cy="3333750"/>
            <wp:effectExtent b="0" l="0" r="0" t="0"/>
            <wp:docPr descr="新建分析工作台" title="" id="1" name="Picture"/>
            <a:graphic>
              <a:graphicData uri="http://schemas.openxmlformats.org/drawingml/2006/picture">
                <pic:pic>
                  <pic:nvPicPr>
                    <pic:cNvPr descr="screenshots/09-analysis-launche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20"/>
      </w:pPr>
      <w:r>
        <w:rPr>
          <w:rFonts w:ascii="Times New Roman" w:hAnsi="Times New Roman" w:eastAsia="宋体" w:cs="Times New Roman"/>
          <w:sz w:val="22"/>
        </w:rPr>
        <w:t xml:space="preserve">新建分析工作台</w:t>
      </w:r>
    </w:p>
    <w:p>
      <w:pPr>
        <w:pStyle w:val="BodyText"/>
        <w:spacing w:after="120"/>
      </w:pPr>
      <w:r>
        <w:rPr>
          <w:rFonts w:ascii="Times New Roman" w:hAnsi="Times New Roman" w:eastAsia="宋体" w:cs="Times New Roman"/>
          <w:b/>
          <w:sz w:val="22"/>
        </w:rPr>
        <w:t xml:space="preserve">本页功能</w:t>
      </w:r>
    </w:p>
    <w:p>
      <w:pPr>
        <w:numPr>
          <w:ilvl w:val="0"/>
          <w:numId w:val="1009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填写工作台名称后「新建并进入」。</w:t>
      </w:r>
    </w:p>
    <w:p>
      <w:pPr>
        <w:numPr>
          <w:ilvl w:val="0"/>
          <w:numId w:val="1009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下方列出已有工作台：进入会话，或打开最近报告。</w:t>
      </w:r>
    </w:p>
    <w:p>
      <w:pPr>
        <w:numPr>
          <w:ilvl w:val="0"/>
          <w:numId w:val="1009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同一工作台可对同一产品多次运行，对话和节点结果会留下来。</w:t>
      </w:r>
    </w:p>
    <w:p>
      <w:pPr>
        <w:spacing w:after="120"/>
      </w:pPr>
      <w:r>
        <w:rPr>
          <w:rFonts w:ascii="Times New Roman" w:hAnsi="Times New Roman" w:eastAsia="宋体" w:cs="Times New Roman"/>
          <w:sz w:val="22"/>
        </w:rPr>
        <w:pict>
          <v:rect style="width:0;height:1.5pt" o:hralign="center" o:hrstd="t" o:hr="t"/>
        </w:pict>
      </w:r>
    </w:p>
    <w:p>
      <w:pPr>
        <w:pStyle w:val="Heading2"/>
        <w:spacing w:after="120" w:before="240"/>
      </w:pPr>
      <w:bookmarkStart w:id="40" w:name="分析工作台对话-节点画布"/>
      <w:r>
        <w:rPr>
          <w:rFonts w:ascii="Times New Roman" w:hAnsi="Times New Roman" w:eastAsia="宋体" w:cs="Times New Roman"/>
          <w:b/>
          <w:sz w:val="22"/>
        </w:rPr>
        <w:t xml:space="preserve">7. 分析工作台（对话 + 节点画布）</w:t>
      </w:r>
      <w:bookmarkEnd w:id="40"/>
    </w:p>
    <w:p>
      <w:pPr>
        <w:pStyle w:val="FirstParagraph"/>
        <w:spacing w:after="120"/>
      </w:pPr>
      <w:r>
        <w:rPr>
          <w:rFonts w:ascii="Times New Roman" w:hAnsi="Times New Roman" w:eastAsia="宋体" w:cs="Times New Roman"/>
          <w:sz w:val="22"/>
        </w:rPr>
        <w:t xml:space="preserve">真正跑市场分析的页面。左侧工作台列表，中间对话，中间偏右是节点画布，最右侧是节点详情或报告预览。</w:t>
      </w:r>
    </w:p>
    <w:p>
      <w:pPr>
        <w:pStyle w:val="CaptionedFigure"/>
        <w:spacing w:after="120"/>
      </w:pPr>
      <w:r>
        <w:rPr>
          <w:rFonts w:ascii="Times New Roman" w:hAnsi="Times New Roman" w:eastAsia="宋体" w:cs="Times New Roman"/>
          <w:sz w:val="22"/>
        </w:rPr>
        <w:drawing>
          <wp:inline>
            <wp:extent cx="5334000" cy="3333750"/>
            <wp:effectExtent b="0" l="0" r="0" t="0"/>
            <wp:docPr descr="分析工作台" title="" id="1" name="Picture"/>
            <a:graphic>
              <a:graphicData uri="http://schemas.openxmlformats.org/drawingml/2006/picture">
                <pic:pic>
                  <pic:nvPicPr>
                    <pic:cNvPr descr="screenshots/10-work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分析工作台</w:t>
      </w:r>
    </w:p>
    <w:p>
      <w:pPr>
        <w:pStyle w:val="BodyText"/>
        <w:spacing w:after="120"/>
      </w:pPr>
      <w:r>
        <w:rPr>
          <w:rFonts w:ascii="Times New Roman" w:hAnsi="Times New Roman" w:eastAsia="宋体" w:cs="Times New Roman"/>
          <w:b/>
          <w:sz w:val="22"/>
        </w:rPr>
        <w:t xml:space="preserve">本页功能</w:t>
      </w:r>
    </w:p>
    <w:p>
      <w:pPr>
        <w:numPr>
          <w:ilvl w:val="0"/>
          <w:numId w:val="1010"/>
        </w:numPr>
        <w:pStyle w:val="Compact"/>
        <w:spacing w:after="120"/>
      </w:pPr>
      <w:r>
        <w:rPr>
          <w:rFonts w:ascii="Times New Roman" w:hAnsi="Times New Roman" w:eastAsia="宋体" w:cs="Times New Roman"/>
          <w:b/>
          <w:sz w:val="22"/>
        </w:rPr>
        <w:t xml:space="preserve">对话</w:t>
      </w:r>
      <w:r>
        <w:rPr>
          <w:rFonts w:ascii="Times New Roman" w:hAnsi="Times New Roman" w:eastAsia="宋体" w:cs="Times New Roman"/>
          <w:sz w:val="22"/>
        </w:rPr>
        <w:t xml:space="preserve">：用自然语言提问（竞品、价格带、评论痛点等）。系统会创建真实分析任务，不编造价格和评论数。</w:t>
      </w:r>
    </w:p>
    <w:p>
      <w:pPr>
        <w:numPr>
          <w:ilvl w:val="0"/>
          <w:numId w:val="1010"/>
        </w:numPr>
        <w:pStyle w:val="Compact"/>
        <w:spacing w:after="120"/>
      </w:pPr>
      <w:r>
        <w:rPr>
          <w:rFonts w:ascii="Times New Roman" w:hAnsi="Times New Roman" w:eastAsia="宋体" w:cs="Times New Roman"/>
          <w:b/>
          <w:sz w:val="22"/>
        </w:rPr>
        <w:t xml:space="preserve">分析对象</w:t>
      </w:r>
      <w:r>
        <w:rPr>
          <w:rFonts w:ascii="Times New Roman" w:hAnsi="Times New Roman" w:eastAsia="宋体" w:cs="Times New Roman"/>
          <w:sz w:val="22"/>
        </w:rPr>
        <w:t xml:space="preserve">：可折叠。产品、市场数据都可以先不填，之后再补或在对话里说 SKU。</w:t>
      </w:r>
    </w:p>
    <w:p>
      <w:pPr>
        <w:numPr>
          <w:ilvl w:val="0"/>
          <w:numId w:val="1010"/>
        </w:numPr>
        <w:pStyle w:val="Compact"/>
        <w:spacing w:after="120"/>
      </w:pPr>
      <w:r>
        <w:rPr>
          <w:rFonts w:ascii="Times New Roman" w:hAnsi="Times New Roman" w:eastAsia="宋体" w:cs="Times New Roman"/>
          <w:b/>
          <w:sz w:val="22"/>
        </w:rPr>
        <w:t xml:space="preserve">建议下一步</w:t>
      </w:r>
      <w:r>
        <w:rPr>
          <w:rFonts w:ascii="Times New Roman" w:hAnsi="Times New Roman" w:eastAsia="宋体" w:cs="Times New Roman"/>
          <w:sz w:val="22"/>
        </w:rPr>
        <w:t xml:space="preserve">：默认收起，展开后可点追问。问「未来销量」时会引导到销量预测页，不会用机会分冒充销量。</w:t>
      </w:r>
    </w:p>
    <w:p>
      <w:pPr>
        <w:numPr>
          <w:ilvl w:val="0"/>
          <w:numId w:val="1010"/>
        </w:numPr>
        <w:pStyle w:val="Compact"/>
        <w:spacing w:after="120"/>
      </w:pPr>
      <w:r>
        <w:rPr>
          <w:rFonts w:ascii="Times New Roman" w:hAnsi="Times New Roman" w:eastAsia="宋体" w:cs="Times New Roman"/>
          <w:b/>
          <w:sz w:val="22"/>
        </w:rPr>
        <w:t xml:space="preserve">运行范围</w:t>
      </w:r>
      <w:r>
        <w:rPr>
          <w:rFonts w:ascii="Times New Roman" w:hAnsi="Times New Roman" w:eastAsia="宋体" w:cs="Times New Roman"/>
          <w:sz w:val="22"/>
        </w:rPr>
        <w:t xml:space="preserve">：可只跑到产品 / 市场 / 评分 / 方案 / 完整报告。点「运行至…」启动 Worker。</w:t>
      </w:r>
    </w:p>
    <w:p>
      <w:pPr>
        <w:numPr>
          <w:ilvl w:val="0"/>
          <w:numId w:val="1010"/>
        </w:numPr>
        <w:pStyle w:val="Compact"/>
        <w:spacing w:after="120"/>
      </w:pPr>
      <w:r>
        <w:rPr>
          <w:rFonts w:ascii="Times New Roman" w:hAnsi="Times New Roman" w:eastAsia="宋体" w:cs="Times New Roman"/>
          <w:b/>
          <w:sz w:val="22"/>
        </w:rPr>
        <w:t xml:space="preserve">节点画布</w:t>
      </w:r>
      <w:r>
        <w:rPr>
          <w:rFonts w:ascii="Times New Roman" w:hAnsi="Times New Roman" w:eastAsia="宋体" w:cs="Times New Roman"/>
          <w:sz w:val="22"/>
        </w:rPr>
        <w:t xml:space="preserve">：点节点只切换右侧详情和运行终点；上游没跑完时下游保持待执行。</w:t>
      </w:r>
    </w:p>
    <w:p>
      <w:pPr>
        <w:numPr>
          <w:ilvl w:val="0"/>
          <w:numId w:val="1010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需要人工确认时（冲突、样本不足、低置信度），在对话或详情里选择选项后任务继续。</w:t>
      </w:r>
    </w:p>
    <w:p>
      <w:pPr>
        <w:numPr>
          <w:ilvl w:val="0"/>
          <w:numId w:val="1010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长任务由 Redis Worker 执行，刷新页面不会丢；可从工作日记回来。</w:t>
      </w:r>
    </w:p>
    <w:p>
      <w:pPr>
        <w:spacing w:after="120"/>
      </w:pPr>
      <w:r>
        <w:rPr>
          <w:rFonts w:ascii="Times New Roman" w:hAnsi="Times New Roman" w:eastAsia="宋体" w:cs="Times New Roman"/>
          <w:sz w:val="22"/>
        </w:rPr>
        <w:pict>
          <v:rect style="width:0;height:1.5pt" o:hralign="center" o:hrstd="t" o:hr="t"/>
        </w:pict>
      </w:r>
    </w:p>
    <w:p>
      <w:pPr>
        <w:pStyle w:val="Heading2"/>
        <w:spacing w:after="120" w:before="240"/>
      </w:pPr>
      <w:bookmarkStart w:id="42" w:name="工作日记"/>
      <w:r>
        <w:rPr>
          <w:rFonts w:ascii="Times New Roman" w:hAnsi="Times New Roman" w:eastAsia="宋体" w:cs="Times New Roman"/>
          <w:b/>
          <w:sz w:val="22"/>
        </w:rPr>
        <w:t xml:space="preserve">8. 工作日记</w:t>
      </w:r>
      <w:bookmarkEnd w:id="42"/>
    </w:p>
    <w:p>
      <w:pPr>
        <w:pStyle w:val="FirstParagraph"/>
        <w:spacing w:after="120"/>
      </w:pPr>
      <w:r>
        <w:rPr>
          <w:rFonts w:ascii="Times New Roman" w:hAnsi="Times New Roman" w:eastAsia="宋体" w:cs="Times New Roman"/>
          <w:sz w:val="22"/>
        </w:rPr>
        <w:t xml:space="preserve">从 AI 工作台「更多」或首页任务列表进入，查看全部分析工作台。</w:t>
      </w:r>
    </w:p>
    <w:p>
      <w:pPr>
        <w:pStyle w:val="CaptionedFigure"/>
        <w:spacing w:after="120"/>
      </w:pPr>
      <w:r>
        <w:rPr>
          <w:rFonts w:ascii="Times New Roman" w:hAnsi="Times New Roman" w:eastAsia="宋体" w:cs="Times New Roman"/>
          <w:sz w:val="22"/>
        </w:rPr>
        <w:drawing>
          <wp:inline>
            <wp:extent cx="5334000" cy="3333750"/>
            <wp:effectExtent b="0" l="0" r="0" t="0"/>
            <wp:docPr descr="工作日记" title="" id="1" name="Picture"/>
            <a:graphic>
              <a:graphicData uri="http://schemas.openxmlformats.org/drawingml/2006/picture">
                <pic:pic>
                  <pic:nvPicPr>
                    <pic:cNvPr descr="screenshots/11-work-diar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工作日记</w:t>
      </w:r>
    </w:p>
    <w:p>
      <w:pPr>
        <w:pStyle w:val="BodyText"/>
        <w:spacing w:after="120"/>
      </w:pPr>
      <w:r>
        <w:rPr>
          <w:rFonts w:ascii="Times New Roman" w:hAnsi="Times New Roman" w:eastAsia="宋体" w:cs="Times New Roman"/>
          <w:b/>
          <w:sz w:val="22"/>
        </w:rPr>
        <w:t xml:space="preserve">本页功能</w:t>
      </w:r>
    </w:p>
    <w:p>
      <w:pPr>
        <w:numPr>
          <w:ilvl w:val="0"/>
          <w:numId w:val="1011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按名称搜索，按状态筛选。</w:t>
      </w:r>
    </w:p>
    <w:p>
      <w:pPr>
        <w:numPr>
          <w:ilvl w:val="0"/>
          <w:numId w:val="1011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每条显示产品、市场、分析次数、最近状态。</w:t>
      </w:r>
    </w:p>
    <w:p>
      <w:pPr>
        <w:numPr>
          <w:ilvl w:val="0"/>
          <w:numId w:val="1011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可进入对应工作台，或打开已生成的报告。</w:t>
      </w:r>
    </w:p>
    <w:p>
      <w:pPr>
        <w:numPr>
          <w:ilvl w:val="0"/>
          <w:numId w:val="1011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分页浏览历史记录。</w:t>
      </w:r>
    </w:p>
    <w:p>
      <w:pPr>
        <w:spacing w:after="120"/>
      </w:pPr>
      <w:r>
        <w:rPr>
          <w:rFonts w:ascii="Times New Roman" w:hAnsi="Times New Roman" w:eastAsia="宋体" w:cs="Times New Roman"/>
          <w:sz w:val="22"/>
        </w:rPr>
        <w:pict>
          <v:rect style="width:0;height:1.5pt" o:hralign="center" o:hrstd="t" o:hr="t"/>
        </w:pict>
      </w:r>
    </w:p>
    <w:p>
      <w:pPr>
        <w:pStyle w:val="Heading2"/>
        <w:spacing w:after="120" w:before="240"/>
      </w:pPr>
      <w:bookmarkStart w:id="44" w:name="销量预测"/>
      <w:r>
        <w:rPr>
          <w:rFonts w:ascii="Times New Roman" w:hAnsi="Times New Roman" w:eastAsia="宋体" w:cs="Times New Roman"/>
          <w:b/>
          <w:sz w:val="22"/>
        </w:rPr>
        <w:t xml:space="preserve">9. 销量预测</w:t>
      </w:r>
      <w:bookmarkEnd w:id="44"/>
    </w:p>
    <w:p>
      <w:pPr>
        <w:pStyle w:val="FirstParagraph"/>
        <w:spacing w:after="120"/>
      </w:pPr>
      <w:r>
        <w:rPr>
          <w:rFonts w:ascii="Times New Roman" w:hAnsi="Times New Roman" w:eastAsia="宋体" w:cs="Times New Roman"/>
          <w:sz w:val="22"/>
        </w:rPr>
        <w:t xml:space="preserve">按产品中心 SKU 和站点输出销量区间、安全库存建议。市场洞察里的机会分</w:t>
      </w:r>
      <w:r>
        <w:rPr>
          <w:rFonts w:ascii="Times New Roman" w:hAnsi="Times New Roman" w:eastAsia="宋体" w:cs="Times New Roman"/>
          <w:b/>
          <w:sz w:val="22"/>
        </w:rPr>
        <w:t xml:space="preserve">不能</w:t>
      </w:r>
      <w:r>
        <w:rPr>
          <w:rFonts w:ascii="Times New Roman" w:hAnsi="Times New Roman" w:eastAsia="宋体" w:cs="Times New Roman"/>
          <w:sz w:val="22"/>
        </w:rPr>
        <w:t xml:space="preserve">代替本页。</w:t>
      </w:r>
    </w:p>
    <w:p>
      <w:pPr>
        <w:pStyle w:val="CaptionedFigure"/>
        <w:spacing w:after="120"/>
      </w:pPr>
      <w:r>
        <w:rPr>
          <w:rFonts w:ascii="Times New Roman" w:hAnsi="Times New Roman" w:eastAsia="宋体" w:cs="Times New Roman"/>
          <w:sz w:val="22"/>
        </w:rPr>
        <w:drawing>
          <wp:inline>
            <wp:extent cx="5334000" cy="3333750"/>
            <wp:effectExtent b="0" l="0" r="0" t="0"/>
            <wp:docPr descr="销量预测" title="" id="1" name="Picture"/>
            <a:graphic>
              <a:graphicData uri="http://schemas.openxmlformats.org/drawingml/2006/picture">
                <pic:pic>
                  <pic:nvPicPr>
                    <pic:cNvPr descr="screenshots/12-forecas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20"/>
      </w:pPr>
      <w:r>
        <w:rPr>
          <w:rFonts w:ascii="Times New Roman" w:hAnsi="Times New Roman" w:eastAsia="宋体" w:cs="Times New Roman"/>
          <w:sz w:val="22"/>
        </w:rPr>
        <w:t xml:space="preserve">销量预测</w:t>
      </w:r>
    </w:p>
    <w:p>
      <w:pPr>
        <w:pStyle w:val="BodyText"/>
        <w:spacing w:after="120"/>
      </w:pPr>
      <w:r>
        <w:rPr>
          <w:rFonts w:ascii="Times New Roman" w:hAnsi="Times New Roman" w:eastAsia="宋体" w:cs="Times New Roman"/>
          <w:b/>
          <w:sz w:val="22"/>
        </w:rPr>
        <w:t xml:space="preserve">本页功能</w:t>
      </w:r>
    </w:p>
    <w:p>
      <w:pPr>
        <w:numPr>
          <w:ilvl w:val="0"/>
          <w:numId w:val="1012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右上角显示模型是否就绪、数据截止日期；现网会展示本环境回测 WAPE。</w:t>
      </w:r>
    </w:p>
    <w:p>
      <w:pPr>
        <w:numPr>
          <w:ilvl w:val="0"/>
          <w:numId w:val="1012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三种方式：天预测、周预测、复杂业务预测（价格、库存、促销、新品基准销量或参考 SKU）。</w:t>
      </w:r>
    </w:p>
    <w:p>
      <w:pPr>
        <w:numPr>
          <w:ilvl w:val="0"/>
          <w:numId w:val="1012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填写 SKU（可多选）、站点（可多选）、周期、可选起始日期后点「开始预测」。</w:t>
      </w:r>
    </w:p>
    <w:p>
      <w:pPr>
        <w:numPr>
          <w:ilvl w:val="0"/>
          <w:numId w:val="1012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已映射训练历史的 SKU 可直接预测；冷启动必须走复杂业务并填基准或参考 SKU。</w:t>
      </w:r>
    </w:p>
    <w:p>
      <w:pPr>
        <w:numPr>
          <w:ilvl w:val="0"/>
          <w:numId w:val="1012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也可从产品中心「销量预测」带入 SKU。</w:t>
      </w:r>
    </w:p>
    <w:p>
      <w:pPr>
        <w:pStyle w:val="Heading3"/>
        <w:spacing w:after="120" w:before="240"/>
      </w:pPr>
      <w:bookmarkStart w:id="46" w:name="历史预测记录"/>
      <w:r>
        <w:rPr>
          <w:rFonts w:ascii="Times New Roman" w:hAnsi="Times New Roman" w:eastAsia="宋体" w:cs="Times New Roman"/>
          <w:b/>
          <w:sz w:val="22"/>
        </w:rPr>
        <w:t xml:space="preserve">9.1 历史预测记录</w:t>
      </w:r>
      <w:bookmarkEnd w:id="46"/>
    </w:p>
    <w:p>
      <w:pPr>
        <w:pStyle w:val="FirstParagraph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同一页的第二个标签。浏览已跑过的预测任务，查看结果或导出。</w:t>
      </w:r>
    </w:p>
    <w:p>
      <w:pPr>
        <w:pStyle w:val="CaptionedFigure"/>
        <w:spacing w:after="120"/>
      </w:pPr>
      <w:r>
        <w:rPr>
          <w:rFonts w:ascii="Times New Roman" w:hAnsi="Times New Roman" w:eastAsia="宋体" w:cs="Times New Roman"/>
          <w:sz w:val="22"/>
        </w:rPr>
        <w:drawing>
          <wp:inline>
            <wp:extent cx="5334000" cy="3333750"/>
            <wp:effectExtent b="0" l="0" r="0" t="0"/>
            <wp:docPr descr="历史预测记录" title="" id="1" name="Picture"/>
            <a:graphic>
              <a:graphicData uri="http://schemas.openxmlformats.org/drawingml/2006/picture">
                <pic:pic>
                  <pic:nvPicPr>
                    <pic:cNvPr descr="screenshots/13-forecast-histor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历史预测记录</w:t>
      </w:r>
    </w:p>
    <w:p>
      <w:pPr>
        <w:pStyle w:val="BodyText"/>
        <w:spacing w:after="120"/>
      </w:pPr>
      <w:r>
        <w:rPr>
          <w:rFonts w:ascii="Times New Roman" w:hAnsi="Times New Roman" w:eastAsia="宋体" w:cs="Times New Roman"/>
          <w:b/>
          <w:sz w:val="22"/>
        </w:rPr>
        <w:t xml:space="preserve">本页功能</w:t>
      </w:r>
    </w:p>
    <w:p>
      <w:pPr>
        <w:numPr>
          <w:ilvl w:val="0"/>
          <w:numId w:val="1013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按任务名、SKU、站点搜索；按状态、天/周类型筛选。</w:t>
      </w:r>
    </w:p>
    <w:p>
      <w:pPr>
        <w:numPr>
          <w:ilvl w:val="0"/>
          <w:numId w:val="1013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「查看预测结果」打开区间和可靠度。</w:t>
      </w:r>
    </w:p>
    <w:p>
      <w:pPr>
        <w:numPr>
          <w:ilvl w:val="0"/>
          <w:numId w:val="1013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导出 CSV / JSON。</w:t>
      </w:r>
    </w:p>
    <w:p>
      <w:pPr>
        <w:numPr>
          <w:ilvl w:val="0"/>
          <w:numId w:val="1013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分页翻看历史任务。</w:t>
      </w:r>
    </w:p>
    <w:p>
      <w:pPr>
        <w:pStyle w:val="Heading3"/>
        <w:spacing w:after="120" w:before="240"/>
      </w:pPr>
      <w:bookmarkStart w:id="48" w:name="模型训练"/>
      <w:r>
        <w:rPr>
          <w:rFonts w:ascii="Times New Roman" w:hAnsi="Times New Roman" w:eastAsia="宋体" w:cs="Times New Roman"/>
          <w:b/>
          <w:sz w:val="22"/>
        </w:rPr>
        <w:t xml:space="preserve">9.2 模型训练</w:t>
      </w:r>
      <w:bookmarkEnd w:id="48"/>
    </w:p>
    <w:p>
      <w:pPr>
        <w:pStyle w:val="FirstParagraph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同一页的第三个标签。用企业订单（可选库存）追加训练并发布新版本。</w:t>
      </w:r>
    </w:p>
    <w:p>
      <w:pPr>
        <w:pStyle w:val="CaptionedFigure"/>
        <w:spacing w:after="120"/>
      </w:pPr>
      <w:r>
        <w:rPr>
          <w:rFonts w:ascii="Times New Roman" w:hAnsi="Times New Roman" w:eastAsia="宋体" w:cs="Times New Roman"/>
          <w:sz w:val="22"/>
        </w:rPr>
        <w:drawing>
          <wp:inline>
            <wp:extent cx="5334000" cy="3333750"/>
            <wp:effectExtent b="0" l="0" r="0" t="0"/>
            <wp:docPr descr="模型训练" title="" id="1" name="Picture"/>
            <a:graphic>
              <a:graphicData uri="http://schemas.openxmlformats.org/drawingml/2006/picture">
                <pic:pic>
                  <pic:nvPicPr>
                    <pic:cNvPr descr="screenshots/14-forecast-train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20"/>
      </w:pPr>
      <w:r>
        <w:rPr>
          <w:rFonts w:ascii="Times New Roman" w:hAnsi="Times New Roman" w:eastAsia="宋体" w:cs="Times New Roman"/>
          <w:sz w:val="22"/>
        </w:rPr>
        <w:t xml:space="preserve">模型训练</w:t>
      </w:r>
    </w:p>
    <w:p>
      <w:pPr>
        <w:pStyle w:val="BodyText"/>
        <w:spacing w:after="120"/>
      </w:pPr>
      <w:r>
        <w:rPr>
          <w:rFonts w:ascii="Times New Roman" w:hAnsi="Times New Roman" w:eastAsia="宋体" w:cs="Times New Roman"/>
          <w:b/>
          <w:sz w:val="22"/>
        </w:rPr>
        <w:t xml:space="preserve">本页功能</w:t>
      </w:r>
    </w:p>
    <w:p>
      <w:pPr>
        <w:numPr>
          <w:ilvl w:val="0"/>
          <w:numId w:val="1014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上传订单 Excel，可选库存文件。</w:t>
      </w:r>
    </w:p>
    <w:p>
      <w:pPr>
        <w:numPr>
          <w:ilvl w:val="0"/>
          <w:numId w:val="1014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相同日期、SKU、站点以本次上传为准，追加后会重训并发布。</w:t>
      </w:r>
    </w:p>
    <w:p>
      <w:pPr>
        <w:numPr>
          <w:ilvl w:val="0"/>
          <w:numId w:val="1014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右侧列出训练历史：成功则显示覆盖行数和数据截止日期；失败显示原因。</w:t>
      </w:r>
    </w:p>
    <w:p>
      <w:pPr>
        <w:spacing w:after="120"/>
      </w:pPr>
      <w:r>
        <w:rPr>
          <w:rFonts w:ascii="Times New Roman" w:hAnsi="Times New Roman" w:eastAsia="宋体" w:cs="Times New Roman"/>
          <w:sz w:val="22"/>
        </w:rPr>
        <w:pict>
          <v:rect style="width:0;height:1.5pt" o:hralign="center" o:hrstd="t" o:hr="t"/>
        </w:pict>
      </w:r>
    </w:p>
    <w:p>
      <w:pPr>
        <w:pStyle w:val="Heading2"/>
        <w:spacing w:after="120" w:before="240"/>
      </w:pPr>
      <w:bookmarkStart w:id="50" w:name="市场洞察"/>
      <w:r>
        <w:rPr>
          <w:rFonts w:ascii="Times New Roman" w:hAnsi="Times New Roman" w:eastAsia="宋体" w:cs="Times New Roman"/>
          <w:b/>
          <w:sz w:val="22"/>
        </w:rPr>
        <w:t xml:space="preserve">10. 市场洞察</w:t>
      </w:r>
      <w:bookmarkEnd w:id="50"/>
    </w:p>
    <w:p>
      <w:pPr>
        <w:pStyle w:val="FirstParagraph"/>
        <w:spacing w:after="120"/>
      </w:pPr>
      <w:r>
        <w:rPr>
          <w:rFonts w:ascii="Times New Roman" w:hAnsi="Times New Roman" w:eastAsia="宋体" w:cs="Times New Roman"/>
          <w:sz w:val="22"/>
        </w:rPr>
        <w:t xml:space="preserve">授权市场数据的总入口：看规模、导入数据集，并进入竞品监测或评论舆情。</w:t>
      </w:r>
    </w:p>
    <w:p>
      <w:pPr>
        <w:pStyle w:val="CaptionedFigure"/>
        <w:spacing w:after="120"/>
      </w:pPr>
      <w:r>
        <w:rPr>
          <w:rFonts w:ascii="Times New Roman" w:hAnsi="Times New Roman" w:eastAsia="宋体" w:cs="Times New Roman"/>
          <w:sz w:val="22"/>
        </w:rPr>
        <w:drawing>
          <wp:inline>
            <wp:extent cx="5334000" cy="3333750"/>
            <wp:effectExtent b="0" l="0" r="0" t="0"/>
            <wp:docPr descr="市场洞察" title="" id="1" name="Picture"/>
            <a:graphic>
              <a:graphicData uri="http://schemas.openxmlformats.org/drawingml/2006/picture">
                <pic:pic>
                  <pic:nvPicPr>
                    <pic:cNvPr descr="screenshots/15-insigh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市场洞察</w:t>
      </w:r>
    </w:p>
    <w:p>
      <w:pPr>
        <w:pStyle w:val="BodyText"/>
        <w:spacing w:after="120"/>
      </w:pPr>
      <w:r>
        <w:rPr>
          <w:rFonts w:ascii="Times New Roman" w:hAnsi="Times New Roman" w:eastAsia="宋体" w:cs="Times New Roman"/>
          <w:b/>
          <w:sz w:val="22"/>
        </w:rPr>
        <w:t xml:space="preserve">本页功能</w:t>
      </w:r>
    </w:p>
    <w:p>
      <w:pPr>
        <w:numPr>
          <w:ilvl w:val="0"/>
          <w:numId w:val="1015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汇总：可用于分析的数据集数、已入库竞品、已入库评论、有效评论（以库内真实行为准）。</w:t>
      </w:r>
    </w:p>
    <w:p>
      <w:pPr>
        <w:numPr>
          <w:ilvl w:val="0"/>
          <w:numId w:val="1015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「导入竞品与评论数据」打开导入表单；「下载填写模板」拿 Excel/CSV 模板。</w:t>
      </w:r>
    </w:p>
    <w:p>
      <w:pPr>
        <w:numPr>
          <w:ilvl w:val="0"/>
          <w:numId w:val="1015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「竞品分析」进入价格 / Listing 监测。</w:t>
      </w:r>
    </w:p>
    <w:p>
      <w:pPr>
        <w:numPr>
          <w:ilvl w:val="0"/>
          <w:numId w:val="1015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「评论舆情」进入评论浏览与网页补采。</w:t>
      </w:r>
    </w:p>
    <w:p>
      <w:pPr>
        <w:numPr>
          <w:ilvl w:val="0"/>
          <w:numId w:val="1015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数据集列表可搜索、按国家/时间筛选；点「详情」看商品和评论；可绑定后跳转分析。</w:t>
      </w:r>
    </w:p>
    <w:p>
      <w:pPr>
        <w:pStyle w:val="Heading3"/>
        <w:spacing w:after="120" w:before="240"/>
      </w:pPr>
      <w:bookmarkStart w:id="52" w:name="导入数据集"/>
      <w:r>
        <w:rPr>
          <w:rFonts w:ascii="Times New Roman" w:hAnsi="Times New Roman" w:eastAsia="宋体" w:cs="Times New Roman"/>
          <w:b/>
          <w:sz w:val="22"/>
        </w:rPr>
        <w:t xml:space="preserve">10.1 导入数据集</w:t>
      </w:r>
      <w:bookmarkEnd w:id="52"/>
    </w:p>
    <w:p>
      <w:pPr>
        <w:pStyle w:val="FirstParagraph"/>
        <w:spacing w:after="120"/>
      </w:pPr>
      <w:r>
        <w:rPr>
          <w:rFonts w:ascii="Times New Roman" w:hAnsi="Times New Roman" w:eastAsia="宋体" w:cs="Times New Roman"/>
          <w:sz w:val="22"/>
        </w:rPr>
        <w:t xml:space="preserve">点「导入竞品与评论数据」后的表单。</w:t>
      </w:r>
    </w:p>
    <w:p>
      <w:pPr>
        <w:pStyle w:val="CaptionedFigure"/>
        <w:spacing w:after="120"/>
      </w:pPr>
      <w:r>
        <w:rPr>
          <w:rFonts w:ascii="Times New Roman" w:hAnsi="Times New Roman" w:eastAsia="宋体" w:cs="Times New Roman"/>
          <w:sz w:val="22"/>
        </w:rPr>
        <w:drawing>
          <wp:inline>
            <wp:extent cx="5334000" cy="3333750"/>
            <wp:effectExtent b="0" l="0" r="0" t="0"/>
            <wp:docPr descr="导入市场数据" title="" id="1" name="Picture"/>
            <a:graphic>
              <a:graphicData uri="http://schemas.openxmlformats.org/drawingml/2006/picture">
                <pic:pic>
                  <pic:nvPicPr>
                    <pic:cNvPr descr="screenshots/16-dataset-impor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导入市场数据</w:t>
      </w:r>
    </w:p>
    <w:p>
      <w:pPr>
        <w:pStyle w:val="BodyText"/>
        <w:spacing w:after="120"/>
      </w:pPr>
      <w:r>
        <w:rPr>
          <w:rFonts w:ascii="Times New Roman" w:hAnsi="Times New Roman" w:eastAsia="宋体" w:cs="Times New Roman"/>
          <w:b/>
          <w:sz w:val="22"/>
        </w:rPr>
        <w:t xml:space="preserve">本页功能</w:t>
      </w:r>
    </w:p>
    <w:p>
      <w:pPr>
        <w:numPr>
          <w:ilvl w:val="0"/>
          <w:numId w:val="1016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填写名称、平台、目标市场、品类、来源类型、授权引用、数据日期。</w:t>
      </w:r>
    </w:p>
    <w:p>
      <w:pPr>
        <w:numPr>
          <w:ilvl w:val="0"/>
          <w:numId w:val="1016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上传企业授权 JSON / CSV / Excel（需含商品与评论，且有稳定平台 ID）。</w:t>
      </w:r>
    </w:p>
    <w:p>
      <w:pPr>
        <w:numPr>
          <w:ilvl w:val="0"/>
          <w:numId w:val="1016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提交后自动清洗（空评、乱码、重复、水文）；状态变为「可用于分析」才能绑到 AI 工作台。</w:t>
      </w:r>
    </w:p>
    <w:p>
      <w:pPr>
        <w:numPr>
          <w:ilvl w:val="0"/>
          <w:numId w:val="1016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重新上传会覆盖旧竞品和评论。</w:t>
      </w:r>
    </w:p>
    <w:p>
      <w:pPr>
        <w:numPr>
          <w:ilvl w:val="0"/>
          <w:numId w:val="1016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只允许企业拥有或已获授权的脱敏数据，不要上传未授权抓取结果。</w:t>
      </w:r>
    </w:p>
    <w:p>
      <w:pPr>
        <w:pStyle w:val="Heading3"/>
        <w:spacing w:after="120" w:before="240"/>
      </w:pPr>
      <w:bookmarkStart w:id="54" w:name="数据集详情"/>
      <w:r>
        <w:rPr>
          <w:rFonts w:ascii="Times New Roman" w:hAnsi="Times New Roman" w:eastAsia="宋体" w:cs="Times New Roman"/>
          <w:b/>
          <w:sz w:val="22"/>
        </w:rPr>
        <w:t xml:space="preserve">10.2 数据集详情</w:t>
      </w:r>
      <w:bookmarkEnd w:id="54"/>
    </w:p>
    <w:p>
      <w:pPr>
        <w:pStyle w:val="FirstParagraph"/>
        <w:spacing w:after="120"/>
      </w:pPr>
      <w:r>
        <w:rPr>
          <w:rFonts w:ascii="Times New Roman" w:hAnsi="Times New Roman" w:eastAsia="宋体" w:cs="Times New Roman"/>
          <w:sz w:val="22"/>
        </w:rPr>
        <w:t xml:space="preserve">从列表点「详情」，例如 HeFeng 北美市场包。</w:t>
      </w:r>
    </w:p>
    <w:p>
      <w:pPr>
        <w:pStyle w:val="CaptionedFigure"/>
        <w:spacing w:after="120"/>
      </w:pPr>
      <w:r>
        <w:rPr>
          <w:rFonts w:ascii="Times New Roman" w:hAnsi="Times New Roman" w:eastAsia="宋体" w:cs="Times New Roman"/>
          <w:sz w:val="22"/>
        </w:rPr>
        <w:drawing>
          <wp:inline>
            <wp:extent cx="5334000" cy="3333750"/>
            <wp:effectExtent b="0" l="0" r="0" t="0"/>
            <wp:docPr descr="数据集详情" title="" id="1" name="Picture"/>
            <a:graphic>
              <a:graphicData uri="http://schemas.openxmlformats.org/drawingml/2006/picture">
                <pic:pic>
                  <pic:nvPicPr>
                    <pic:cNvPr descr="screenshots/17-dataset-detai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20"/>
      </w:pPr>
      <w:r>
        <w:rPr>
          <w:rFonts w:ascii="Times New Roman" w:hAnsi="Times New Roman" w:eastAsia="宋体" w:cs="Times New Roman"/>
          <w:sz w:val="22"/>
        </w:rPr>
        <w:t xml:space="preserve">数据集详情</w:t>
      </w:r>
    </w:p>
    <w:p>
      <w:pPr>
        <w:pStyle w:val="BodyText"/>
        <w:spacing w:after="120"/>
      </w:pPr>
      <w:r>
        <w:rPr>
          <w:rFonts w:ascii="Times New Roman" w:hAnsi="Times New Roman" w:eastAsia="宋体" w:cs="Times New Roman"/>
          <w:b/>
          <w:sz w:val="22"/>
        </w:rPr>
        <w:t xml:space="preserve">本页功能</w:t>
      </w:r>
    </w:p>
    <w:p>
      <w:pPr>
        <w:numPr>
          <w:ilvl w:val="0"/>
          <w:numId w:val="1017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查看该数据集的商品列表和评论列表（可切换）。</w:t>
      </w:r>
    </w:p>
    <w:p>
      <w:pPr>
        <w:numPr>
          <w:ilvl w:val="0"/>
          <w:numId w:val="1017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评论可看有效 / 已过滤及过滤原因。</w:t>
      </w:r>
    </w:p>
    <w:p>
      <w:pPr>
        <w:numPr>
          <w:ilvl w:val="0"/>
          <w:numId w:val="1017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按市场、情感、关键词筛选。</w:t>
      </w:r>
    </w:p>
    <w:p>
      <w:pPr>
        <w:numPr>
          <w:ilvl w:val="0"/>
          <w:numId w:val="1017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可从这里启动「用该数据做市场分析」。</w:t>
      </w:r>
    </w:p>
    <w:p>
      <w:pPr>
        <w:spacing w:after="120"/>
      </w:pPr>
      <w:r>
        <w:rPr>
          <w:rFonts w:ascii="Times New Roman" w:hAnsi="Times New Roman" w:eastAsia="宋体" w:cs="Times New Roman"/>
          <w:sz w:val="22"/>
        </w:rPr>
        <w:pict>
          <v:rect style="width:0;height:1.5pt" o:hralign="center" o:hrstd="t" o:hr="t"/>
        </w:pict>
      </w:r>
    </w:p>
    <w:p>
      <w:pPr>
        <w:pStyle w:val="Heading2"/>
        <w:spacing w:after="120" w:before="240"/>
      </w:pPr>
      <w:bookmarkStart w:id="56" w:name="竞品分析"/>
      <w:r>
        <w:rPr>
          <w:rFonts w:ascii="Times New Roman" w:hAnsi="Times New Roman" w:eastAsia="宋体" w:cs="Times New Roman"/>
          <w:b/>
          <w:sz w:val="22"/>
        </w:rPr>
        <w:t xml:space="preserve">11. 竞品分析</w:t>
      </w:r>
      <w:bookmarkEnd w:id="56"/>
    </w:p>
    <w:p>
      <w:pPr>
        <w:pStyle w:val="FirstParagraph"/>
        <w:spacing w:after="120"/>
      </w:pPr>
      <w:r>
        <w:rPr>
          <w:rFonts w:ascii="Times New Roman" w:hAnsi="Times New Roman" w:eastAsia="宋体" w:cs="Times New Roman"/>
          <w:sz w:val="22"/>
        </w:rPr>
        <w:t xml:space="preserve">从市场洞察点「竞品分析」进入。用</w:t>
      </w:r>
      <w:r>
        <w:rPr>
          <w:rFonts w:ascii="Times New Roman" w:hAnsi="Times New Roman" w:eastAsia="宋体" w:cs="Times New Roman"/>
          <w:b/>
          <w:sz w:val="22"/>
        </w:rPr>
        <w:t xml:space="preserve">本企业产品</w:t>
      </w:r>
      <w:r>
        <w:rPr>
          <w:rFonts w:ascii="Times New Roman" w:hAnsi="Times New Roman" w:eastAsia="宋体" w:cs="Times New Roman"/>
          <w:sz w:val="22"/>
        </w:rPr>
        <w:t xml:space="preserve">对照外部 Listing，不要把外部编号（如</w:t>
      </w:r>
      <w:r>
        <w:rPr>
          <w:rFonts w:ascii="Times New Roman" w:hAnsi="Times New Roman" w:eastAsia="宋体" w:cs="Times New Roman"/>
          <w:sz w:val="22"/>
        </w:rPr>
        <w:t xml:space="preserve"> </w:t>
      </w:r>
      <w:r>
        <w:rPr>
          <w:rStyle w:val="VerbatimChar"/>
          <w:rFonts w:ascii="Times New Roman" w:hAnsi="Times New Roman" w:eastAsia="宋体" w:cs="Times New Roman"/>
          <w:sz w:val="22"/>
        </w:rPr>
        <w:t xml:space="preserve">SYN-HF-*</w:t>
      </w:r>
      <w:r>
        <w:rPr>
          <w:rFonts w:ascii="Times New Roman" w:hAnsi="Times New Roman" w:eastAsia="宋体" w:cs="Times New Roman"/>
          <w:sz w:val="22"/>
        </w:rPr>
        <w:t xml:space="preserve">）当成自家 SKU。</w:t>
      </w:r>
    </w:p>
    <w:p>
      <w:pPr>
        <w:pStyle w:val="CaptionedFigure"/>
        <w:spacing w:after="120"/>
      </w:pPr>
      <w:r>
        <w:rPr>
          <w:rFonts w:ascii="Times New Roman" w:hAnsi="Times New Roman" w:eastAsia="宋体" w:cs="Times New Roman"/>
          <w:sz w:val="22"/>
        </w:rPr>
        <w:drawing>
          <wp:inline>
            <wp:extent cx="5334000" cy="3333750"/>
            <wp:effectExtent b="0" l="0" r="0" t="0"/>
            <wp:docPr descr="竞品分析" title="" id="1" name="Picture"/>
            <a:graphic>
              <a:graphicData uri="http://schemas.openxmlformats.org/drawingml/2006/picture">
                <pic:pic>
                  <pic:nvPicPr>
                    <pic:cNvPr descr="screenshots/18-competito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20"/>
      </w:pPr>
      <w:r>
        <w:rPr>
          <w:rFonts w:ascii="Times New Roman" w:hAnsi="Times New Roman" w:eastAsia="宋体" w:cs="Times New Roman"/>
          <w:sz w:val="22"/>
        </w:rPr>
        <w:t xml:space="preserve">竞品分析</w:t>
      </w:r>
    </w:p>
    <w:p>
      <w:pPr>
        <w:pStyle w:val="BodyText"/>
        <w:spacing w:after="120"/>
      </w:pPr>
      <w:r>
        <w:rPr>
          <w:rFonts w:ascii="Times New Roman" w:hAnsi="Times New Roman" w:eastAsia="宋体" w:cs="Times New Roman"/>
          <w:b/>
          <w:sz w:val="22"/>
        </w:rPr>
        <w:t xml:space="preserve">本页功能</w:t>
      </w:r>
    </w:p>
    <w:p>
      <w:pPr>
        <w:numPr>
          <w:ilvl w:val="0"/>
          <w:numId w:val="1018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选择本企业产品后：「匹配相似竞品」「从市场数据加入」或粘贴商品页网址采集。</w:t>
      </w:r>
    </w:p>
    <w:p>
      <w:pPr>
        <w:numPr>
          <w:ilvl w:val="0"/>
          <w:numId w:val="1018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竞品库可勾选参与对比、删除监控（历史快照仍保留）。</w:t>
      </w:r>
    </w:p>
    <w:p>
      <w:pPr>
        <w:numPr>
          <w:ilvl w:val="0"/>
          <w:numId w:val="1018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「立即刷新快照」后看价格趋势和版本对比（标题、售价、促销、主图、卖点）。</w:t>
      </w:r>
    </w:p>
    <w:p>
      <w:pPr>
        <w:numPr>
          <w:ilvl w:val="0"/>
          <w:numId w:val="1018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上方标签可切到「评论舆情」。</w:t>
      </w:r>
    </w:p>
    <w:p>
      <w:pPr>
        <w:spacing w:after="120"/>
      </w:pPr>
      <w:r>
        <w:rPr>
          <w:rFonts w:ascii="Times New Roman" w:hAnsi="Times New Roman" w:eastAsia="宋体" w:cs="Times New Roman"/>
          <w:sz w:val="22"/>
        </w:rPr>
        <w:pict>
          <v:rect style="width:0;height:1.5pt" o:hralign="center" o:hrstd="t" o:hr="t"/>
        </w:pict>
      </w:r>
    </w:p>
    <w:p>
      <w:pPr>
        <w:pStyle w:val="Heading2"/>
        <w:spacing w:after="120" w:before="240"/>
      </w:pPr>
      <w:bookmarkStart w:id="58" w:name="评论舆情"/>
      <w:r>
        <w:rPr>
          <w:rFonts w:ascii="Times New Roman" w:hAnsi="Times New Roman" w:eastAsia="宋体" w:cs="Times New Roman"/>
          <w:b/>
          <w:sz w:val="22"/>
        </w:rPr>
        <w:t xml:space="preserve">12. 评论舆情</w:t>
      </w:r>
      <w:bookmarkEnd w:id="58"/>
    </w:p>
    <w:p>
      <w:pPr>
        <w:pStyle w:val="FirstParagraph"/>
        <w:spacing w:after="120"/>
      </w:pPr>
      <w:r>
        <w:rPr>
          <w:rFonts w:ascii="Times New Roman" w:hAnsi="Times New Roman" w:eastAsia="宋体" w:cs="Times New Roman"/>
          <w:sz w:val="22"/>
        </w:rPr>
        <w:t xml:space="preserve">与竞品分析在同一模块的另一个标签。</w:t>
      </w:r>
    </w:p>
    <w:p>
      <w:pPr>
        <w:pStyle w:val="CaptionedFigure"/>
        <w:spacing w:after="120"/>
      </w:pPr>
      <w:r>
        <w:rPr>
          <w:rFonts w:ascii="Times New Roman" w:hAnsi="Times New Roman" w:eastAsia="宋体" w:cs="Times New Roman"/>
          <w:sz w:val="22"/>
        </w:rPr>
        <w:drawing>
          <wp:inline>
            <wp:extent cx="5334000" cy="3333750"/>
            <wp:effectExtent b="0" l="0" r="0" t="0"/>
            <wp:docPr descr="评论舆情" title="" id="1" name="Picture"/>
            <a:graphic>
              <a:graphicData uri="http://schemas.openxmlformats.org/drawingml/2006/picture">
                <pic:pic>
                  <pic:nvPicPr>
                    <pic:cNvPr descr="screenshots/19-sentim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20"/>
      </w:pPr>
      <w:r>
        <w:rPr>
          <w:rFonts w:ascii="Times New Roman" w:hAnsi="Times New Roman" w:eastAsia="宋体" w:cs="Times New Roman"/>
          <w:sz w:val="22"/>
        </w:rPr>
        <w:t xml:space="preserve">评论舆情</w:t>
      </w:r>
    </w:p>
    <w:p>
      <w:pPr>
        <w:pStyle w:val="BodyText"/>
        <w:spacing w:after="120"/>
      </w:pPr>
      <w:r>
        <w:rPr>
          <w:rFonts w:ascii="Times New Roman" w:hAnsi="Times New Roman" w:eastAsia="宋体" w:cs="Times New Roman"/>
          <w:b/>
          <w:sz w:val="22"/>
        </w:rPr>
        <w:t xml:space="preserve">本页功能</w:t>
      </w:r>
    </w:p>
    <w:p>
      <w:pPr>
        <w:numPr>
          <w:ilvl w:val="0"/>
          <w:numId w:val="1019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默认读取已导入数据集里的</w:t>
      </w:r>
      <w:r>
        <w:rPr>
          <w:rFonts w:ascii="Times New Roman" w:hAnsi="Times New Roman" w:eastAsia="宋体" w:cs="Times New Roman"/>
          <w:b/>
          <w:sz w:val="22"/>
        </w:rPr>
        <w:t xml:space="preserve">有效评论</w:t>
      </w:r>
      <w:r>
        <w:rPr>
          <w:rFonts w:ascii="Times New Roman" w:hAnsi="Times New Roman" w:eastAsia="宋体" w:cs="Times New Roman"/>
          <w:sz w:val="22"/>
        </w:rPr>
        <w:t xml:space="preserve">。</w:t>
      </w:r>
    </w:p>
    <w:p>
      <w:pPr>
        <w:numPr>
          <w:ilvl w:val="0"/>
          <w:numId w:val="1019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按来源、情感、关键词筛选。</w:t>
      </w:r>
    </w:p>
    <w:p>
      <w:pPr>
        <w:numPr>
          <w:ilvl w:val="0"/>
          <w:numId w:val="1019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粘贴 Amazon / 独立站评论页网址，「获取舆情」写入所选数据集后才能进 AI 分析。</w:t>
      </w:r>
    </w:p>
    <w:p>
      <w:pPr>
        <w:numPr>
          <w:ilvl w:val="0"/>
          <w:numId w:val="1019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公开页若返回防护页或 0 条，任务记</w:t>
      </w:r>
      <w:r>
        <w:rPr>
          <w:rFonts w:ascii="Times New Roman" w:hAnsi="Times New Roman" w:eastAsia="宋体" w:cs="Times New Roman"/>
          <w:b/>
          <w:sz w:val="22"/>
        </w:rPr>
        <w:t xml:space="preserve">失败</w:t>
      </w:r>
      <w:r>
        <w:rPr>
          <w:rFonts w:ascii="Times New Roman" w:hAnsi="Times New Roman" w:eastAsia="宋体" w:cs="Times New Roman"/>
          <w:sz w:val="22"/>
        </w:rPr>
        <w:t xml:space="preserve">，不会显示假成功。</w:t>
      </w:r>
    </w:p>
    <w:p>
      <w:pPr>
        <w:pStyle w:val="FirstParagraph"/>
        <w:spacing w:after="120"/>
      </w:pPr>
      <w:r>
        <w:rPr>
          <w:rFonts w:ascii="Times New Roman" w:hAnsi="Times New Roman" w:eastAsia="宋体" w:cs="Times New Roman"/>
          <w:sz w:val="22"/>
        </w:rPr>
        <w:t xml:space="preserve">更细的逐步验收见</w:t>
      </w:r>
      <w:r>
        <w:rPr>
          <w:rFonts w:ascii="Times New Roman" w:hAnsi="Times New Roman" w:eastAsia="宋体" w:cs="Times New Roman"/>
          <w:sz w:val="22"/>
        </w:rPr>
        <w:t xml:space="preserve"> </w:t>
      </w:r>
      <w:hyperlink r:id="rId60">
        <w:r>
          <w:rPr>
            <w:rStyle w:val="Hyperlink"/>
          </w:rPr>
          <w:t xml:space="preserve">04_市场洞察四项功能测试指南.md</w:t>
        </w:r>
      </w:hyperlink>
      <w:r>
        <w:rPr>
          <w:rFonts w:ascii="Times New Roman" w:hAnsi="Times New Roman" w:eastAsia="宋体" w:cs="Times New Roman"/>
          <w:sz w:val="22"/>
        </w:rPr>
        <w:t xml:space="preserve">。</w:t>
      </w:r>
    </w:p>
    <w:p>
      <w:pPr>
        <w:spacing w:after="120"/>
      </w:pPr>
      <w:r>
        <w:rPr>
          <w:rFonts w:ascii="Times New Roman" w:hAnsi="Times New Roman" w:eastAsia="宋体" w:cs="Times New Roman"/>
          <w:sz w:val="22"/>
        </w:rPr>
        <w:pict>
          <v:rect style="width:0;height:1.5pt" o:hralign="center" o:hrstd="t" o:hr="t"/>
        </w:pict>
      </w:r>
    </w:p>
    <w:p>
      <w:pPr>
        <w:pStyle w:val="Heading2"/>
        <w:spacing w:after="120" w:before="240"/>
      </w:pPr>
      <w:bookmarkStart w:id="61" w:name="决策报告列表"/>
      <w:r>
        <w:rPr>
          <w:rFonts w:ascii="Times New Roman" w:hAnsi="Times New Roman" w:eastAsia="宋体" w:cs="Times New Roman"/>
          <w:b/>
          <w:sz w:val="22"/>
        </w:rPr>
        <w:t xml:space="preserve">13. 决策报告（列表）</w:t>
      </w:r>
      <w:bookmarkEnd w:id="61"/>
    </w:p>
    <w:p>
      <w:pPr>
        <w:pStyle w:val="FirstParagraph"/>
        <w:spacing w:after="120"/>
      </w:pPr>
      <w:r>
        <w:rPr>
          <w:rFonts w:ascii="Times New Roman" w:hAnsi="Times New Roman" w:eastAsia="宋体" w:cs="Times New Roman"/>
          <w:sz w:val="22"/>
        </w:rPr>
        <w:t xml:space="preserve">AI 工作流完成后，报告自动出现在这里。</w:t>
      </w:r>
    </w:p>
    <w:p>
      <w:pPr>
        <w:pStyle w:val="CaptionedFigure"/>
        <w:spacing w:after="120"/>
      </w:pPr>
      <w:r>
        <w:rPr>
          <w:rFonts w:ascii="Times New Roman" w:hAnsi="Times New Roman" w:eastAsia="宋体" w:cs="Times New Roman"/>
          <w:sz w:val="22"/>
        </w:rPr>
        <w:drawing>
          <wp:inline>
            <wp:extent cx="5334000" cy="3333750"/>
            <wp:effectExtent b="0" l="0" r="0" t="0"/>
            <wp:docPr descr="决策报告列表" title="" id="1" name="Picture"/>
            <a:graphic>
              <a:graphicData uri="http://schemas.openxmlformats.org/drawingml/2006/picture">
                <pic:pic>
                  <pic:nvPicPr>
                    <pic:cNvPr descr="screenshots/20-repor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决策报告列表</w:t>
      </w:r>
    </w:p>
    <w:p>
      <w:pPr>
        <w:pStyle w:val="BodyText"/>
        <w:spacing w:after="120"/>
      </w:pPr>
      <w:r>
        <w:rPr>
          <w:rFonts w:ascii="Times New Roman" w:hAnsi="Times New Roman" w:eastAsia="宋体" w:cs="Times New Roman"/>
          <w:b/>
          <w:sz w:val="22"/>
        </w:rPr>
        <w:t xml:space="preserve">本页功能</w:t>
      </w:r>
    </w:p>
    <w:p>
      <w:pPr>
        <w:numPr>
          <w:ilvl w:val="0"/>
          <w:numId w:val="1020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按产品名、任务名、报告标题搜索。</w:t>
      </w:r>
    </w:p>
    <w:p>
      <w:pPr>
        <w:numPr>
          <w:ilvl w:val="0"/>
          <w:numId w:val="1020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按产品、市场、决策标签、时间筛选。</w:t>
      </w:r>
    </w:p>
    <w:p>
      <w:pPr>
        <w:numPr>
          <w:ilvl w:val="0"/>
          <w:numId w:val="1020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打开详情；可勾选后批量导出 PDF 或归档删除。</w:t>
      </w:r>
    </w:p>
    <w:p>
      <w:pPr>
        <w:numPr>
          <w:ilvl w:val="0"/>
          <w:numId w:val="1020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「去 AI 工作台」开始新的分析。</w:t>
      </w:r>
    </w:p>
    <w:p>
      <w:pPr>
        <w:spacing w:after="120"/>
      </w:pPr>
      <w:r>
        <w:rPr>
          <w:rFonts w:ascii="Times New Roman" w:hAnsi="Times New Roman" w:eastAsia="宋体" w:cs="Times New Roman"/>
          <w:sz w:val="22"/>
        </w:rPr>
        <w:pict>
          <v:rect style="width:0;height:1.5pt" o:hralign="center" o:hrstd="t" o:hr="t"/>
        </w:pict>
      </w:r>
    </w:p>
    <w:p>
      <w:pPr>
        <w:pStyle w:val="Heading2"/>
        <w:spacing w:after="120" w:before="240"/>
      </w:pPr>
      <w:bookmarkStart w:id="63" w:name="决策报告详情"/>
      <w:r>
        <w:rPr>
          <w:rFonts w:ascii="Times New Roman" w:hAnsi="Times New Roman" w:eastAsia="宋体" w:cs="Times New Roman"/>
          <w:b/>
          <w:sz w:val="22"/>
        </w:rPr>
        <w:t xml:space="preserve">14. 决策报告（详情）</w:t>
      </w:r>
      <w:bookmarkEnd w:id="63"/>
    </w:p>
    <w:p>
      <w:pPr>
        <w:pStyle w:val="FirstParagraph"/>
        <w:spacing w:after="120"/>
      </w:pPr>
      <w:r>
        <w:rPr>
          <w:rFonts w:ascii="Times New Roman" w:hAnsi="Times New Roman" w:eastAsia="宋体" w:cs="Times New Roman"/>
          <w:sz w:val="22"/>
        </w:rPr>
        <w:t xml:space="preserve">点开一份已完成报告。左侧是章节目录，右侧是正文。</w:t>
      </w:r>
    </w:p>
    <w:p>
      <w:pPr>
        <w:pStyle w:val="CaptionedFigure"/>
        <w:spacing w:after="120"/>
      </w:pPr>
      <w:r>
        <w:rPr>
          <w:rFonts w:ascii="Times New Roman" w:hAnsi="Times New Roman" w:eastAsia="宋体" w:cs="Times New Roman"/>
          <w:sz w:val="22"/>
        </w:rPr>
        <w:drawing>
          <wp:inline>
            <wp:extent cx="5334000" cy="3333750"/>
            <wp:effectExtent b="0" l="0" r="0" t="0"/>
            <wp:docPr descr="决策报告详情" title="" id="1" name="Picture"/>
            <a:graphic>
              <a:graphicData uri="http://schemas.openxmlformats.org/drawingml/2006/picture">
                <pic:pic>
                  <pic:nvPicPr>
                    <pic:cNvPr descr="screenshots/21-report-detai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决策报告详情</w:t>
      </w:r>
    </w:p>
    <w:p>
      <w:pPr>
        <w:pStyle w:val="BodyText"/>
        <w:spacing w:after="120"/>
      </w:pPr>
      <w:r>
        <w:rPr>
          <w:rFonts w:ascii="Times New Roman" w:hAnsi="Times New Roman" w:eastAsia="宋体" w:cs="Times New Roman"/>
          <w:b/>
          <w:sz w:val="22"/>
        </w:rPr>
        <w:t xml:space="preserve">本页功能</w:t>
      </w:r>
    </w:p>
    <w:p>
      <w:pPr>
        <w:numPr>
          <w:ilvl w:val="0"/>
          <w:numId w:val="1021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看决策结论、综合机会分、报告置信度、执行摘要。</w:t>
      </w:r>
    </w:p>
    <w:p>
      <w:pPr>
        <w:numPr>
          <w:ilvl w:val="0"/>
          <w:numId w:val="1021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章节包括：基础信息、机会评分、用户与定价、用户痛点、竞品矩阵、改进建议、风险说明、证据目录。</w:t>
      </w:r>
    </w:p>
    <w:p>
      <w:pPr>
        <w:numPr>
          <w:ilvl w:val="0"/>
          <w:numId w:val="1021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数字来自程序计算（商品数、有效评论、五维分）；生成式文字不能覆盖原始证据。</w:t>
      </w:r>
    </w:p>
    <w:p>
      <w:pPr>
        <w:numPr>
          <w:ilvl w:val="0"/>
          <w:numId w:val="1021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「导出 PDF」走浏览器打印对话框，选「另存为 PDF」。</w:t>
      </w:r>
    </w:p>
    <w:p>
      <w:pPr>
        <w:numPr>
          <w:ilvl w:val="0"/>
          <w:numId w:val="1021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可下钻到竞品监测或市场数据集。</w:t>
      </w:r>
    </w:p>
    <w:p>
      <w:pPr>
        <w:numPr>
          <w:ilvl w:val="0"/>
          <w:numId w:val="1021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「返回决策报告」回到列表。</w:t>
      </w:r>
    </w:p>
    <w:p>
      <w:pPr>
        <w:spacing w:after="120"/>
      </w:pPr>
      <w:r>
        <w:rPr>
          <w:rFonts w:ascii="Times New Roman" w:hAnsi="Times New Roman" w:eastAsia="宋体" w:cs="Times New Roman"/>
          <w:sz w:val="22"/>
        </w:rPr>
        <w:pict>
          <v:rect style="width:0;height:1.5pt" o:hralign="center" o:hrstd="t" o:hr="t"/>
        </w:pict>
      </w:r>
    </w:p>
    <w:p>
      <w:pPr>
        <w:pStyle w:val="Heading2"/>
        <w:spacing w:after="120" w:before="240"/>
      </w:pPr>
      <w:bookmarkStart w:id="65" w:name="平台控制中心-企业用户"/>
      <w:r>
        <w:rPr>
          <w:rFonts w:ascii="Times New Roman" w:hAnsi="Times New Roman" w:eastAsia="宋体" w:cs="Times New Roman"/>
          <w:b/>
          <w:sz w:val="22"/>
        </w:rPr>
        <w:t xml:space="preserve">15. 平台控制中心 · 企业用户</w:t>
      </w:r>
      <w:bookmarkEnd w:id="65"/>
    </w:p>
    <w:p>
      <w:pPr>
        <w:pStyle w:val="FirstParagraph"/>
        <w:spacing w:after="120"/>
      </w:pPr>
      <w:r>
        <w:rPr>
          <w:rFonts w:ascii="Times New Roman" w:hAnsi="Times New Roman" w:eastAsia="宋体" w:cs="Times New Roman"/>
          <w:sz w:val="22"/>
        </w:rPr>
        <w:t xml:space="preserve">管理员登录后的默认页。与企业工作台完全隔离。</w:t>
      </w:r>
    </w:p>
    <w:p>
      <w:pPr>
        <w:pStyle w:val="CaptionedFigure"/>
        <w:spacing w:after="120"/>
      </w:pPr>
      <w:r>
        <w:rPr>
          <w:rFonts w:ascii="Times New Roman" w:hAnsi="Times New Roman" w:eastAsia="宋体" w:cs="Times New Roman"/>
          <w:sz w:val="22"/>
        </w:rPr>
        <w:drawing>
          <wp:inline>
            <wp:extent cx="5334000" cy="3333750"/>
            <wp:effectExtent b="0" l="0" r="0" t="0"/>
            <wp:docPr descr="管理后台企业用户" title="" id="1" name="Picture"/>
            <a:graphic>
              <a:graphicData uri="http://schemas.openxmlformats.org/drawingml/2006/picture">
                <pic:pic>
                  <pic:nvPicPr>
                    <pic:cNvPr descr="screenshots/22-admin-enterpris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20"/>
      </w:pPr>
      <w:r>
        <w:rPr>
          <w:rFonts w:ascii="Times New Roman" w:hAnsi="Times New Roman" w:eastAsia="宋体" w:cs="Times New Roman"/>
          <w:sz w:val="22"/>
        </w:rPr>
        <w:t xml:space="preserve">管理后台企业用户</w:t>
      </w:r>
    </w:p>
    <w:p>
      <w:pPr>
        <w:pStyle w:val="BodyText"/>
        <w:spacing w:after="120"/>
      </w:pPr>
      <w:r>
        <w:rPr>
          <w:rFonts w:ascii="Times New Roman" w:hAnsi="Times New Roman" w:eastAsia="宋体" w:cs="Times New Roman"/>
          <w:b/>
          <w:sz w:val="22"/>
        </w:rPr>
        <w:t xml:space="preserve">本页功能</w:t>
      </w:r>
    </w:p>
    <w:p>
      <w:pPr>
        <w:numPr>
          <w:ilvl w:val="0"/>
          <w:numId w:val="1022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统计：企业账号数、正常使用、已开通预测、待审批申请。</w:t>
      </w:r>
    </w:p>
    <w:p>
      <w:pPr>
        <w:numPr>
          <w:ilvl w:val="0"/>
          <w:numId w:val="1022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「开通企业用户」：同时创建租户和登录账号，设置初始密码和功能授权（销量预测 / 市场分析）。</w:t>
      </w:r>
    </w:p>
    <w:p>
      <w:pPr>
        <w:numPr>
          <w:ilvl w:val="0"/>
          <w:numId w:val="1022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列表中可搜索企业、停用账号、删除租户。</w:t>
      </w:r>
    </w:p>
    <w:p>
      <w:pPr>
        <w:numPr>
          <w:ilvl w:val="0"/>
          <w:numId w:val="1022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审批注册申请（通过后申请人用原密码登录）。</w:t>
      </w:r>
    </w:p>
    <w:p>
      <w:pPr>
        <w:numPr>
          <w:ilvl w:val="0"/>
          <w:numId w:val="1022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左下角显示租户隔离状态；「退出管理后台」回到管理员登录。</w:t>
      </w:r>
    </w:p>
    <w:p>
      <w:pPr>
        <w:spacing w:after="120"/>
      </w:pPr>
      <w:r>
        <w:rPr>
          <w:rFonts w:ascii="Times New Roman" w:hAnsi="Times New Roman" w:eastAsia="宋体" w:cs="Times New Roman"/>
          <w:sz w:val="22"/>
        </w:rPr>
        <w:pict>
          <v:rect style="width:0;height:1.5pt" o:hralign="center" o:hrstd="t" o:hr="t"/>
        </w:pict>
      </w:r>
    </w:p>
    <w:p>
      <w:pPr>
        <w:pStyle w:val="Heading2"/>
        <w:spacing w:after="120" w:before="240"/>
      </w:pPr>
      <w:bookmarkStart w:id="67" w:name="平台控制中心-预测模型"/>
      <w:r>
        <w:rPr>
          <w:rFonts w:ascii="Times New Roman" w:hAnsi="Times New Roman" w:eastAsia="宋体" w:cs="Times New Roman"/>
          <w:b/>
          <w:sz w:val="22"/>
        </w:rPr>
        <w:t xml:space="preserve">16. 平台控制中心 · 预测模型</w:t>
      </w:r>
      <w:bookmarkEnd w:id="67"/>
    </w:p>
    <w:p>
      <w:pPr>
        <w:pStyle w:val="FirstParagraph"/>
        <w:spacing w:after="120"/>
      </w:pPr>
      <w:r>
        <w:rPr>
          <w:rFonts w:ascii="Times New Roman" w:hAnsi="Times New Roman" w:eastAsia="宋体" w:cs="Times New Roman"/>
          <w:sz w:val="22"/>
        </w:rPr>
        <w:t xml:space="preserve">管理后台左侧第二个导航。</w:t>
      </w:r>
    </w:p>
    <w:p>
      <w:pPr>
        <w:pStyle w:val="CaptionedFigure"/>
        <w:spacing w:after="120"/>
      </w:pPr>
      <w:r>
        <w:rPr>
          <w:rFonts w:ascii="Times New Roman" w:hAnsi="Times New Roman" w:eastAsia="宋体" w:cs="Times New Roman"/>
          <w:sz w:val="22"/>
        </w:rPr>
        <w:drawing>
          <wp:inline>
            <wp:extent cx="5334000" cy="3333750"/>
            <wp:effectExtent b="0" l="0" r="0" t="0"/>
            <wp:docPr descr="管理后台预测模型" title="" id="1" name="Picture"/>
            <a:graphic>
              <a:graphicData uri="http://schemas.openxmlformats.org/drawingml/2006/picture">
                <pic:pic>
                  <pic:nvPicPr>
                    <pic:cNvPr descr="screenshots/23-admin-model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20"/>
      </w:pPr>
      <w:r>
        <w:rPr>
          <w:rFonts w:ascii="Times New Roman" w:hAnsi="Times New Roman" w:eastAsia="宋体" w:cs="Times New Roman"/>
          <w:sz w:val="22"/>
        </w:rPr>
        <w:t xml:space="preserve">管理后台预测模型</w:t>
      </w:r>
    </w:p>
    <w:p>
      <w:pPr>
        <w:pStyle w:val="BodyText"/>
        <w:spacing w:after="120"/>
      </w:pPr>
      <w:r>
        <w:rPr>
          <w:rFonts w:ascii="Times New Roman" w:hAnsi="Times New Roman" w:eastAsia="宋体" w:cs="Times New Roman"/>
          <w:b/>
          <w:sz w:val="22"/>
        </w:rPr>
        <w:t xml:space="preserve">本页功能</w:t>
      </w:r>
    </w:p>
    <w:p>
      <w:pPr>
        <w:numPr>
          <w:ilvl w:val="0"/>
          <w:numId w:val="1023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查看当前发布的预测模型版本、数据截止日期、可用 SKU 数。</w:t>
      </w:r>
    </w:p>
    <w:p>
      <w:pPr>
        <w:numPr>
          <w:ilvl w:val="0"/>
          <w:numId w:val="1023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为企业开通或关闭销量预测能力。</w:t>
      </w:r>
    </w:p>
    <w:p>
      <w:pPr>
        <w:numPr>
          <w:ilvl w:val="0"/>
          <w:numId w:val="1023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失败的训练不会替换正在使用的正式版本。</w:t>
      </w:r>
    </w:p>
    <w:p>
      <w:pPr>
        <w:spacing w:after="120"/>
      </w:pPr>
      <w:r>
        <w:rPr>
          <w:rFonts w:ascii="Times New Roman" w:hAnsi="Times New Roman" w:eastAsia="宋体" w:cs="Times New Roman"/>
          <w:sz w:val="22"/>
        </w:rPr>
        <w:pict>
          <v:rect style="width:0;height:1.5pt" o:hralign="center" o:hrstd="t" o:hr="t"/>
        </w:pict>
      </w:r>
    </w:p>
    <w:p>
      <w:pPr>
        <w:pStyle w:val="Heading2"/>
        <w:spacing w:after="120" w:before="240"/>
      </w:pPr>
      <w:bookmarkStart w:id="69" w:name="推荐操作顺序"/>
      <w:r>
        <w:rPr>
          <w:rFonts w:ascii="Times New Roman" w:hAnsi="Times New Roman" w:eastAsia="宋体" w:cs="Times New Roman"/>
          <w:b/>
          <w:sz w:val="22"/>
        </w:rPr>
        <w:t xml:space="preserve">17. 推荐操作顺序</w:t>
      </w:r>
      <w:bookmarkEnd w:id="69"/>
    </w:p>
    <w:p>
      <w:pPr>
        <w:pStyle w:val="FirstParagraph"/>
        <w:spacing w:after="120"/>
      </w:pPr>
      <w:r>
        <w:rPr>
          <w:rFonts w:ascii="Times New Roman" w:hAnsi="Times New Roman" w:eastAsia="宋体" w:cs="Times New Roman"/>
          <w:sz w:val="22"/>
        </w:rPr>
        <w:t xml:space="preserve">第一次使用可按这个顺序走一遍，不必每个按钮都点：</w:t>
      </w:r>
    </w:p>
    <w:p>
      <w:pPr>
        <w:numPr>
          <w:ilvl w:val="0"/>
          <w:numId w:val="1024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登录企业账号（第 1 页）。</w:t>
      </w:r>
    </w:p>
    <w:p>
      <w:pPr>
        <w:numPr>
          <w:ilvl w:val="0"/>
          <w:numId w:val="1024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在产品中心确认 SKU 画像（第 5 页）。</w:t>
      </w:r>
    </w:p>
    <w:p>
      <w:pPr>
        <w:numPr>
          <w:ilvl w:val="0"/>
          <w:numId w:val="1024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在市场洞察导入或选用已授权数据集（第 10 页）。</w:t>
      </w:r>
    </w:p>
    <w:p>
      <w:pPr>
        <w:numPr>
          <w:ilvl w:val="0"/>
          <w:numId w:val="1024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在 AI 工作台提问并运行到报告（第 6–7 页）。</w:t>
      </w:r>
    </w:p>
    <w:p>
      <w:pPr>
        <w:numPr>
          <w:ilvl w:val="0"/>
          <w:numId w:val="1024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在决策报告里核验证据（第 14 页）。</w:t>
      </w:r>
    </w:p>
    <w:p>
      <w:pPr>
        <w:numPr>
          <w:ilvl w:val="0"/>
          <w:numId w:val="1024"/>
        </w:numPr>
        <w:pStyle w:val="Compac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需要备货数字时，到销量预测选同一 SKU 和站点（第 9 页）。</w:t>
      </w:r>
    </w:p>
    <w:p>
      <w:pPr>
        <w:pStyle w:val="SourceCode"/>
        <w:spacing w:after="120"/>
      </w:pPr>
      <w:r>
        <w:rPr>
          <w:rStyle w:val="VerbatimChar"/>
          <w:rFonts w:ascii="Times New Roman" w:hAnsi="Times New Roman" w:eastAsia="宋体" w:cs="Times New Roman"/>
          <w:sz w:val="22"/>
        </w:rPr>
        <w:t xml:space="preserve">flowchart LR</w:t>
      </w:r>
      <w:r>
        <w:rPr>
          <w:rFonts w:ascii="Times New Roman" w:hAnsi="Times New Roman" w:eastAsia="宋体" w:cs="Times New Roman"/>
          <w:sz w:val="22"/>
        </w:rPr>
        <w:br/>
      </w:r>
      <w:r>
        <w:rPr>
          <w:rStyle w:val="VerbatimChar"/>
          <w:rFonts w:ascii="Times New Roman" w:hAnsi="Times New Roman" w:eastAsia="宋体" w:cs="Times New Roman"/>
          <w:sz w:val="22"/>
        </w:rPr>
        <w:t xml:space="preserve">    A[登录] --&gt; B[产品中心]</w:t>
      </w:r>
      <w:r>
        <w:rPr>
          <w:rFonts w:ascii="Times New Roman" w:hAnsi="Times New Roman" w:eastAsia="宋体" w:cs="Times New Roman"/>
          <w:sz w:val="22"/>
        </w:rPr>
        <w:br/>
      </w:r>
      <w:r>
        <w:rPr>
          <w:rStyle w:val="VerbatimChar"/>
          <w:rFonts w:ascii="Times New Roman" w:hAnsi="Times New Roman" w:eastAsia="宋体" w:cs="Times New Roman"/>
          <w:sz w:val="22"/>
        </w:rPr>
        <w:t xml:space="preserve">    B --&gt; C[市场洞察]</w:t>
      </w:r>
      <w:r>
        <w:rPr>
          <w:rFonts w:ascii="Times New Roman" w:hAnsi="Times New Roman" w:eastAsia="宋体" w:cs="Times New Roman"/>
          <w:sz w:val="22"/>
        </w:rPr>
        <w:br/>
      </w:r>
      <w:r>
        <w:rPr>
          <w:rStyle w:val="VerbatimChar"/>
          <w:rFonts w:ascii="Times New Roman" w:hAnsi="Times New Roman" w:eastAsia="宋体" w:cs="Times New Roman"/>
          <w:sz w:val="22"/>
        </w:rPr>
        <w:t xml:space="preserve">    C --&gt; D[AI 工作台]</w:t>
      </w:r>
      <w:r>
        <w:rPr>
          <w:rFonts w:ascii="Times New Roman" w:hAnsi="Times New Roman" w:eastAsia="宋体" w:cs="Times New Roman"/>
          <w:sz w:val="22"/>
        </w:rPr>
        <w:br/>
      </w:r>
      <w:r>
        <w:rPr>
          <w:rStyle w:val="VerbatimChar"/>
          <w:rFonts w:ascii="Times New Roman" w:hAnsi="Times New Roman" w:eastAsia="宋体" w:cs="Times New Roman"/>
          <w:sz w:val="22"/>
        </w:rPr>
        <w:t xml:space="preserve">    D --&gt; E[决策报告]</w:t>
      </w:r>
      <w:r>
        <w:rPr>
          <w:rFonts w:ascii="Times New Roman" w:hAnsi="Times New Roman" w:eastAsia="宋体" w:cs="Times New Roman"/>
          <w:sz w:val="22"/>
        </w:rPr>
        <w:br/>
      </w:r>
      <w:r>
        <w:rPr>
          <w:rStyle w:val="VerbatimChar"/>
          <w:rFonts w:ascii="Times New Roman" w:hAnsi="Times New Roman" w:eastAsia="宋体" w:cs="Times New Roman"/>
          <w:sz w:val="22"/>
        </w:rPr>
        <w:t xml:space="preserve">    B --&gt; F[销量预测]</w:t>
      </w:r>
    </w:p>
    <w:p>
      <w:pPr>
        <w:spacing w:after="120"/>
      </w:pPr>
      <w:r>
        <w:rPr>
          <w:rFonts w:ascii="Times New Roman" w:hAnsi="Times New Roman" w:eastAsia="宋体" w:cs="Times New Roman"/>
          <w:sz w:val="22"/>
        </w:rPr>
        <w:pict>
          <v:rect style="width:0;height:1.5pt" o:hralign="center" o:hrstd="t" o:hr="t"/>
        </w:pict>
      </w:r>
    </w:p>
    <w:p>
      <w:pPr>
        <w:pStyle w:val="Heading2"/>
        <w:spacing w:after="120" w:before="240"/>
      </w:pPr>
      <w:bookmarkStart w:id="70" w:name="启动健康检查与常见问题"/>
      <w:r>
        <w:rPr>
          <w:rFonts w:ascii="Times New Roman" w:hAnsi="Times New Roman" w:eastAsia="宋体" w:cs="Times New Roman"/>
          <w:b/>
          <w:sz w:val="22"/>
        </w:rPr>
        <w:t xml:space="preserve">18. 启动、健康检查与常见问题</w:t>
      </w:r>
      <w:bookmarkEnd w:id="70"/>
    </w:p>
    <w:p>
      <w:pPr>
        <w:pStyle w:val="FirstParagraph"/>
        <w:spacing w:after="120"/>
      </w:pPr>
      <w:r>
        <w:rPr>
          <w:rFonts w:ascii="Times New Roman" w:hAnsi="Times New Roman" w:eastAsia="宋体" w:cs="Times New Roman"/>
          <w:sz w:val="22"/>
        </w:rPr>
        <w:t xml:space="preserve">Docker Compose 一键启动（密钥只放本机</w:t>
      </w:r>
      <w:r>
        <w:rPr>
          <w:rFonts w:ascii="Times New Roman" w:hAnsi="Times New Roman" w:eastAsia="宋体" w:cs="Times New Roman"/>
          <w:sz w:val="22"/>
        </w:rPr>
        <w:t xml:space="preserve"> </w:t>
      </w:r>
      <w:r>
        <w:rPr>
          <w:rStyle w:val="VerbatimChar"/>
          <w:rFonts w:ascii="Times New Roman" w:hAnsi="Times New Roman" w:eastAsia="宋体" w:cs="Times New Roman"/>
          <w:sz w:val="22"/>
        </w:rPr>
        <w:t xml:space="preserve">.env</w:t>
      </w:r>
      <w:r>
        <w:rPr>
          <w:rFonts w:ascii="Times New Roman" w:hAnsi="Times New Roman" w:eastAsia="宋体" w:cs="Times New Roman"/>
          <w:sz w:val="22"/>
        </w:rPr>
        <w:t xml:space="preserve">，不要写进本文或截图）：</w:t>
      </w:r>
    </w:p>
    <w:p>
      <w:pPr>
        <w:pStyle w:val="SourceCode"/>
        <w:spacing w:after="120"/>
      </w:pPr>
      <w:r>
        <w:rPr>
          <w:rStyle w:val="FunctionTok"/>
          <w:rFonts w:ascii="Times New Roman" w:hAnsi="Times New Roman" w:eastAsia="宋体" w:cs="Times New Roman"/>
          <w:sz w:val="22"/>
        </w:rPr>
        <w:t xml:space="preserve">cp</w:t>
      </w:r>
      <w:r>
        <w:rPr>
          <w:rStyle w:val="NormalTok"/>
          <w:rFonts w:ascii="Times New Roman" w:hAnsi="Times New Roman" w:eastAsia="宋体" w:cs="Times New Roman"/>
          <w:sz w:val="22"/>
        </w:rPr>
        <w:t xml:space="preserve"> .env.example .env</w:t>
      </w:r>
      <w:r>
        <w:rPr>
          <w:rFonts w:ascii="Times New Roman" w:hAnsi="Times New Roman" w:eastAsia="宋体" w:cs="Times New Roman"/>
          <w:sz w:val="22"/>
        </w:rPr>
        <w:br/>
      </w:r>
      <w:r>
        <w:rPr>
          <w:rStyle w:val="ExtensionTok"/>
          <w:rFonts w:ascii="Times New Roman" w:hAnsi="Times New Roman" w:eastAsia="宋体" w:cs="Times New Roman"/>
          <w:sz w:val="22"/>
        </w:rPr>
        <w:t xml:space="preserve">docker</w:t>
      </w:r>
      <w:r>
        <w:rPr>
          <w:rStyle w:val="NormalTok"/>
          <w:rFonts w:ascii="Times New Roman" w:hAnsi="Times New Roman" w:eastAsia="宋体" w:cs="Times New Roman"/>
          <w:sz w:val="22"/>
        </w:rPr>
        <w:t xml:space="preserve"> compose up --build -d</w:t>
      </w:r>
      <w:r>
        <w:rPr>
          <w:rFonts w:ascii="Times New Roman" w:hAnsi="Times New Roman" w:eastAsia="宋体" w:cs="Times New Roman"/>
          <w:sz w:val="22"/>
        </w:rPr>
        <w:br/>
      </w:r>
      <w:r>
        <w:rPr>
          <w:rStyle w:val="ExtensionTok"/>
          <w:rFonts w:ascii="Times New Roman" w:hAnsi="Times New Roman" w:eastAsia="宋体" w:cs="Times New Roman"/>
          <w:sz w:val="22"/>
        </w:rPr>
        <w:t xml:space="preserve">curl</w:t>
      </w:r>
      <w:r>
        <w:rPr>
          <w:rStyle w:val="NormalTok"/>
          <w:rFonts w:ascii="Times New Roman" w:hAnsi="Times New Roman" w:eastAsia="宋体" w:cs="Times New Roman"/>
          <w:sz w:val="22"/>
        </w:rPr>
        <w:t xml:space="preserve"> --fail http://127.0.0.1:8083/health/ready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 w:cs="Times New Roman"/>
                <w:sz w:val="22"/>
              </w:rPr>
              <w:t xml:space="preserve">现象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 w:cs="Times New Roman"/>
                <w:sz w:val="22"/>
              </w:rPr>
              <w:t xml:space="preserve">处理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宋体" w:cs="Times New Roman"/>
                <w:sz w:val="22"/>
              </w:rPr>
              <w:t xml:space="preserve">打不开页面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宋体" w:cs="Times New Roman"/>
                <w:sz w:val="22"/>
              </w:rPr>
              <w:t xml:space="preserve">docker compose ps</w:t>
            </w:r>
            <w:r>
              <w:rPr>
                <w:rFonts w:ascii="Times New Roman" w:hAnsi="Times New Roman" w:eastAsia="宋体" w:cs="Times New Roman"/>
                <w:sz w:val="22"/>
              </w:rPr>
              <w:t xml:space="preserve">，看 frontend / backend 是否 healthy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宋体" w:cs="Times New Roman"/>
                <w:sz w:val="22"/>
              </w:rPr>
              <w:t xml:space="preserve">登录 401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宋体" w:cs="Times New Roman"/>
                <w:sz w:val="22"/>
              </w:rPr>
              <w:t xml:space="preserve">邮箱是否已审批；管理员是否误走了企业登录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宋体" w:cs="Times New Roman"/>
                <w:sz w:val="22"/>
              </w:rPr>
              <w:t xml:space="preserve">分析一直排队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宋体" w:cs="Times New Roman"/>
                <w:sz w:val="22"/>
              </w:rPr>
              <w:t xml:space="preserve">Worker 是否在跑；模型额度是否用尽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宋体" w:cs="Times New Roman"/>
                <w:sz w:val="22"/>
              </w:rPr>
              <w:t xml:space="preserve">预测启动失败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宋体" w:cs="Times New Roman"/>
                <w:sz w:val="22"/>
              </w:rPr>
              <w:t xml:space="preserve">SKU 是否在训练目录中；冷启动需填基准销量或参考 SKU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宋体" w:cs="Times New Roman"/>
                <w:sz w:val="22"/>
              </w:rPr>
              <w:t xml:space="preserve">采集 0 条仍显示成功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宋体" w:cs="Times New Roman"/>
                <w:sz w:val="22"/>
              </w:rPr>
              <w:t xml:space="preserve">当前版本应记失败；若仍成功请带任务 UUID 和</w:t>
            </w:r>
            <w:r>
              <w:rPr>
                <w:rFonts w:ascii="Times New Roman" w:hAnsi="Times New Roman" w:eastAsia="宋体" w:cs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宋体" w:cs="Times New Roman"/>
                <w:sz w:val="22"/>
              </w:rPr>
              <w:t xml:space="preserve">X-Request-ID</w:t>
            </w:r>
            <w:r>
              <w:rPr>
                <w:rFonts w:ascii="Times New Roman" w:hAnsi="Times New Roman" w:eastAsia="宋体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2"/>
              </w:rPr>
              <w:t xml:space="preserve">反馈</w:t>
            </w:r>
          </w:p>
        </w:tc>
      </w:tr>
    </w:tbl>
    <w:p>
      <w:pPr>
        <w:pStyle w:val="BodyTex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反馈时提供：页面名称、时间、任务或报告 UUID、响应头</w:t>
      </w:r>
      <w:r>
        <w:rPr>
          <w:rFonts w:ascii="Times New Roman" w:hAnsi="Times New Roman" w:eastAsia="宋体" w:cs="Times New Roman"/>
          <w:sz w:val="22"/>
        </w:rPr>
        <w:t xml:space="preserve"> </w:t>
      </w:r>
      <w:r>
        <w:rPr>
          <w:rStyle w:val="VerbatimChar"/>
          <w:rFonts w:ascii="Times New Roman" w:hAnsi="Times New Roman" w:eastAsia="宋体" w:cs="Times New Roman"/>
          <w:sz w:val="22"/>
        </w:rPr>
        <w:t xml:space="preserve">X-Request-ID</w:t>
      </w:r>
      <w:r>
        <w:rPr>
          <w:rFonts w:ascii="Times New Roman" w:hAnsi="Times New Roman" w:eastAsia="宋体" w:cs="Times New Roman"/>
          <w:sz w:val="22"/>
        </w:rPr>
        <w:t xml:space="preserve">。不要发送密码、Token 或完整客户数据。</w:t>
      </w:r>
    </w:p>
    <w:p>
      <w:pPr>
        <w:pStyle w:val="BodyText"/>
        <w:spacing w:after="120"/>
      </w:pPr>
      <w:r>
        <w:rPr>
          <w:rFonts w:ascii="Times New Roman" w:hAnsi="Times New Roman" w:eastAsia="宋体" w:cs="Times New Roman"/>
          <w:sz w:val="22"/>
        </w:rPr>
        <w:t xml:space="preserve">FurniScope 是决策支持，不替代开模、认证、备料或下单。所有查询带租户隔离。生产部署见</w:t>
      </w:r>
      <w:r>
        <w:rPr>
          <w:rFonts w:ascii="Times New Roman" w:hAnsi="Times New Roman" w:eastAsia="宋体" w:cs="Times New Roman"/>
          <w:sz w:val="22"/>
        </w:rPr>
        <w:t xml:space="preserve"> </w:t>
      </w:r>
      <w:hyperlink r:id="rId71">
        <w:r>
          <w:rPr>
            <w:rStyle w:val="Hyperlink"/>
          </w:rPr>
          <w:t xml:space="preserve">FurniScope_生产部署指南.md</w:t>
        </w:r>
      </w:hyperlink>
      <w:r>
        <w:rPr>
          <w:rFonts w:ascii="Times New Roman" w:hAnsi="Times New Roman" w:eastAsia="宋体" w:cs="Times New Roman"/>
          <w:sz w:val="22"/>
        </w:rPr>
        <w:t xml:space="preserve">。</w:t>
      </w:r>
    </w:p>
    <w:p>
      <w:pPr>
        <w:spacing w:after="120"/>
      </w:pPr>
      <w:r>
        <w:rPr>
          <w:rFonts w:ascii="Times New Roman" w:hAnsi="Times New Roman" w:eastAsia="宋体" w:cs="Times New Roman"/>
          <w:sz w:val="22"/>
        </w:rPr>
        <w:pict>
          <v:rect style="width:0;height:1.5pt" o:hralign="center" o:hrstd="t" o:hr="t"/>
        </w:pict>
      </w:r>
    </w:p>
    <w:p>
      <w:pPr>
        <w:pStyle w:val="Heading2"/>
        <w:spacing w:after="120" w:before="240"/>
      </w:pPr>
      <w:bookmarkStart w:id="72" w:name="相关文档"/>
      <w:r>
        <w:rPr>
          <w:rFonts w:ascii="Times New Roman" w:hAnsi="Times New Roman" w:eastAsia="宋体" w:cs="Times New Roman"/>
          <w:b/>
          <w:sz w:val="22"/>
        </w:rPr>
        <w:t xml:space="preserve">19. 相关文档</w:t>
      </w:r>
      <w:bookmarkEnd w:id="7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 w:cs="Times New Roman"/>
                <w:sz w:val="22"/>
              </w:rPr>
              <w:t xml:space="preserve">文档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宋体" w:cs="Times New Roman"/>
                <w:sz w:val="22"/>
              </w:rP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hyperlink r:id="rId73">
              <w:r>
                <w:rPr>
                  <w:rStyle w:val="Hyperlink"/>
                </w:rPr>
                <w:t xml:space="preserve">README.md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宋体" w:cs="Times New Roman"/>
                <w:sz w:val="22"/>
              </w:rPr>
              <w:t xml:space="preserve">产品定位与快速开始</w:t>
            </w:r>
          </w:p>
        </w:tc>
      </w:tr>
      <w:tr>
        <w:tc>
          <w:p>
            <w:pPr>
              <w:pStyle w:val="Compact"/>
              <w:jc w:val="left"/>
            </w:pPr>
            <w:hyperlink r:id="rId60">
              <w:r>
                <w:rPr>
                  <w:rStyle w:val="Hyperlink"/>
                </w:rPr>
                <w:t xml:space="preserve">04_市场洞察四项功能测试指南.md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宋体" w:cs="Times New Roman"/>
                <w:sz w:val="22"/>
              </w:rPr>
              <w:t xml:space="preserve">竞品变更、评论舆情逐步验收</w:t>
            </w:r>
          </w:p>
        </w:tc>
      </w:tr>
      <w:tr>
        <w:tc>
          <w:p>
            <w:pPr>
              <w:pStyle w:val="Compact"/>
              <w:jc w:val="left"/>
            </w:pPr>
            <w:hyperlink r:id="rId74">
              <w:r>
                <w:rPr>
                  <w:rStyle w:val="Hyperlink"/>
                </w:rPr>
                <w:t xml:space="preserve">客户接入指南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宋体" w:cs="Times New Roman"/>
                <w:sz w:val="22"/>
              </w:rPr>
              <w:t xml:space="preserve">数据准备与质量要求</w:t>
            </w:r>
          </w:p>
        </w:tc>
      </w:tr>
      <w:tr>
        <w:tc>
          <w:p>
            <w:pPr>
              <w:pStyle w:val="Compact"/>
              <w:jc w:val="left"/>
            </w:pPr>
            <w:hyperlink r:id="rId75">
              <w:r>
                <w:rPr>
                  <w:rStyle w:val="Hyperlink"/>
                </w:rPr>
                <w:t xml:space="preserve">技术架构及调用模型说明.md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宋体" w:cs="Times New Roman"/>
                <w:sz w:val="22"/>
              </w:rPr>
              <w:t xml:space="preserve">模型与调用链</w:t>
            </w:r>
          </w:p>
        </w:tc>
      </w:tr>
    </w:tbl>
    <w:sectPr>
      <w:pgSz w:w="11906" w:h="16838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 w:ascii="Times New Roman" w:hAnsi="Times New Roman" w:eastAsia="宋体" w:cs="Times New Roman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eastAsia="宋体" w:cs="Times New Roman"/>
      <w:b w:val="0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Times New Roman" w:hAnsi="Times New Roman" w:eastAsia="宋体" w:cs="Times New Roman"/>
      <w:b w:val="0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eastAsia="宋体" w:cs="Times New Roman"/>
      <w:b w:val="0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eastAsia="宋体" w:cs="Times New Roman"/>
      <w:b w:val="0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345A8A" w:themeColor="accent1" w:themeShade="B5"/>
      <w:sz w:val="2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Times New Roman" w:hAnsi="Times New Roman" w:eastAsia="宋体" w:cs="Times New Roman"/>
      <w:b w:val="0"/>
      <w:sz w:val="22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宋体" w:cs="Times New Roman"/>
      <w:b w:val="0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eastAsia="宋体" w:cs="Times New Roman"/>
      <w:b w:val="0"/>
      <w:i/>
      <w:sz w:val="22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宋体" w:cs="Times New Roman"/>
      <w:b w:val="0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imes New Roman" w:hAnsi="Times New Roman" w:eastAsia="宋体" w:cs="Times New Roman"/>
      <w:b/>
      <w:bCs w:val="0"/>
      <w:color w:val="365F91" w:themeColor="accent1" w:themeShade="BF"/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宋体" w:cs="Times New Roman"/>
      <w:b w:val="0"/>
      <w:sz w:val="22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png"/><Relationship Id="rId25" Type="http://schemas.openxmlformats.org/officeDocument/2006/relationships/image" Target="media/rId25.png"/><Relationship Id="rId27" Type="http://schemas.openxmlformats.org/officeDocument/2006/relationships/image" Target="media/rId27.png"/><Relationship Id="rId29" Type="http://schemas.openxmlformats.org/officeDocument/2006/relationships/image" Target="media/rId29.png"/><Relationship Id="rId31" Type="http://schemas.openxmlformats.org/officeDocument/2006/relationships/image" Target="media/rId31.png"/><Relationship Id="rId33" Type="http://schemas.openxmlformats.org/officeDocument/2006/relationships/image" Target="media/rId33.png"/><Relationship Id="rId35" Type="http://schemas.openxmlformats.org/officeDocument/2006/relationships/image" Target="media/rId35.png"/><Relationship Id="rId37" Type="http://schemas.openxmlformats.org/officeDocument/2006/relationships/image" Target="media/rId37.png"/><Relationship Id="rId39" Type="http://schemas.openxmlformats.org/officeDocument/2006/relationships/image" Target="media/rId39.png"/><Relationship Id="rId41" Type="http://schemas.openxmlformats.org/officeDocument/2006/relationships/image" Target="media/rId41.png"/><Relationship Id="rId43" Type="http://schemas.openxmlformats.org/officeDocument/2006/relationships/image" Target="media/rId43.png"/><Relationship Id="rId45" Type="http://schemas.openxmlformats.org/officeDocument/2006/relationships/image" Target="media/rId45.png"/><Relationship Id="rId47" Type="http://schemas.openxmlformats.org/officeDocument/2006/relationships/image" Target="media/rId47.png"/><Relationship Id="rId49" Type="http://schemas.openxmlformats.org/officeDocument/2006/relationships/image" Target="media/rId49.png"/><Relationship Id="rId51" Type="http://schemas.openxmlformats.org/officeDocument/2006/relationships/image" Target="media/rId51.png"/><Relationship Id="rId53" Type="http://schemas.openxmlformats.org/officeDocument/2006/relationships/image" Target="media/rId53.png"/><Relationship Id="rId55" Type="http://schemas.openxmlformats.org/officeDocument/2006/relationships/image" Target="media/rId55.png"/><Relationship Id="rId57" Type="http://schemas.openxmlformats.org/officeDocument/2006/relationships/image" Target="media/rId57.png"/><Relationship Id="rId59" Type="http://schemas.openxmlformats.org/officeDocument/2006/relationships/image" Target="media/rId59.png"/><Relationship Id="rId62" Type="http://schemas.openxmlformats.org/officeDocument/2006/relationships/image" Target="media/rId62.png"/><Relationship Id="rId64" Type="http://schemas.openxmlformats.org/officeDocument/2006/relationships/image" Target="media/rId64.png"/><Relationship Id="rId66" Type="http://schemas.openxmlformats.org/officeDocument/2006/relationships/image" Target="media/rId66.png"/><Relationship Id="rId68" Type="http://schemas.openxmlformats.org/officeDocument/2006/relationships/image" Target="media/rId68.png"/><Relationship Id="rId73" Type="http://schemas.openxmlformats.org/officeDocument/2006/relationships/hyperlink" Target="../../README.md" TargetMode="External"/><Relationship Id="rId74" Type="http://schemas.openxmlformats.org/officeDocument/2006/relationships/hyperlink" Target="../&#24320;&#21457;&#25991;&#26723;/FurniScope_&#23458;&#25143;&#25509;&#20837;&#25351;&#21335;.md" TargetMode="External"/><Relationship Id="rId71" Type="http://schemas.openxmlformats.org/officeDocument/2006/relationships/hyperlink" Target="../&#24320;&#21457;&#25991;&#26723;/FurniScope_&#29983;&#20135;&#37096;&#32626;&#25351;&#21335;.md" TargetMode="External"/><Relationship Id="rId75" Type="http://schemas.openxmlformats.org/officeDocument/2006/relationships/hyperlink" Target="../&#25216;&#26415;&#26550;&#26500;&#21450;&#35843;&#29992;&#27169;&#22411;&#35828;&#26126;.md" TargetMode="External"/><Relationship Id="rId60" Type="http://schemas.openxmlformats.org/officeDocument/2006/relationships/hyperlink" Target="04_&#24066;&#22330;&#27934;&#23519;&#22235;&#39033;&#21151;&#33021;&#27979;&#35797;&#25351;&#21335;.md" TargetMode="External"/><Relationship Id="rId21" Type="http://schemas.openxmlformats.org/officeDocument/2006/relationships/hyperlink" Target="http://127.0.0.1:8083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../../README.md" TargetMode="External"/><Relationship Id="rId74" Type="http://schemas.openxmlformats.org/officeDocument/2006/relationships/hyperlink" Target="../&#24320;&#21457;&#25991;&#26723;/FurniScope_&#23458;&#25143;&#25509;&#20837;&#25351;&#21335;.md" TargetMode="External"/><Relationship Id="rId71" Type="http://schemas.openxmlformats.org/officeDocument/2006/relationships/hyperlink" Target="../&#24320;&#21457;&#25991;&#26723;/FurniScope_&#29983;&#20135;&#37096;&#32626;&#25351;&#21335;.md" TargetMode="External"/><Relationship Id="rId75" Type="http://schemas.openxmlformats.org/officeDocument/2006/relationships/hyperlink" Target="../&#25216;&#26415;&#26550;&#26500;&#21450;&#35843;&#29992;&#27169;&#22411;&#35828;&#26126;.md" TargetMode="External"/><Relationship Id="rId60" Type="http://schemas.openxmlformats.org/officeDocument/2006/relationships/hyperlink" Target="04_&#24066;&#22330;&#27934;&#23519;&#22235;&#39033;&#21151;&#33021;&#27979;&#35797;&#25351;&#21335;.md" TargetMode="External"/><Relationship Id="rId21" Type="http://schemas.openxmlformats.org/officeDocument/2006/relationships/hyperlink" Target="http://127.0.0.1:80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2026-09-15T05:59:29Z</dcterms:created>
  <dcterms:modified xsi:type="dcterms:W3CDTF">2026-09-15T05:59:29Z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