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0F766E"/>
          <w:sz w:val="30"/>
        </w:rPr>
        <w:t>FURNISCOPE</w:t>
      </w:r>
    </w:p>
    <w:p>
      <w:pPr>
        <w:spacing w:before="440" w:after="280"/>
        <w:jc w:val="center"/>
      </w:pPr>
      <w:r>
        <w:rPr>
          <w:rFonts w:ascii="微软雅黑" w:hAnsi="微软雅黑" w:eastAsia="微软雅黑"/>
          <w:b/>
          <w:color w:val="24343B"/>
          <w:sz w:val="60"/>
        </w:rPr>
        <w:t>核心功能清单</w:t>
      </w:r>
    </w:p>
    <w:p>
      <w:pPr>
        <w:jc w:val="center"/>
      </w:pPr>
      <w:r>
        <w:rPr>
          <w:rFonts w:ascii="微软雅黑" w:hAnsi="微软雅黑" w:eastAsia="微软雅黑"/>
          <w:b w:val="0"/>
          <w:color w:val="64748B"/>
          <w:sz w:val="26"/>
        </w:rPr>
        <w:t>用户端 · AI 分析 · 市场数据 · 销量预测 · 管理端 · 平台能力</w:t>
      </w:r>
    </w:p>
    <w:p>
      <w:pPr>
        <w:jc w:val="center"/>
      </w:pPr>
      <w:r>
        <w:rPr>
          <w:rFonts w:ascii="微软雅黑" w:hAnsi="微软雅黑" w:eastAsia="微软雅黑"/>
          <w:b w:val="0"/>
          <w:color w:val="F28C45"/>
          <w:sz w:val="18"/>
        </w:rPr>
        <w:t>━━━━━━━━━━━━━━━━━━━━━━━━</w:t>
      </w:r>
    </w:p>
    <w:p/>
    <w:p/>
    <w:p/>
    <w:p/>
    <w:p/>
    <w:p/>
    <w:p/>
    <w:p>
      <w:pPr>
        <w:jc w:val="center"/>
      </w:pPr>
      <w:r>
        <w:rPr>
          <w:rFonts w:ascii="微软雅黑" w:hAnsi="微软雅黑" w:eastAsia="微软雅黑"/>
          <w:b w:val="0"/>
          <w:color w:val="24343B"/>
          <w:sz w:val="22"/>
        </w:rPr>
        <w:t>版本口径：当前仓库实现</w:t>
      </w:r>
    </w:p>
    <w:p>
      <w:pPr>
        <w:jc w:val="center"/>
      </w:pPr>
      <w:r>
        <w:rPr>
          <w:rFonts w:ascii="微软雅黑" w:hAnsi="微软雅黑" w:eastAsia="微软雅黑"/>
          <w:b w:val="0"/>
          <w:color w:val="24343B"/>
          <w:sz w:val="22"/>
        </w:rPr>
        <w:t>核对日期：2026-09-15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Microsoft Word 打开文档时自动更新。</w:t>
        <w:fldChar w:fldCharType="end"/>
      </w:r>
    </w:p>
    <w:p>
      <w:r>
        <w:br w:type="page"/>
      </w:r>
    </w:p>
    <w:p>
      <w:pPr>
        <w:pStyle w:val="Heading1"/>
      </w:pPr>
      <w:r>
        <w:t>1. 文档说明</w:t>
      </w:r>
    </w:p>
    <w:p>
      <w:pPr>
        <w:ind w:firstLine="420"/>
      </w:pPr>
      <w:r>
        <w:rPr>
          <w:rFonts w:ascii="微软雅黑" w:hAnsi="微软雅黑" w:eastAsia="微软雅黑"/>
          <w:b w:val="0"/>
          <w:color w:val="24343B"/>
          <w:sz w:val="21"/>
        </w:rPr>
        <w:t>本文档依据当前仓库代码、数据库 DDL、运行配置和前端入口整理，用于产品介绍、项目验收、赛事材料和交付范围确认。清单中的“已实现”表示仓库存在可执行前后端或服务逻辑；“配置依赖”表示功能还需要模型密钥、Redis、授权数据或部署 Profile 才能运行。</w:t>
      </w:r>
    </w:p>
    <w:p>
      <w:pPr>
        <w:spacing w:before="80"/>
      </w:pPr>
      <w:r>
        <w:rPr>
          <w:rFonts w:ascii="微软雅黑" w:hAnsi="微软雅黑" w:eastAsia="微软雅黑"/>
          <w:b/>
          <w:color w:val="0F766E"/>
          <w:sz w:val="18"/>
        </w:rPr>
        <w:t>● 已实现</w:t>
      </w:r>
      <w:r>
        <w:rPr>
          <w:rFonts w:ascii="微软雅黑" w:hAnsi="微软雅黑" w:eastAsia="微软雅黑"/>
          <w:color w:val="24343B"/>
          <w:sz w:val="18"/>
        </w:rPr>
        <w:t xml:space="preserve">    </w:t>
      </w:r>
      <w:r>
        <w:rPr>
          <w:rFonts w:ascii="微软雅黑" w:hAnsi="微软雅黑" w:eastAsia="微软雅黑"/>
          <w:b/>
          <w:color w:val="2B6CB0"/>
          <w:sz w:val="18"/>
        </w:rPr>
        <w:t>● 已实现（配置依赖）</w:t>
      </w:r>
      <w:r>
        <w:rPr>
          <w:rFonts w:ascii="微软雅黑" w:hAnsi="微软雅黑" w:eastAsia="微软雅黑"/>
          <w:color w:val="24343B"/>
          <w:sz w:val="18"/>
        </w:rPr>
        <w:t xml:space="preserve">    </w:t>
      </w:r>
      <w:r>
        <w:rPr>
          <w:rFonts w:ascii="微软雅黑" w:hAnsi="微软雅黑" w:eastAsia="微软雅黑"/>
          <w:b/>
          <w:color w:val="F28C45"/>
          <w:sz w:val="18"/>
        </w:rPr>
        <w:t>● 开发/测试已实现</w:t>
      </w:r>
      <w:r>
        <w:rPr>
          <w:rFonts w:ascii="微软雅黑" w:hAnsi="微软雅黑" w:eastAsia="微软雅黑"/>
          <w:color w:val="24343B"/>
          <w:sz w:val="18"/>
        </w:rPr>
        <w:t xml:space="preserve">    </w:t>
      </w:r>
      <w:r>
        <w:rPr>
          <w:rFonts w:ascii="微软雅黑" w:hAnsi="微软雅黑" w:eastAsia="微软雅黑"/>
          <w:b/>
          <w:color w:val="64748B"/>
          <w:sz w:val="18"/>
        </w:rPr>
        <w:t>● 尚待生产补齐</w:t>
      </w:r>
    </w:p>
    <w:p>
      <w:pPr>
        <w:pStyle w:val="Heading1"/>
      </w:pPr>
      <w:r>
        <w:t>2. 功能总览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191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模块编号</w:t>
            </w:r>
          </w:p>
        </w:tc>
        <w:tc>
          <w:tcPr>
            <w:tcW w:type="dxa" w:w="2381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一级模块</w:t>
            </w:r>
          </w:p>
        </w:tc>
        <w:tc>
          <w:tcPr>
            <w:tcW w:type="dxa" w:w="1417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核心功能数</w:t>
            </w:r>
          </w:p>
        </w:tc>
        <w:tc>
          <w:tcPr>
            <w:tcW w:type="dxa" w:w="4535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能力摘要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01</w:t>
            </w:r>
          </w:p>
        </w:tc>
        <w:tc>
          <w:tcPr>
            <w:tcW w:type="dxa" w:w="238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8"/>
              </w:rPr>
              <w:t>账号、认证与角色</w:t>
            </w:r>
          </w:p>
        </w:tc>
        <w:tc>
          <w:tcPr>
            <w:tcW w:type="dxa" w:w="141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8"/>
              </w:rPr>
              <w:t>5</w:t>
            </w:r>
          </w:p>
        </w:tc>
        <w:tc>
          <w:tcPr>
            <w:tcW w:type="dxa" w:w="453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8"/>
              </w:rPr>
              <w:t>企业用户登录、平台管理员独立登录、企业注册申请等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02</w:t>
            </w:r>
          </w:p>
        </w:tc>
        <w:tc>
          <w:tcPr>
            <w:tcW w:type="dxa" w:w="238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8"/>
              </w:rPr>
              <w:t>首页与运营总览</w:t>
            </w:r>
          </w:p>
        </w:tc>
        <w:tc>
          <w:tcPr>
            <w:tcW w:type="dxa" w:w="141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8"/>
              </w:rPr>
              <w:t>4</w:t>
            </w:r>
          </w:p>
        </w:tc>
        <w:tc>
          <w:tcPr>
            <w:tcW w:type="dxa" w:w="453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8"/>
              </w:rPr>
              <w:t>运营首页、AI 工作流任务列表、结果快照下钻等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03</w:t>
            </w:r>
          </w:p>
        </w:tc>
        <w:tc>
          <w:tcPr>
            <w:tcW w:type="dxa" w:w="238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8"/>
              </w:rPr>
              <w:t>产品中心</w:t>
            </w:r>
          </w:p>
        </w:tc>
        <w:tc>
          <w:tcPr>
            <w:tcW w:type="dxa" w:w="141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8"/>
              </w:rPr>
              <w:t>6</w:t>
            </w:r>
          </w:p>
        </w:tc>
        <w:tc>
          <w:tcPr>
            <w:tcW w:type="dxa" w:w="453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8"/>
              </w:rPr>
              <w:t>产品列表与筛选、单产品创建与维护、产品详情与画像抽屉等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04</w:t>
            </w:r>
          </w:p>
        </w:tc>
        <w:tc>
          <w:tcPr>
            <w:tcW w:type="dxa" w:w="238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8"/>
              </w:rPr>
              <w:t>AI 工作台与分析会话</w:t>
            </w:r>
          </w:p>
        </w:tc>
        <w:tc>
          <w:tcPr>
            <w:tcW w:type="dxa" w:w="141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8"/>
              </w:rPr>
              <w:t>7</w:t>
            </w:r>
          </w:p>
        </w:tc>
        <w:tc>
          <w:tcPr>
            <w:tcW w:type="dxa" w:w="453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8"/>
              </w:rPr>
              <w:t>双分析入口、工作区创建与历史、工作区消息等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05</w:t>
            </w:r>
          </w:p>
        </w:tc>
        <w:tc>
          <w:tcPr>
            <w:tcW w:type="dxa" w:w="238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8"/>
              </w:rPr>
              <w:t>市场数据集管理</w:t>
            </w:r>
          </w:p>
        </w:tc>
        <w:tc>
          <w:tcPr>
            <w:tcW w:type="dxa" w:w="141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8"/>
              </w:rPr>
              <w:t>7</w:t>
            </w:r>
          </w:p>
        </w:tc>
        <w:tc>
          <w:tcPr>
            <w:tcW w:type="dxa" w:w="453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8"/>
              </w:rPr>
              <w:t>授权数据集创建、导入模板下载、CSV/JSON/XLSX 导入等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06</w:t>
            </w:r>
          </w:p>
        </w:tc>
        <w:tc>
          <w:tcPr>
            <w:tcW w:type="dxa" w:w="238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8"/>
              </w:rPr>
              <w:t>Agent 市场分析引擎</w:t>
            </w:r>
          </w:p>
        </w:tc>
        <w:tc>
          <w:tcPr>
            <w:tcW w:type="dxa" w:w="141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8"/>
              </w:rPr>
              <w:t>10</w:t>
            </w:r>
          </w:p>
        </w:tc>
        <w:tc>
          <w:tcPr>
            <w:tcW w:type="dxa" w:w="453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8"/>
              </w:rPr>
              <w:t>分析前置检查、竞品确定性过滤、Embedding 相似度等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07</w:t>
            </w:r>
          </w:p>
        </w:tc>
        <w:tc>
          <w:tcPr>
            <w:tcW w:type="dxa" w:w="238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8"/>
              </w:rPr>
              <w:t>市场洞察与竞品跟踪</w:t>
            </w:r>
          </w:p>
        </w:tc>
        <w:tc>
          <w:tcPr>
            <w:tcW w:type="dxa" w:w="141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8"/>
              </w:rPr>
              <w:t>6</w:t>
            </w:r>
          </w:p>
        </w:tc>
        <w:tc>
          <w:tcPr>
            <w:tcW w:type="dxa" w:w="453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8"/>
              </w:rPr>
              <w:t>竞品集合查看、评论观点与原文证据、需求聚类与市场机会等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08</w:t>
            </w:r>
          </w:p>
        </w:tc>
        <w:tc>
          <w:tcPr>
            <w:tcW w:type="dxa" w:w="238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8"/>
              </w:rPr>
              <w:t>决策报告与工作日记</w:t>
            </w:r>
          </w:p>
        </w:tc>
        <w:tc>
          <w:tcPr>
            <w:tcW w:type="dxa" w:w="141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8"/>
              </w:rPr>
              <w:t>5</w:t>
            </w:r>
          </w:p>
        </w:tc>
        <w:tc>
          <w:tcPr>
            <w:tcW w:type="dxa" w:w="453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8"/>
              </w:rPr>
              <w:t>报告库、报告详情、报告证据追踪等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09</w:t>
            </w:r>
          </w:p>
        </w:tc>
        <w:tc>
          <w:tcPr>
            <w:tcW w:type="dxa" w:w="238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8"/>
              </w:rPr>
              <w:t>销量预测与模型训练</w:t>
            </w:r>
          </w:p>
        </w:tc>
        <w:tc>
          <w:tcPr>
            <w:tcW w:type="dxa" w:w="141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8"/>
              </w:rPr>
              <w:t>8</w:t>
            </w:r>
          </w:p>
        </w:tc>
        <w:tc>
          <w:tcPr>
            <w:tcW w:type="dxa" w:w="453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8"/>
              </w:rPr>
              <w:t>预测模型状态、预测 SKU 与站点选择、日/周/高级业务预测等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10</w:t>
            </w:r>
          </w:p>
        </w:tc>
        <w:tc>
          <w:tcPr>
            <w:tcW w:type="dxa" w:w="238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8"/>
              </w:rPr>
              <w:t>平台管理端</w:t>
            </w:r>
          </w:p>
        </w:tc>
        <w:tc>
          <w:tcPr>
            <w:tcW w:type="dxa" w:w="141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8"/>
              </w:rPr>
              <w:t>6</w:t>
            </w:r>
          </w:p>
        </w:tc>
        <w:tc>
          <w:tcPr>
            <w:tcW w:type="dxa" w:w="453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8"/>
              </w:rPr>
              <w:t>企业用户管理、注册申请审批、企业账号创建与修改等</w:t>
            </w:r>
          </w:p>
        </w:tc>
      </w:tr>
      <w:tr>
        <w:trPr>
          <w:cantSplit/>
        </w:trPr>
        <w:tc>
          <w:tcPr>
            <w:tcW w:type="dxa" w:w="119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11</w:t>
            </w:r>
          </w:p>
        </w:tc>
        <w:tc>
          <w:tcPr>
            <w:tcW w:type="dxa" w:w="238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8"/>
              </w:rPr>
              <w:t>平台基础能力</w:t>
            </w:r>
          </w:p>
        </w:tc>
        <w:tc>
          <w:tcPr>
            <w:tcW w:type="dxa" w:w="141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8"/>
              </w:rPr>
              <w:t>8</w:t>
            </w:r>
          </w:p>
        </w:tc>
        <w:tc>
          <w:tcPr>
            <w:tcW w:type="dxa" w:w="453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8"/>
              </w:rPr>
              <w:t>持久化幂等、Redis 异步任务、LangGraph Checkpoint等</w:t>
            </w:r>
          </w:p>
        </w:tc>
      </w:tr>
    </w:tbl>
    <w:p>
      <w:pPr>
        <w:ind w:firstLine="420"/>
      </w:pPr>
      <w:r>
        <w:rPr>
          <w:rFonts w:ascii="微软雅黑" w:hAnsi="微软雅黑" w:eastAsia="微软雅黑"/>
          <w:b w:val="0"/>
          <w:color w:val="24343B"/>
          <w:sz w:val="21"/>
        </w:rPr>
        <w:t>本清单共归纳 11 个一级模块、72 项核心功能。状态以代码实现为准，不把历史设计、候选模型或尚未接入的外部能力计为已完成。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134" w:bottom="1020" w:left="1247" w:header="425" w:footer="425" w:gutter="0"/>
          <w:cols w:space="720"/>
          <w:docGrid w:linePitch="360"/>
        </w:sectPr>
      </w:pPr>
    </w:p>
    <w:p>
      <w:pPr>
        <w:pStyle w:val="Heading1"/>
      </w:pPr>
      <w:r>
        <w:t>3. 核心功能明细</w:t>
      </w:r>
    </w:p>
    <w:p>
      <w:pPr>
        <w:pStyle w:val="Heading2"/>
      </w:pPr>
      <w:r>
        <w:t>3.1 账号、认证与角色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1"/>
        <w:gridCol w:w="2171"/>
        <w:gridCol w:w="2171"/>
        <w:gridCol w:w="2171"/>
        <w:gridCol w:w="2171"/>
        <w:gridCol w:w="2171"/>
        <w:gridCol w:w="2171"/>
      </w:tblGrid>
      <w:tr>
        <w:trPr>
          <w:tblHeader w:val="true"/>
          <w:cantSplit/>
        </w:trPr>
        <w:tc>
          <w:tcPr>
            <w:tcW w:type="dxa" w:w="822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701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核心功能</w:t>
            </w:r>
          </w:p>
        </w:tc>
        <w:tc>
          <w:tcPr>
            <w:tcW w:type="dxa" w:w="1757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使用角色 / 入口</w:t>
            </w:r>
          </w:p>
        </w:tc>
        <w:tc>
          <w:tcPr>
            <w:tcW w:type="dxa" w:w="3458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功能说明</w:t>
            </w:r>
          </w:p>
        </w:tc>
        <w:tc>
          <w:tcPr>
            <w:tcW w:type="dxa" w:w="2438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关键输入 / 依赖</w:t>
            </w:r>
          </w:p>
        </w:tc>
        <w:tc>
          <w:tcPr>
            <w:tcW w:type="dxa" w:w="3118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主要结果 / 验收要点</w:t>
            </w:r>
          </w:p>
        </w:tc>
        <w:tc>
          <w:tcPr>
            <w:tcW w:type="dxa" w:w="1361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当前状态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F-001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企业用户登录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登录页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使用企业邮箱和密码登录业务系统；仅允许普通企业用户进入业务端。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有效企业账号、密码、启用中的租户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返回 RS256 Access Token、轮换用 Refresh Token和用户信息；错误账号统一提示。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F-002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平台管理员独立登录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管理员 / Admin 入口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管理员使用独立入口登录，前端不提供用户角色选择器。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管理员邮箱、密码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仅 role_code=admin 可进入管理端；普通用户被拒绝。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F-003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企业注册申请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访客 / 注册页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提交企业名称、联系人、企业邮箱和密码，生成待审核注册申请。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企业资料、联系人、密码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申请状态为 pending，等待平台管理员审批。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F-004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令牌刷新与退出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已登录用户 / 全局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Access Token 临近过期或返回 401 时自动刷新；退出时撤销会话并清理浏览器 Token。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Refresh Token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新 Access/Refresh Token 或登录过期状态。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F-005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租户与角色二次校验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所有受保护 API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JWT 身份与数据库用户、租户状态二次核对，用户业务 API 与 Admin API 分离。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JWT Claims、数据库用户/租户状态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生成 tenant_id 范围的 Principal；停用用户或租户被拒绝。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</w:tbl>
    <w:p>
      <w:pPr>
        <w:pStyle w:val="Heading2"/>
      </w:pPr>
      <w:r>
        <w:t>3.2 首页与运营总览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1"/>
        <w:gridCol w:w="2171"/>
        <w:gridCol w:w="2171"/>
        <w:gridCol w:w="2171"/>
        <w:gridCol w:w="2171"/>
        <w:gridCol w:w="2171"/>
        <w:gridCol w:w="2171"/>
      </w:tblGrid>
      <w:tr>
        <w:trPr>
          <w:tblHeader w:val="true"/>
          <w:cantSplit/>
        </w:trPr>
        <w:tc>
          <w:tcPr>
            <w:tcW w:type="dxa" w:w="822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701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核心功能</w:t>
            </w:r>
          </w:p>
        </w:tc>
        <w:tc>
          <w:tcPr>
            <w:tcW w:type="dxa" w:w="1757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使用角色 / 入口</w:t>
            </w:r>
          </w:p>
        </w:tc>
        <w:tc>
          <w:tcPr>
            <w:tcW w:type="dxa" w:w="3458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功能说明</w:t>
            </w:r>
          </w:p>
        </w:tc>
        <w:tc>
          <w:tcPr>
            <w:tcW w:type="dxa" w:w="2438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关键输入 / 依赖</w:t>
            </w:r>
          </w:p>
        </w:tc>
        <w:tc>
          <w:tcPr>
            <w:tcW w:type="dxa" w:w="3118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主要结果 / 验收要点</w:t>
            </w:r>
          </w:p>
        </w:tc>
        <w:tc>
          <w:tcPr>
            <w:tcW w:type="dxa" w:w="1361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当前状态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F-006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运营首页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首页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展示与当前企业数据一致的任务、产品、结果与近期报告概览。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当前 tenant_id 的业务数据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四类摘要信息及可下钻入口。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F-007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AI 工作流任务列表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首页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按任务展示产品身份、当前状态、五阶段进度和更新时间。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分析任务与阶段状态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草稿、排队、执行、待确认、部分完成、成功、失败或取消状态。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F-008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结果快照下钻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首页结果卡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从真实持久化结果进入对应任务的竞品、评论、机会或建议视图。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任务结果投影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跳转到同一 task_uuid 对应的洞察详情。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F-009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近期报告与自动刷新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首页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展示近期决策报告，并周期性刷新数据库支持的首页数据。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报告列表、任务汇总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最新报告入口和更新后的任务状态。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</w:tbl>
    <w:p>
      <w:pPr>
        <w:pStyle w:val="Heading2"/>
      </w:pPr>
      <w:r>
        <w:t>3.3 产品中心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1"/>
        <w:gridCol w:w="2171"/>
        <w:gridCol w:w="2171"/>
        <w:gridCol w:w="2171"/>
        <w:gridCol w:w="2171"/>
        <w:gridCol w:w="2171"/>
        <w:gridCol w:w="2171"/>
      </w:tblGrid>
      <w:tr>
        <w:trPr>
          <w:tblHeader w:val="true"/>
          <w:cantSplit/>
        </w:trPr>
        <w:tc>
          <w:tcPr>
            <w:tcW w:type="dxa" w:w="822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701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核心功能</w:t>
            </w:r>
          </w:p>
        </w:tc>
        <w:tc>
          <w:tcPr>
            <w:tcW w:type="dxa" w:w="1757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使用角色 / 入口</w:t>
            </w:r>
          </w:p>
        </w:tc>
        <w:tc>
          <w:tcPr>
            <w:tcW w:type="dxa" w:w="3458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功能说明</w:t>
            </w:r>
          </w:p>
        </w:tc>
        <w:tc>
          <w:tcPr>
            <w:tcW w:type="dxa" w:w="2438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关键输入 / 依赖</w:t>
            </w:r>
          </w:p>
        </w:tc>
        <w:tc>
          <w:tcPr>
            <w:tcW w:type="dxa" w:w="3118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主要结果 / 验收要点</w:t>
            </w:r>
          </w:p>
        </w:tc>
        <w:tc>
          <w:tcPr>
            <w:tcW w:type="dxa" w:w="1361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当前状态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F-010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产品列表与筛选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产品中心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分页查看租户产品，按状态或关键词筛选，展示 SKU、品类、图片、MOQ 和工厂价等摘要。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关键词、分页、产品状态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租户范围产品卡片和总数。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F-011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单产品创建与维护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产品中心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创建产品主记录，并更新名称、品类、SKU 及草稿画像属性。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产品基本信息、手工属性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产品记录及可编辑草稿画像。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F-012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产品详情与画像抽屉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产品详情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查看产品文件、画像版本、属性来源、置信度和冲突信息。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product_id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产品详情、当前画像版本和属性清单。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F-013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产品画像确认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产品详情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用户确认草稿画像后冻结为分析可用版本；未确认画像不能进入真实市场分析。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产品画像版本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confirmed 状态和稳定 profile_version_id。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F-014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多文件资料上传解析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产品中心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上传 PDF、XLSX、JPG/JPEG、PNG；执行文件检查、文本/OCR 和结构化属性抽取。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产品资料文件、Model Key（model 模式）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解析任务、逐文件状态、待确认属性与原文证据。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已实现（配置依赖）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F-015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产品目录与预测 SKU 对齐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产品与销量预测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产品中心 SKU 作为用户可见标识，通过服务端映射到预测引擎 SKU；不暴露任意模型路径。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产品 SKU、站点、服务端 SKU 映射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可预测 SKU 列表或需要冷启动参考的提示。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</w:tbl>
    <w:p>
      <w:pPr>
        <w:pStyle w:val="Heading2"/>
      </w:pPr>
      <w:r>
        <w:t>3.4 AI 工作台与分析会话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1"/>
        <w:gridCol w:w="2171"/>
        <w:gridCol w:w="2171"/>
        <w:gridCol w:w="2171"/>
        <w:gridCol w:w="2171"/>
        <w:gridCol w:w="2171"/>
        <w:gridCol w:w="2171"/>
      </w:tblGrid>
      <w:tr>
        <w:trPr>
          <w:tblHeader w:val="true"/>
          <w:cantSplit/>
        </w:trPr>
        <w:tc>
          <w:tcPr>
            <w:tcW w:type="dxa" w:w="822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701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核心功能</w:t>
            </w:r>
          </w:p>
        </w:tc>
        <w:tc>
          <w:tcPr>
            <w:tcW w:type="dxa" w:w="1757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使用角色 / 入口</w:t>
            </w:r>
          </w:p>
        </w:tc>
        <w:tc>
          <w:tcPr>
            <w:tcW w:type="dxa" w:w="3458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功能说明</w:t>
            </w:r>
          </w:p>
        </w:tc>
        <w:tc>
          <w:tcPr>
            <w:tcW w:type="dxa" w:w="2438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关键输入 / 依赖</w:t>
            </w:r>
          </w:p>
        </w:tc>
        <w:tc>
          <w:tcPr>
            <w:tcW w:type="dxa" w:w="3118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主要结果 / 验收要点</w:t>
            </w:r>
          </w:p>
        </w:tc>
        <w:tc>
          <w:tcPr>
            <w:tcW w:type="dxa" w:w="1361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当前状态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F-016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双分析入口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AI 工作台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支持对话式分析和结构化向导两种入口，最终进入同一任务与 Agent 执行链。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产品、数据集、分析目标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分析工作区或新分析任务。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F-017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工作区创建与历史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AI 工作台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按工作区组织产品、市场目标、多轮消息和多次分析任务。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工作区标题、产品/市场上下文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workspace_uuid、消息和最新任务状态。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F-018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工作区消息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对话区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持久化用户和助手消息；历史会话可恢复产品、数据集、任务和报告上下文。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workspace_uuid、消息类型与内容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按时间排序的租户消息列表。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F-019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可缩放节点画布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分析工作台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展示自动化分析链，支持平移、缩放、节点选择和详情查看，不暴露私有推理过程。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任务阶段和节点运行结果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执行状态、参数摘要、证据与日志投影。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F-020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范围执行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分析工作台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允许只运行到产品、市场、评分或方案边界；自动包含必要上游依赖。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target_node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partial_succeeded 范围结果；未运行完整链时不伪造报告。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F-021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实时进度与轮询兜底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执行上下文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优先使用带认证 Header 的 SSE 接收任务变化，连接失败时回退为状态轮询。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task_uuid、JWT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五阶段进度、内部节点摘要及终态。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F-022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基于任务证据问答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任务对话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仅根据当前任务已落库的竞品、评论、机会、建议和证据回答后续问题。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问题、有限历史、任务证据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answer、evidence_refs；模型不可用时使用确定性证据模板。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已实现（模型可选）</w:t>
            </w:r>
          </w:p>
        </w:tc>
      </w:tr>
    </w:tbl>
    <w:p>
      <w:pPr>
        <w:pStyle w:val="Heading2"/>
      </w:pPr>
      <w:r>
        <w:t>3.5 市场数据集管理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1"/>
        <w:gridCol w:w="2171"/>
        <w:gridCol w:w="2171"/>
        <w:gridCol w:w="2171"/>
        <w:gridCol w:w="2171"/>
        <w:gridCol w:w="2171"/>
        <w:gridCol w:w="2171"/>
      </w:tblGrid>
      <w:tr>
        <w:trPr>
          <w:tblHeader w:val="true"/>
          <w:cantSplit/>
        </w:trPr>
        <w:tc>
          <w:tcPr>
            <w:tcW w:type="dxa" w:w="822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701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核心功能</w:t>
            </w:r>
          </w:p>
        </w:tc>
        <w:tc>
          <w:tcPr>
            <w:tcW w:type="dxa" w:w="1757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使用角色 / 入口</w:t>
            </w:r>
          </w:p>
        </w:tc>
        <w:tc>
          <w:tcPr>
            <w:tcW w:type="dxa" w:w="3458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功能说明</w:t>
            </w:r>
          </w:p>
        </w:tc>
        <w:tc>
          <w:tcPr>
            <w:tcW w:type="dxa" w:w="2438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关键输入 / 依赖</w:t>
            </w:r>
          </w:p>
        </w:tc>
        <w:tc>
          <w:tcPr>
            <w:tcW w:type="dxa" w:w="3118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主要结果 / 验收要点</w:t>
            </w:r>
          </w:p>
        </w:tc>
        <w:tc>
          <w:tcPr>
            <w:tcW w:type="dxa" w:w="1361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当前状态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F-023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授权数据集创建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市场洞察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创建可复用、租户隔离的市场数据集，登记国家、平台、品类和授权说明。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数据集元数据、authorization_reference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dataset_id 和 draft 状态。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F-024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导入模板下载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数据集中心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提供符合后端字段契约的市场商品与评论填写模板。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模板请求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可下载模板文件。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F-025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CSV/JSON/XLSX 导入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数据集导入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读取商品和评论，执行格式、必填字段、日期、价格和关联校验。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授权市场文件、Idempotency-Key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异步导入任务、file_asset 和 validating 状态。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F-026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评论清洗与去重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Worker / 数据导入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识别空文本、重复、乱码、Spam 和孤立评论，保留过滤原因。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原始评论与商品关联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有效评论、无效原因、内容哈希和清洗统计。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F-027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商品快照规范化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Worker / 数据导入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同一 platform_listing_id 取最新快照，规范化市场、币种、价格、评分、属性和图片。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市场商品记录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market_listings 标准化记录。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F-028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数据质量报告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数据集详情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展示导入前后商品/评论数量、有效率、过滤原因、质量分和时间范围。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导入统计与数据行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ready 状态和 quality_report。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F-029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数据预览、复用与软删除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数据集详情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分页预览商品和评论，查看关联分析任务；数据集可复用于新任务并支持可审计软删除。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dataset_id、分页/筛选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商品/评论页、任务引用或删除结果。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</w:tbl>
    <w:p>
      <w:pPr>
        <w:pStyle w:val="Heading2"/>
      </w:pPr>
      <w:r>
        <w:t>3.6 Agent 市场分析引擎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1"/>
        <w:gridCol w:w="2171"/>
        <w:gridCol w:w="2171"/>
        <w:gridCol w:w="2171"/>
        <w:gridCol w:w="2171"/>
        <w:gridCol w:w="2171"/>
        <w:gridCol w:w="2171"/>
      </w:tblGrid>
      <w:tr>
        <w:trPr>
          <w:tblHeader w:val="true"/>
          <w:cantSplit/>
        </w:trPr>
        <w:tc>
          <w:tcPr>
            <w:tcW w:type="dxa" w:w="822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701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核心功能</w:t>
            </w:r>
          </w:p>
        </w:tc>
        <w:tc>
          <w:tcPr>
            <w:tcW w:type="dxa" w:w="1757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使用角色 / 入口</w:t>
            </w:r>
          </w:p>
        </w:tc>
        <w:tc>
          <w:tcPr>
            <w:tcW w:type="dxa" w:w="3458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功能说明</w:t>
            </w:r>
          </w:p>
        </w:tc>
        <w:tc>
          <w:tcPr>
            <w:tcW w:type="dxa" w:w="2438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关键输入 / 依赖</w:t>
            </w:r>
          </w:p>
        </w:tc>
        <w:tc>
          <w:tcPr>
            <w:tcW w:type="dxa" w:w="3118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主要结果 / 验收要点</w:t>
            </w:r>
          </w:p>
        </w:tc>
        <w:tc>
          <w:tcPr>
            <w:tcW w:type="dxa" w:w="1361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当前状态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F-030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分析前置检查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Worker / Agent I00-I03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冻结任务版本，校验已确认产品画像、ready 数据集、授权说明、商品与有效评论数量。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产品画像、授权数据集、版本配置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可执行上下文、质量标记或明确失败原因。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F-031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竞品确定性过滤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Agent I04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按品类、产品属性和文本重合度筛选可比商品，避免直接对全量数据做生成式判断。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产品签名、市场商品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候选商品引用和候选数量。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F-032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Embedding 相似度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Agent I05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使用 text-embedding-v4 生成 1024 维向量并在 Worker 内存计算相似度；不可用时降级为 Token 相似度。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产品签名、候选文本、百炼 Key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相似度分数、使用方法和降级标记。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已实现（配置依赖）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F-033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竞品 Rerank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Agent I06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使用 qwen3-rerank 或本地规则重排，将语义分数与品类、材质、风格等分项合成竞品集合。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查询文本、1–500 个候选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竞品类型、overall_score、rerank_score 和匹配理由。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已实现（配置依赖）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F-034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评论分批观点抽取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Agent I08-I10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按批次处理有效评论，提取家具领域 Taxonomy、情感、严重度和原文 Evidence Span。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有效 review_id、批大小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review_aspects、批次结果和部分失败信息。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已实现（当前为确定性规则）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F-035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需求聚类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Agent I11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按 Taxonomy 聚合评论观点，计算提及率、重要性、置信度和代表观点。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评论观点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insight_clusters 和 cluster_members。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F-036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价格与趋势分析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Agent I12-I13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并行计算价格区间、竞争指标和时间趋势；时间序列不足时跳过趋势并写明限制。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竞品价格、评分、评论日期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market_metrics、price_bands、growth 或 TREND_NOT_ELIGIBLE。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F-037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五维市场机会评分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Agent I14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按需求热度、增长、未满足度、竞争空间和利润空间计算版本化机会分及独立置信度。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聚类、竞品数量、趋势与权重版本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market_opportunities、base_score、confidence 和 recommendation_level。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F-038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建议、证据审计与报告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Agent I15-I19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生成待验证的产品/制造建议，建立机会和建议到评论观点的证据链接；缺证据时拒绝出报告。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机会项、代表观点、任务范围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product_recommendations、evidence_links、analysis_reports。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已实现（真实模式主要为确定性规则）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F-039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重试、降级和人工确认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Agent 全流程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节点有界重试并保存部分失败；事实冲突、数据不足、低置信度或高风险时进入人工确认。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节点异常、确认条件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质量标记、waiting_human、Checkpoint、Outbox 与安全恢复。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</w:tbl>
    <w:p>
      <w:pPr>
        <w:pStyle w:val="Heading2"/>
      </w:pPr>
      <w:r>
        <w:t>3.7 市场洞察与竞品跟踪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1"/>
        <w:gridCol w:w="2171"/>
        <w:gridCol w:w="2171"/>
        <w:gridCol w:w="2171"/>
        <w:gridCol w:w="2171"/>
        <w:gridCol w:w="2171"/>
        <w:gridCol w:w="2171"/>
      </w:tblGrid>
      <w:tr>
        <w:trPr>
          <w:tblHeader w:val="true"/>
          <w:cantSplit/>
        </w:trPr>
        <w:tc>
          <w:tcPr>
            <w:tcW w:type="dxa" w:w="822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701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核心功能</w:t>
            </w:r>
          </w:p>
        </w:tc>
        <w:tc>
          <w:tcPr>
            <w:tcW w:type="dxa" w:w="1757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使用角色 / 入口</w:t>
            </w:r>
          </w:p>
        </w:tc>
        <w:tc>
          <w:tcPr>
            <w:tcW w:type="dxa" w:w="3458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功能说明</w:t>
            </w:r>
          </w:p>
        </w:tc>
        <w:tc>
          <w:tcPr>
            <w:tcW w:type="dxa" w:w="2438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关键输入 / 依赖</w:t>
            </w:r>
          </w:p>
        </w:tc>
        <w:tc>
          <w:tcPr>
            <w:tcW w:type="dxa" w:w="3118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主要结果 / 验收要点</w:t>
            </w:r>
          </w:p>
        </w:tc>
        <w:tc>
          <w:tcPr>
            <w:tcW w:type="dxa" w:w="1361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当前状态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F-040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竞品集合查看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市场洞察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查看直接竞品、基准商品、替代品和排除项，以及各项匹配分数和原因。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task_uuid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竞品列表、价格、评分、评论量和匹配证据。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F-041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评论观点与原文证据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评论洞察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按观点、情感和 Taxonomy 查看评论分析，并可核验原文摘录。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task_uuid、筛选条件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review_aspects、evidence_quote 和原始评论引用。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F-042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需求聚类与市场机会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洞察详情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查看需求簇、重要性、样本覆盖、五维评分、置信度和推荐级别。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任务洞察投影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聚类、机会清单和评分依据。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F-043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产品建议与证据索引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洞察详情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查看建议动作、预期收益、成本范围、风险和验证方法，并追踪证据链接。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task_uuid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建议列表、Evidence Index 和风险项。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F-044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竞品库与监控目标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竞品跟踪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从数据集、产品或 URL 添加监控商品，维护监控状态和展示名称。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数据集/产品/商品 URL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租户范围 watch 记录。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F-045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价格、版本和快照跟踪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竞品跟踪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刷新已导入市场数据，查看价格点、商品快照以及版本对比信息。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watch_id、已导入数据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价格序列、快照和变更结果。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</w:tbl>
    <w:p>
      <w:pPr>
        <w:pStyle w:val="Heading2"/>
      </w:pPr>
      <w:r>
        <w:t>3.8 决策报告与工作日记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1"/>
        <w:gridCol w:w="2171"/>
        <w:gridCol w:w="2171"/>
        <w:gridCol w:w="2171"/>
        <w:gridCol w:w="2171"/>
        <w:gridCol w:w="2171"/>
        <w:gridCol w:w="2171"/>
      </w:tblGrid>
      <w:tr>
        <w:trPr>
          <w:tblHeader w:val="true"/>
          <w:cantSplit/>
        </w:trPr>
        <w:tc>
          <w:tcPr>
            <w:tcW w:type="dxa" w:w="822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701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核心功能</w:t>
            </w:r>
          </w:p>
        </w:tc>
        <w:tc>
          <w:tcPr>
            <w:tcW w:type="dxa" w:w="1757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使用角色 / 入口</w:t>
            </w:r>
          </w:p>
        </w:tc>
        <w:tc>
          <w:tcPr>
            <w:tcW w:type="dxa" w:w="3458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功能说明</w:t>
            </w:r>
          </w:p>
        </w:tc>
        <w:tc>
          <w:tcPr>
            <w:tcW w:type="dxa" w:w="2438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关键输入 / 依赖</w:t>
            </w:r>
          </w:p>
        </w:tc>
        <w:tc>
          <w:tcPr>
            <w:tcW w:type="dxa" w:w="3118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主要结果 / 验收要点</w:t>
            </w:r>
          </w:p>
        </w:tc>
        <w:tc>
          <w:tcPr>
            <w:tcW w:type="dxa" w:w="1361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当前状态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F-046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报告库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决策报告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分页、搜索和筛选当前租户的分析报告，显示产品、结论、机会分和生成时间。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分页、关键词、状态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报告列表和总数。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F-047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报告详情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报告详情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展示执行摘要、决策建议、机会、产品建议、风险、待验证项、数据范围和版本信息。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report_uuid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结构化在线决策报告。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F-048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报告证据追踪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报告详情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从报告结论下钻至任务证据，区分主要证据和辅助证据。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report_uuid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报告级 evidence_links 与原始观点引用。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F-049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报告导出与打印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报告列表或详情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提供浏览器打印/PDF 和结构化结果导出入口，保留来源页面上下文。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报告内容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可交付报告文件或打印视图。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F-050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工作日记与归档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AI 工作台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按工作区展示历史项目、最新状态和分析次数；归档工作区或报告时同步处理关联任务可见性。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workspace_uuid 或 report_uuid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归档状态和更新后的历史列表。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</w:tbl>
    <w:p>
      <w:pPr>
        <w:pStyle w:val="Heading2"/>
      </w:pPr>
      <w:r>
        <w:t>3.9 销量预测与模型训练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1"/>
        <w:gridCol w:w="2171"/>
        <w:gridCol w:w="2171"/>
        <w:gridCol w:w="2171"/>
        <w:gridCol w:w="2171"/>
        <w:gridCol w:w="2171"/>
        <w:gridCol w:w="2171"/>
      </w:tblGrid>
      <w:tr>
        <w:trPr>
          <w:tblHeader w:val="true"/>
          <w:cantSplit/>
        </w:trPr>
        <w:tc>
          <w:tcPr>
            <w:tcW w:type="dxa" w:w="822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701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核心功能</w:t>
            </w:r>
          </w:p>
        </w:tc>
        <w:tc>
          <w:tcPr>
            <w:tcW w:type="dxa" w:w="1757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使用角色 / 入口</w:t>
            </w:r>
          </w:p>
        </w:tc>
        <w:tc>
          <w:tcPr>
            <w:tcW w:type="dxa" w:w="3458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功能说明</w:t>
            </w:r>
          </w:p>
        </w:tc>
        <w:tc>
          <w:tcPr>
            <w:tcW w:type="dxa" w:w="2438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关键输入 / 依赖</w:t>
            </w:r>
          </w:p>
        </w:tc>
        <w:tc>
          <w:tcPr>
            <w:tcW w:type="dxa" w:w="3118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主要结果 / 验收要点</w:t>
            </w:r>
          </w:p>
        </w:tc>
        <w:tc>
          <w:tcPr>
            <w:tcW w:type="dxa" w:w="1361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当前状态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F-051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预测模型状态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销量预测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展示当前租户可用模型、数据截止日期、支持粒度和 SKU 覆盖情况，不允许客户端指定制品路径。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tenant_id、当前部署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ready 状态、data_through 和可用粒度。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F-052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预测 SKU 与站点选择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预测表单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按产品中心 SKU 和站点查询可预测组合，过滤未映射引擎 SKU。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site、分页上限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SKU、站点和历史周数。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F-053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日/周/高级业务预测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预测表单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支持日、周粒度及价格、折扣、库存、促销、冷启动参考等业务情景参数。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SKU、站点、周期、开始日期、Scenario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异步 forecast_job。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F-054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多 SKU/多站点执行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预测表单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一个任务组合多个 SKU 和站点，并限制最大预测组合数。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skus[]、sites[]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每个 SKU/站点的预测摘要和时间点。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F-055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预测结果与生产建议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预测结果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展示点预测、上下界、可靠性、总预测、安全库存和建议生产量。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完成的 forecast_job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summaries、points、metrics。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F-056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历史预测记录与导出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历史记录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API 支持搜索、筛选和分页；可打开完成结果并导出 CSV/JSON。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分页、关键词、任务状态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历史任务、结果详情和导出文件。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F-057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订单/库存追加训练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 / 模型训练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上传租户订单及可选库存工作簿，完成校验、追加、重新训练和新制品生成。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订单 XLSX、可选库存 XLSX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training_run、清洗统计、日/周模型制品。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F-058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租户模型部署与回滚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管理员 / 企业私有模型空间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按租户管理共享基线或私有模型部署，支持受审查的模型替换、部署历史和回滚。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模型代码/参数或历史 deployment_uuid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新模型、部署记录或回滚结果。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</w:tbl>
    <w:p>
      <w:pPr>
        <w:pStyle w:val="Heading2"/>
      </w:pPr>
      <w:r>
        <w:t>3.10 平台管理端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1"/>
        <w:gridCol w:w="2171"/>
        <w:gridCol w:w="2171"/>
        <w:gridCol w:w="2171"/>
        <w:gridCol w:w="2171"/>
        <w:gridCol w:w="2171"/>
        <w:gridCol w:w="2171"/>
      </w:tblGrid>
      <w:tr>
        <w:trPr>
          <w:tblHeader w:val="true"/>
          <w:cantSplit/>
        </w:trPr>
        <w:tc>
          <w:tcPr>
            <w:tcW w:type="dxa" w:w="822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701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核心功能</w:t>
            </w:r>
          </w:p>
        </w:tc>
        <w:tc>
          <w:tcPr>
            <w:tcW w:type="dxa" w:w="1757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使用角色 / 入口</w:t>
            </w:r>
          </w:p>
        </w:tc>
        <w:tc>
          <w:tcPr>
            <w:tcW w:type="dxa" w:w="3458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功能说明</w:t>
            </w:r>
          </w:p>
        </w:tc>
        <w:tc>
          <w:tcPr>
            <w:tcW w:type="dxa" w:w="2438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关键输入 / 依赖</w:t>
            </w:r>
          </w:p>
        </w:tc>
        <w:tc>
          <w:tcPr>
            <w:tcW w:type="dxa" w:w="3118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主要结果 / 验收要点</w:t>
            </w:r>
          </w:p>
        </w:tc>
        <w:tc>
          <w:tcPr>
            <w:tcW w:type="dxa" w:w="1361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当前状态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F-059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企业用户管理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平台管理员 / 企业用户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数据库支持的企业账号与租户列表，支持状态筛选并排除演示/测试记录。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管理员 JWT、筛选条件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企业用户、租户状态和产品权益。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F-060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注册申请审批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平台管理员 / 注册申请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审核 pending 申请，批准时创建企业租户、用户和基础预测模型记录，或填写理由拒绝。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application_id、审批动作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approved/rejected 状态及审计记录。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F-061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企业账号创建与修改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平台管理员 / 企业用户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创建企业账号，修改状态、企业信息和产品权益。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企业与账号信息、初始密码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租户、用户、权益配置。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F-062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企业软删除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平台管理员 / 企业用户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关闭租户、禁用企业登录并撤销活跃会话；保留业务与审计数据，可从已删除筛选查看。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tenant_id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closed/disabled 状态及撤销会话。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F-063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租户预测模型总览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平台管理员 / 预测模型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按租户聚合模型状态、数据截止日期、当前部署和训练历史。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tenant_id 或列表筛选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模型摘要、部署详情和训练运行。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F-064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模型替换与回滚控制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平台管理员 / 模型详情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提交受审查的 XGBoost、LightGBM 或兼容自定义实现，并可回滚到有效历史部署。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模型代码、JSON 参数、部署 UUID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校验后的新制品、部署或回滚记录。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</w:tbl>
    <w:p>
      <w:pPr>
        <w:pStyle w:val="Heading2"/>
      </w:pPr>
      <w:r>
        <w:t>3.11 平台基础能力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1"/>
        <w:gridCol w:w="2171"/>
        <w:gridCol w:w="2171"/>
        <w:gridCol w:w="2171"/>
        <w:gridCol w:w="2171"/>
        <w:gridCol w:w="2171"/>
        <w:gridCol w:w="2171"/>
      </w:tblGrid>
      <w:tr>
        <w:trPr>
          <w:tblHeader w:val="true"/>
          <w:cantSplit/>
        </w:trPr>
        <w:tc>
          <w:tcPr>
            <w:tcW w:type="dxa" w:w="822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701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核心功能</w:t>
            </w:r>
          </w:p>
        </w:tc>
        <w:tc>
          <w:tcPr>
            <w:tcW w:type="dxa" w:w="1757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使用角色 / 入口</w:t>
            </w:r>
          </w:p>
        </w:tc>
        <w:tc>
          <w:tcPr>
            <w:tcW w:type="dxa" w:w="3458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功能说明</w:t>
            </w:r>
          </w:p>
        </w:tc>
        <w:tc>
          <w:tcPr>
            <w:tcW w:type="dxa" w:w="2438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关键输入 / 依赖</w:t>
            </w:r>
          </w:p>
        </w:tc>
        <w:tc>
          <w:tcPr>
            <w:tcW w:type="dxa" w:w="3118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主要结果 / 验收要点</w:t>
            </w:r>
          </w:p>
        </w:tc>
        <w:tc>
          <w:tcPr>
            <w:tcW w:type="dxa" w:w="1361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当前状态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F-065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持久化幂等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所有关键写 API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通过 Idempotency-Key、请求哈希和响应快照防止重复创建与重复计费。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路由、租户、操作者、请求体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首次执行或原响应安全回放；冲突请求被拒绝。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F-066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Redis 异步任务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Backend / Worker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分析、解析、导入、预测、训练和信号任务通过 Redis Streams 执行。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Job Kind、Job ID、Payload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消费组任务、租约、重试或死信记录。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已实现（生产强制）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F-067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LangGraph Checkpoint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Agent / Worker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官方 PostgreSQL Checkpointer 保存图状态，业务表保存安全轻量投影。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task_uuid/thread_id、Graph State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可恢复状态、Checkpoint 哈希和版本。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F-068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租户私有文件存储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上传与解析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开发/测试环境按 tenant_id 隔离保存文件，使用随机对象名、0600 权限和 SHA-256。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上传文件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storage_key 和 file_asset 元数据。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开发/测试已实现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F-069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内部模型与预测接口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服务间调用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提供不进入公开 OpenAPI 的结构化生成、Embedding、Rerank 和预测部署接口。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X-Internal-Token、服务请求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统一 Success Envelope 或稳定错误码。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F-070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请求追踪与日志脱敏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所有 HTTP 请求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生成/校验 X-Request-ID，输出 JSON 日志并脱敏 Token、Key、Prompt 和评论正文。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HTTP 请求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关联 Request ID、状态和耗时日志。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F-071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健康检查与指标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运维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提供 liveness、readiness 和 Prometheus 指标；检查数据库、启用后的 Redis 与模型配置状态。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运行环境与依赖状态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Health Envelope、HTTP/任务/模型/预测/连接池指标。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</w:t>
            </w:r>
          </w:p>
        </w:tc>
      </w:tr>
      <w:tr>
        <w:trPr>
          <w:cantSplit/>
        </w:trPr>
        <w:tc>
          <w:tcPr>
            <w:tcW w:type="dxa" w:w="82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5"/>
              </w:rPr>
              <w:t>F-072</w:t>
            </w:r>
          </w:p>
        </w:tc>
        <w:tc>
          <w:tcPr>
            <w:tcW w:type="dxa" w:w="170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监控、告警与备份</w:t>
            </w:r>
          </w:p>
        </w:tc>
        <w:tc>
          <w:tcPr>
            <w:tcW w:type="dxa" w:w="1757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运维 / Compose Profile</w:t>
            </w:r>
          </w:p>
        </w:tc>
        <w:tc>
          <w:tcPr>
            <w:tcW w:type="dxa" w:w="345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可选启动 Prometheus、Grafana、Alertmanager 和 Exporter，并执行 PostgreSQL 定时备份及恢复校验。</w:t>
            </w:r>
          </w:p>
        </w:tc>
        <w:tc>
          <w:tcPr>
            <w:tcW w:type="dxa" w:w="243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monitoring/operations Profile</w:t>
            </w:r>
          </w:p>
        </w:tc>
        <w:tc>
          <w:tcPr>
            <w:tcW w:type="dxa" w:w="311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5"/>
              </w:rPr>
              <w:t>仪表盘、告警、备份文件和恢复验证结果。</w:t>
            </w:r>
          </w:p>
        </w:tc>
        <w:tc>
          <w:tcPr>
            <w:tcW w:type="dxa" w:w="136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5"/>
              </w:rPr>
              <w:t>已实现（可选部署）</w:t>
            </w:r>
          </w:p>
        </w:tc>
      </w:tr>
    </w:tbl>
    <w:p>
      <w:pPr>
        <w:pStyle w:val="Heading1"/>
      </w:pPr>
      <w:r>
        <w:t>4. 核心业务闭环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97"/>
        <w:gridCol w:w="7597"/>
      </w:tblGrid>
      <w:tr>
        <w:trPr>
          <w:tblHeader w:val="true"/>
          <w:cantSplit/>
        </w:trPr>
        <w:tc>
          <w:tcPr>
            <w:tcW w:type="dxa" w:w="2268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业务闭环</w:t>
            </w:r>
          </w:p>
        </w:tc>
        <w:tc>
          <w:tcPr>
            <w:tcW w:type="dxa" w:w="12189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端到端步骤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产品到决策</w:t>
            </w:r>
          </w:p>
        </w:tc>
        <w:tc>
          <w:tcPr>
            <w:tcW w:type="dxa" w:w="12189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8"/>
              </w:rPr>
              <w:t>创建产品 → 上传/填写资料 → 确认产品画像 → 创建授权市场数据集 → 导入并清洗数据 → 创建分析任务 → Agent 分析 → 人工确认（必要时）→ 市场洞察 → 决策报告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分析任务恢复</w:t>
            </w:r>
          </w:p>
        </w:tc>
        <w:tc>
          <w:tcPr>
            <w:tcW w:type="dxa" w:w="12189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8"/>
              </w:rPr>
              <w:t>节点完成 → 保存 LangGraph Checkpoint 与业务安全投影 → 触发 user_confirmation → 用户回答 → 事务 Outbox → Worker 领取 → Command(resume) → 从原阶段继续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销量预测</w:t>
            </w:r>
          </w:p>
        </w:tc>
        <w:tc>
          <w:tcPr>
            <w:tcW w:type="dxa" w:w="12189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8"/>
              </w:rPr>
              <w:t>选择产品 SKU/站点 → 设置日/周周期和业务情景 → 创建并启动预测任务 → Worker 加载租户部署模型 → 生成预测与区间 → 查看历史 → 导出 CSV/JSON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模型训练</w:t>
            </w:r>
          </w:p>
        </w:tc>
        <w:tc>
          <w:tcPr>
            <w:tcW w:type="dxa" w:w="12189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8"/>
              </w:rPr>
              <w:t>上传订单/库存工作簿 → 租户范围校验 → 清洗与追加 → XGBoost + LightGBM 重新训练 → 生成校验制品 → 更新模型状态 → 新预测使用当前部署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企业开通</w:t>
            </w:r>
          </w:p>
        </w:tc>
        <w:tc>
          <w:tcPr>
            <w:tcW w:type="dxa" w:w="12189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8"/>
              </w:rPr>
              <w:t>访客提交注册申请 → 管理员审批 → 创建租户和企业账号 → 初始化预测模型记录 → 企业用户登录 → 业务数据按 tenant_id 隔离</w:t>
            </w:r>
          </w:p>
        </w:tc>
      </w:tr>
    </w:tbl>
    <w:p>
      <w:pPr>
        <w:pStyle w:val="Heading1"/>
      </w:pPr>
      <w:r>
        <w:t>5. 当前实现边界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 w:val="true"/>
          <w:cantSplit/>
        </w:trPr>
        <w:tc>
          <w:tcPr>
            <w:tcW w:type="dxa" w:w="1020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551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边界项</w:t>
            </w:r>
          </w:p>
        </w:tc>
        <w:tc>
          <w:tcPr>
            <w:tcW w:type="dxa" w:w="10885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当前实现口径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B-01</w:t>
            </w:r>
          </w:p>
        </w:tc>
        <w:tc>
          <w:tcPr>
            <w:tcW w:type="dxa" w:w="255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8"/>
              </w:rPr>
              <w:t>独立向量数据库</w:t>
            </w:r>
          </w:p>
        </w:tc>
        <w:tc>
          <w:tcPr>
            <w:tcW w:type="dxa" w:w="1088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8"/>
              </w:rPr>
              <w:t>当前没有 Milvus、Elasticsearch/OpenSearch、FAISS 服务或 pgvector；Embedding 向量仅在 Worker 内存使用，持久化的是业务分数与引用。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B-02</w:t>
            </w:r>
          </w:p>
        </w:tc>
        <w:tc>
          <w:tcPr>
            <w:tcW w:type="dxa" w:w="255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8"/>
              </w:rPr>
              <w:t>视觉大模型</w:t>
            </w:r>
          </w:p>
        </w:tc>
        <w:tc>
          <w:tcPr>
            <w:tcW w:type="dxa" w:w="1088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8"/>
              </w:rPr>
              <w:t>当前未接入视觉理解模型。图片只做 OCR；无可识别文字时返回 IMAGE_VISION_REQUIRED。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B-03</w:t>
            </w:r>
          </w:p>
        </w:tc>
        <w:tc>
          <w:tcPr>
            <w:tcW w:type="dxa" w:w="255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8"/>
              </w:rPr>
              <w:t>生产对象存储</w:t>
            </w:r>
          </w:p>
        </w:tc>
        <w:tc>
          <w:tcPr>
            <w:tcW w:type="dxa" w:w="1088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8"/>
              </w:rPr>
              <w:t>现有 DemoStorage 仅允许开发/测试环境；生产 OSS/S3 适配器尚未实现。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B-04</w:t>
            </w:r>
          </w:p>
        </w:tc>
        <w:tc>
          <w:tcPr>
            <w:tcW w:type="dxa" w:w="255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8"/>
              </w:rPr>
              <w:t>真实分析中的大模型范围</w:t>
            </w:r>
          </w:p>
        </w:tc>
        <w:tc>
          <w:tcPr>
            <w:tcW w:type="dxa" w:w="1088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8"/>
              </w:rPr>
              <w:t>external 模式中百炼主要参与竞品 Embedding/Rerank；评论、聚类、评分、建议和报告当前以确定性规则为主。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B-05</w:t>
            </w:r>
          </w:p>
        </w:tc>
        <w:tc>
          <w:tcPr>
            <w:tcW w:type="dxa" w:w="255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8"/>
              </w:rPr>
              <w:t>模型动态路由</w:t>
            </w:r>
          </w:p>
        </w:tc>
        <w:tc>
          <w:tcPr>
            <w:tcW w:type="dxa" w:w="1088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8"/>
              </w:rPr>
              <w:t>model_route_configs 和 prompt_templates 已有表与接口，但运行时客户端仍以环境变量配置为准。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B-06</w:t>
            </w:r>
          </w:p>
        </w:tc>
        <w:tc>
          <w:tcPr>
            <w:tcW w:type="dxa" w:w="255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8"/>
              </w:rPr>
              <w:t>全链路模型审计</w:t>
            </w:r>
          </w:p>
        </w:tc>
        <w:tc>
          <w:tcPr>
            <w:tcW w:type="dxa" w:w="1088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8"/>
              </w:rPr>
              <w:t>演示报告调用已写 ai_model_runs；通用 Chat、Embedding、Rerank、产品解析和任务问答尚未全部统一落库。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B-07</w:t>
            </w:r>
          </w:p>
        </w:tc>
        <w:tc>
          <w:tcPr>
            <w:tcW w:type="dxa" w:w="255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4343B"/>
                <w:sz w:val="18"/>
              </w:rPr>
              <w:t>生产运行模式</w:t>
            </w:r>
          </w:p>
        </w:tc>
        <w:tc>
          <w:tcPr>
            <w:tcW w:type="dxa" w:w="1088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8"/>
              </w:rPr>
              <w:t>生产强制 Redis 队列、external 分析工具、model 产品解析和真实授权数据；demo_only/token_plan_demo 被配置校验拒绝。</w:t>
            </w:r>
          </w:p>
        </w:tc>
      </w:tr>
    </w:tbl>
    <w:p>
      <w:pPr>
        <w:pStyle w:val="Heading1"/>
      </w:pPr>
      <w:r>
        <w:t>6. 验收使用建议</w:t>
      </w:r>
    </w:p>
    <w:p>
      <w:pPr>
        <w:pStyle w:val="ListBullet"/>
        <w:spacing w:after="60"/>
      </w:pPr>
      <w:r>
        <w:rPr>
          <w:rFonts w:ascii="微软雅黑" w:hAnsi="微软雅黑" w:eastAsia="微软雅黑"/>
          <w:color w:val="24343B"/>
          <w:sz w:val="20"/>
        </w:rPr>
        <w:t>按本清单编号逐项验收，功能状态、租户、输入数据和运行模式必须记录在验收结果中。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color w:val="24343B"/>
          <w:sz w:val="20"/>
        </w:rPr>
        <w:t>涉及百炼模型的用例应分别验证正常调用、超时/配额不足和确定性降级，不以 Mock 结果替代真实环境验收。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color w:val="24343B"/>
          <w:sz w:val="20"/>
        </w:rPr>
        <w:t>涉及市场结论的用例必须使用带授权说明的数据集，并从报告结论下钻到评论原文或商品记录。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color w:val="24343B"/>
          <w:sz w:val="20"/>
        </w:rPr>
        <w:t>涉及异步任务的用例应验证排队、执行、重试、死信、进程重启补投和终态持久化。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color w:val="24343B"/>
          <w:sz w:val="20"/>
        </w:rPr>
        <w:t>涉及销量预测的用例必须记录模型版本、数据截止日期、SKU/站点、预测周期和区间，不能用市场机会分替代销量预测。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color w:val="24343B"/>
          <w:sz w:val="20"/>
        </w:rPr>
        <w:t>生产验收前必须补齐私有对象存储，并确认密钥、JWT 私钥、数据库密码和内部 Token 只通过部署密钥系统注入。</w:t>
      </w:r>
    </w:p>
    <w:p>
      <w:pPr>
        <w:pStyle w:val="Heading1"/>
      </w:pPr>
      <w:r>
        <w:t>附录 A：状态统计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97"/>
        <w:gridCol w:w="7597"/>
      </w:tblGrid>
      <w:tr>
        <w:trPr>
          <w:tblHeader w:val="true"/>
          <w:cantSplit/>
        </w:trPr>
        <w:tc>
          <w:tcPr>
            <w:tcW w:type="dxa" w:w="4535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实现状态</w:t>
            </w:r>
          </w:p>
        </w:tc>
        <w:tc>
          <w:tcPr>
            <w:tcW w:type="dxa" w:w="2268"/>
            <w:shd w:fill="0F766E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功能数</w:t>
            </w:r>
          </w:p>
        </w:tc>
      </w:tr>
      <w:tr>
        <w:trPr>
          <w:cantSplit/>
        </w:trPr>
        <w:tc>
          <w:tcPr>
            <w:tcW w:type="dxa" w:w="453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9"/>
              </w:rPr>
              <w:t>已实现</w:t>
            </w:r>
          </w:p>
        </w:tc>
        <w:tc>
          <w:tcPr>
            <w:tcW w:type="dxa" w:w="22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9"/>
              </w:rPr>
              <w:t>65</w:t>
            </w:r>
          </w:p>
        </w:tc>
      </w:tr>
      <w:tr>
        <w:trPr>
          <w:cantSplit/>
        </w:trPr>
        <w:tc>
          <w:tcPr>
            <w:tcW w:type="dxa" w:w="453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9"/>
              </w:rPr>
              <w:t>已实现（依赖配置或运行环境）</w:t>
            </w:r>
          </w:p>
        </w:tc>
        <w:tc>
          <w:tcPr>
            <w:tcW w:type="dxa" w:w="22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7FAFA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4535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/>
                <w:color w:val="0F766E"/>
                <w:sz w:val="19"/>
              </w:rPr>
              <w:t>开发/测试已实现</w:t>
            </w:r>
          </w:p>
        </w:tc>
        <w:tc>
          <w:tcPr>
            <w:tcW w:type="dxa" w:w="22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0F766E"/>
                <w:sz w:val="19"/>
              </w:rPr>
              <w:t>1</w:t>
            </w:r>
          </w:p>
        </w:tc>
      </w:tr>
    </w:tbl>
    <w:p>
      <w:pPr>
        <w:ind w:firstLine="420"/>
      </w:pPr>
      <w:r>
        <w:rPr>
          <w:rFonts w:ascii="微软雅黑" w:hAnsi="微软雅黑" w:eastAsia="微软雅黑"/>
          <w:b w:val="0"/>
          <w:color w:val="64748B"/>
          <w:sz w:val="18"/>
        </w:rPr>
        <w:t>注：状态统计只覆盖第 3 章的核心功能条目。一个功能可能依赖多个基础组件，但在清单中只按主要用户价值归类一次。</w:t>
      </w:r>
    </w:p>
    <w:sectPr w:rsidR="00FC693F" w:rsidRPr="0006063C" w:rsidSect="00034616">
      <w:headerReference w:type="default" r:id="rId11"/>
      <w:footerReference w:type="default" r:id="rId12"/>
      <w:pgSz w:w="16838" w:h="11906" w:orient="landscape"/>
      <w:pgMar w:top="879" w:right="822" w:bottom="822" w:left="822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微软雅黑" w:hAnsi="微软雅黑" w:eastAsia="微软雅黑"/>
        <w:color w:val="64748B"/>
        <w:sz w:val="17"/>
      </w:rPr>
      <w:t>FurniScope  ·  核心功能清单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微软雅黑" w:hAnsi="微软雅黑" w:eastAsia="微软雅黑"/>
        <w:color w:val="64748B"/>
        <w:sz w:val="17"/>
      </w:rPr>
      <w:t>FurniScope  ·  核心功能清单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00"/>
    </w:pPr>
    <w:rPr>
      <w:rFonts w:ascii="微软雅黑" w:hAnsi="微软雅黑" w:eastAsia="微软雅黑"/>
      <w:color w:val="2434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F766E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B6CB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434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FurniScope 核心功能清单</dc:title>
  <dc:subject>当前系统核心功能、入口、输入输出、验收要点及实现状态</dc:subject>
  <dc:creator>FurniScope</dc:creator>
  <cp:keywords>FurniScope, 核心功能, 功能清单, 验收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