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true"/>
        <w:pBdr/>
        <w:spacing w:after="100" w:afterAutospacing="1" w:before="100" w:beforeAutospacing="1"/>
        <w:ind/>
        <w:jc w:val="center"/>
        <w:rPr>
          <w:rFonts w:ascii="Calibri" w:hAnsi="Calibri" w:eastAsia="宋体" w:cs="Calibri"/>
          <w:sz w:val="24"/>
          <w:szCs w:val="21"/>
        </w:rPr>
      </w:pPr>
      <w:r>
        <w:rPr>
          <w:rFonts w:ascii="Calibri" w:hAnsi="Calibri" w:eastAsia="宋体" w:cs="Calibri"/>
          <w:b/>
          <w:bCs/>
          <w:sz w:val="24"/>
          <w:szCs w:val="21"/>
        </w:rPr>
        <w:t xml:space="preserve">Agent Communications Internetworking</w:t>
      </w:r>
      <w:r>
        <w:rPr>
          <w:rFonts w:ascii="Calibri" w:hAnsi="Calibri" w:eastAsia="宋体" w:cs="Calibri"/>
          <w:b/>
          <w:bCs/>
          <w:sz w:val="24"/>
          <w:szCs w:val="21"/>
        </w:rPr>
        <w:t xml:space="preserve"> (</w:t>
      </w:r>
      <w:r>
        <w:rPr>
          <w:rFonts w:ascii="Calibri" w:hAnsi="Calibri" w:eastAsia="宋体" w:cs="Calibri"/>
          <w:b/>
          <w:bCs/>
          <w:sz w:val="24"/>
          <w:szCs w:val="21"/>
        </w:rPr>
        <w:t xml:space="preserve">ACI</w:t>
      </w:r>
      <w:r>
        <w:rPr>
          <w:rFonts w:ascii="Calibri" w:hAnsi="Calibri" w:eastAsia="宋体" w:cs="Calibri"/>
          <w:b/>
          <w:bCs/>
          <w:sz w:val="24"/>
          <w:szCs w:val="21"/>
        </w:rPr>
        <w:t xml:space="preserve">) Working Group</w:t>
      </w:r>
      <w:r>
        <w:rPr>
          <w:rFonts w:ascii="Calibri" w:hAnsi="Calibri" w:eastAsia="宋体" w:cs="Calibri"/>
          <w:b/>
          <w:bCs/>
          <w:sz w:val="24"/>
          <w:szCs w:val="21"/>
        </w:rPr>
        <w:t xml:space="preserve"> Charter</w:t>
      </w:r>
      <w:r>
        <w:rPr>
          <w:rFonts w:ascii="Calibri" w:hAnsi="Calibri" w:eastAsia="宋体" w:cs="Calibri"/>
          <w:sz w:val="24"/>
          <w:szCs w:val="21"/>
        </w:rPr>
      </w:r>
    </w:p>
    <w:p>
      <w:pPr>
        <w:pStyle w:val="164"/>
        <w:widowControl w:val="true"/>
        <w:numPr>
          <w:ilvl w:val="0"/>
          <w:numId w:val="15"/>
        </w:numPr>
        <w:pBdr/>
        <w:spacing w:after="100" w:afterAutospacing="1" w:before="100" w:beforeAutospacing="1"/>
        <w:ind/>
        <w:jc w:val="left"/>
        <w:outlineLvl w:val="2"/>
        <w:rPr>
          <w:rFonts w:ascii="Calibri" w:hAnsi="Calibri" w:eastAsia="宋体" w:cs="Calibri"/>
          <w:b/>
          <w:bCs/>
          <w:sz w:val="24"/>
          <w:szCs w:val="21"/>
        </w:rPr>
      </w:pPr>
      <w:r>
        <w:rPr>
          <w:rFonts w:ascii="Calibri" w:hAnsi="Calibri" w:eastAsia="宋体" w:cs="Calibri"/>
          <w:b/>
          <w:bCs/>
          <w:sz w:val="24"/>
          <w:szCs w:val="21"/>
        </w:rPr>
        <w:t xml:space="preserve">Overview</w:t>
      </w:r>
      <w:r>
        <w:rPr>
          <w:rFonts w:ascii="Calibri" w:hAnsi="Calibri" w:eastAsia="宋体" w:cs="Calibri"/>
          <w:b/>
          <w:bCs/>
          <w:sz w:val="24"/>
          <w:szCs w:val="21"/>
        </w:rPr>
      </w:r>
    </w:p>
    <w:p>
      <w:pPr>
        <w:widowControl w:val="true"/>
        <w:pBdr/>
        <w:spacing w:after="100" w:afterAutospacing="1" w:before="100" w:beforeAutospacing="1"/>
        <w:ind/>
        <w:jc w:val="left"/>
        <w:rPr>
          <w:rFonts w:ascii="Calibri" w:hAnsi="Calibri" w:eastAsia="宋体" w:cs="Calibri"/>
          <w:szCs w:val="21"/>
        </w:rPr>
      </w:pPr>
      <w:r>
        <w:rPr>
          <w:rFonts w:ascii="Calibri" w:hAnsi="Calibri" w:eastAsia="宋体" w:cs="Calibri"/>
          <w:szCs w:val="21"/>
        </w:rPr>
        <w:t xml:space="preserve">AI Agent communication has become a hot topic in both industry and the IETF. Since IETF 123 (fewer in prior IETF), dozens of drafts have emerged and nearly 10 side meetings have been held. This work can be summarized as follows:</w:t>
      </w:r>
      <w:r>
        <w:rPr>
          <w:rFonts w:ascii="Calibri" w:hAnsi="Calibri" w:eastAsia="宋体" w:cs="Calibri"/>
          <w:szCs w:val="21"/>
        </w:rPr>
      </w:r>
    </w:p>
    <w:p>
      <w:pPr>
        <w:widowControl w:val="true"/>
        <w:numPr>
          <w:ilvl w:val="0"/>
          <w:numId w:val="10"/>
        </w:numPr>
        <w:pBdr/>
        <w:spacing w:after="100" w:afterAutospacing="1" w:before="100" w:beforeAutospacing="1"/>
        <w:ind/>
        <w:jc w:val="left"/>
        <w:rPr>
          <w:rFonts w:ascii="Calibri" w:hAnsi="Calibri" w:eastAsia="宋体" w:cs="Calibri"/>
        </w:rPr>
      </w:pPr>
      <w:r>
        <w:rPr>
          <w:rFonts w:ascii="Calibri" w:hAnsi="Calibri" w:eastAsia="宋体" w:cs="Calibri"/>
          <w:b/>
          <w:bCs/>
          <w:szCs w:val="21"/>
        </w:rPr>
        <w:t xml:space="preserve">Agent-to-Agent (A2A) Protocols:</w:t>
      </w:r>
      <w:r>
        <w:rPr>
          <w:rFonts w:ascii="Calibri" w:hAnsi="Calibri" w:eastAsia="宋体" w:cs="Calibri"/>
          <w:szCs w:val="21"/>
        </w:rPr>
        <w:t xml:space="preserve"> Protocols for one Agent to "call" another, covering session establishment, semantic interaction and service layer functions such as cross-billing to enable business models.</w:t>
      </w:r>
      <w:r>
        <w:rPr>
          <w:rFonts w:ascii="Calibri" w:hAnsi="Calibri" w:eastAsia="宋体" w:cs="Calibri"/>
        </w:rPr>
      </w:r>
    </w:p>
    <w:p>
      <w:pPr>
        <w:widowControl w:val="true"/>
        <w:numPr>
          <w:ilvl w:val="0"/>
          <w:numId w:val="10"/>
        </w:numPr>
        <w:pBdr/>
        <w:spacing w:after="100" w:afterAutospacing="1" w:before="100" w:beforeAutospacing="1"/>
        <w:ind/>
        <w:jc w:val="left"/>
        <w:rPr>
          <w:rFonts w:ascii="Calibri" w:hAnsi="Calibri" w:eastAsia="宋体" w:cs="Calibri"/>
        </w:rPr>
      </w:pPr>
      <w:r>
        <w:rPr>
          <w:rFonts w:ascii="Calibri" w:hAnsi="Calibri" w:eastAsia="宋体" w:cs="Calibri"/>
          <w:szCs w:val="21"/>
          <w:highlight w:val="none"/>
        </w:rPr>
      </w:r>
      <w:r>
        <w:rPr>
          <w:rFonts w:ascii="Calibri" w:hAnsi="Calibri" w:eastAsia="宋体" w:cs="Calibri"/>
          <w:b/>
          <w:bCs/>
          <w:szCs w:val="21"/>
        </w:rPr>
        <w:t xml:space="preserve">Agent Authentication and Authorization:</w:t>
      </w:r>
      <w:r>
        <w:rPr>
          <w:rFonts w:ascii="Calibri" w:hAnsi="Calibri" w:eastAsia="宋体" w:cs="Calibri"/>
          <w:szCs w:val="21"/>
        </w:rPr>
        <w:t xml:space="preserve"> Identity verification and permission checks for operations between Agents. </w:t>
      </w:r>
      <w:r/>
      <w:r>
        <w:rPr>
          <w:rFonts w:ascii="Calibri" w:hAnsi="Calibri" w:eastAsia="宋体" w:cs="Calibri"/>
          <w:szCs w:val="21"/>
          <w:highlight w:val="none"/>
        </w:rPr>
      </w:r>
      <w:r>
        <w:rPr>
          <w:rFonts w:ascii="Calibri" w:hAnsi="Calibri" w:eastAsia="宋体" w:cs="Calibri"/>
          <w:szCs w:val="21"/>
          <w:highlight w:val="none"/>
        </w:rPr>
      </w:r>
    </w:p>
    <w:p>
      <w:pPr>
        <w:widowControl w:val="true"/>
        <w:numPr>
          <w:ilvl w:val="0"/>
          <w:numId w:val="10"/>
        </w:numPr>
        <w:pBdr/>
        <w:spacing w:after="100" w:afterAutospacing="1" w:before="100" w:beforeAutospacing="1"/>
        <w:ind/>
        <w:jc w:val="left"/>
        <w:rPr>
          <w:rFonts w:ascii="Calibri" w:hAnsi="Calibri" w:eastAsia="宋体" w:cs="Calibri"/>
        </w:rPr>
      </w:pPr>
      <w:r>
        <w:rPr>
          <w:rFonts w:ascii="Calibri" w:hAnsi="Calibri" w:eastAsia="宋体" w:cs="Calibri"/>
          <w:szCs w:val="21"/>
        </w:rPr>
      </w:r>
      <w:r>
        <w:rPr>
          <w:rFonts w:ascii="Calibri" w:hAnsi="Calibri" w:eastAsia="宋体" w:cs="Calibri"/>
          <w:b/>
          <w:bCs/>
          <w:szCs w:val="21"/>
        </w:rPr>
        <w:t xml:space="preserve">Agent Registration and Discovery:</w:t>
      </w:r>
      <w:r>
        <w:rPr>
          <w:rFonts w:ascii="Calibri" w:hAnsi="Calibri" w:eastAsia="宋体" w:cs="Calibri"/>
          <w:szCs w:val="21"/>
        </w:rPr>
        <w:t xml:space="preserve"> Mechanisms for Agents to register with repositories and become discoverable (across the Internet) by capability.</w:t>
      </w:r>
      <w:r/>
    </w:p>
    <w:p>
      <w:pPr>
        <w:widowControl w:val="true"/>
        <w:numPr>
          <w:ilvl w:val="0"/>
          <w:numId w:val="10"/>
        </w:numPr>
        <w:pBdr/>
        <w:spacing w:after="100" w:afterAutospacing="1" w:before="100" w:beforeAutospacing="1"/>
        <w:ind/>
        <w:jc w:val="left"/>
        <w:rPr>
          <w:rFonts w:ascii="Calibri" w:hAnsi="Calibri" w:eastAsia="宋体" w:cs="Calibri"/>
        </w:rPr>
      </w:pPr>
      <w:r>
        <w:rPr>
          <w:rFonts w:ascii="Calibri" w:hAnsi="Calibri" w:eastAsia="宋体" w:cs="Calibri"/>
          <w:szCs w:val="21"/>
        </w:rPr>
      </w:r>
      <w:r>
        <w:rPr>
          <w:rFonts w:ascii="Calibri" w:hAnsi="Calibri" w:eastAsia="宋体" w:cs="Calibri"/>
          <w:b/>
          <w:bCs/>
          <w:szCs w:val="21"/>
        </w:rPr>
        <w:t xml:space="preserve">Agent Communication Scenarios:</w:t>
      </w:r>
      <w:r>
        <w:rPr>
          <w:rFonts w:ascii="Calibri" w:hAnsi="Calibri" w:eastAsia="宋体" w:cs="Calibri"/>
          <w:szCs w:val="21"/>
        </w:rPr>
        <w:t xml:space="preserve"> Constructing (distributed) AI applications by interconnecting multiple (set of) Agents and potentially additional entities Agents also need to talk to, such as MCP (Model Control Protocol) Servers.  “Plug together the distributed application”. Specifically for limited (connectivity) domains such as  6G/home broadband networks, (federated) enterprise networks, and where the AI application involves O&amp;M in infrastructure devices (networks or industrial / infrastructure – plants, power,...).</w:t>
      </w:r>
      <w:r>
        <w:rPr>
          <w:rFonts w:ascii="Calibri" w:hAnsi="Calibri" w:eastAsia="宋体" w:cs="Calibri"/>
        </w:rPr>
      </w:r>
    </w:p>
    <w:p>
      <w:pPr>
        <w:widowControl w:val="true"/>
        <w:pBdr/>
        <w:spacing w:after="100" w:afterAutospacing="1" w:before="100" w:beforeAutospacing="1"/>
        <w:ind/>
        <w:jc w:val="left"/>
        <w:rPr>
          <w:rFonts w:ascii="Calibri" w:hAnsi="Calibri" w:eastAsia="宋体" w:cs="Calibri"/>
          <w:highlight w:val="none"/>
        </w:rPr>
      </w:pPr>
      <w:r>
        <w:rPr>
          <w:rFonts w:ascii="Calibri" w:hAnsi="Calibri" w:eastAsia="宋体" w:cs="Calibri"/>
          <w:szCs w:val="21"/>
        </w:rPr>
        <w:t xml:space="preserve">While 1-3 are critical and will hopefully will evolve (inside or outside the IETF) into  one or few standards that can be freely combined, neither of them aims to directly support to easily instantiate AI applications across the desired communications infrastructure (Internet, Limited/Managed Domain Networks, (Interdomain) (Overlay)-VPNs) – and professionally manage it. </w:t>
      </w:r>
      <w:r>
        <w:rPr>
          <w:rFonts w:ascii="Calibri" w:hAnsi="Calibri" w:eastAsia="宋体" w:cs="Calibri"/>
          <w:szCs w:val="21"/>
        </w:rPr>
      </w:r>
    </w:p>
    <w:p>
      <w:pPr>
        <w:widowControl w:val="true"/>
        <w:pBdr/>
        <w:spacing w:after="100" w:afterAutospacing="1" w:before="100" w:beforeAutospacing="1"/>
        <w:ind/>
        <w:jc w:val="left"/>
        <w:rPr>
          <w:rFonts w:ascii="Calibri" w:hAnsi="Calibri" w:eastAsia="宋体" w:cs="Calibri"/>
          <w:b/>
          <w:bCs/>
          <w:sz w:val="24"/>
          <w:szCs w:val="24"/>
          <w:highlight w:val="none"/>
        </w:rPr>
      </w:pPr>
      <w:r>
        <w:rPr>
          <w:rFonts w:ascii="Calibri" w:hAnsi="Calibri" w:eastAsia="宋体" w:cs="Calibri"/>
          <w:b/>
          <w:bCs/>
          <w:sz w:val="24"/>
          <w:szCs w:val="24"/>
          <w:highlight w:val="none"/>
        </w:rPr>
        <w:t xml:space="preserve">1.1 Challenges with network-layer only Agent Communication Scenarios</w:t>
      </w:r>
      <w:r>
        <w:rPr>
          <w:rFonts w:ascii="Calibri" w:hAnsi="Calibri" w:eastAsia="宋体" w:cs="Calibri"/>
          <w:b/>
          <w:bCs/>
          <w:sz w:val="24"/>
          <w:szCs w:val="24"/>
          <w:highlight w:val="none"/>
        </w:rPr>
      </w:r>
    </w:p>
    <w:p>
      <w:pPr>
        <w:widowControl w:val="true"/>
        <w:pBdr/>
        <w:spacing w:after="100" w:afterAutospacing="1" w:before="100" w:beforeAutospacing="1"/>
        <w:ind/>
        <w:jc w:val="left"/>
        <w:rPr>
          <w:rFonts w:ascii="Calibri" w:hAnsi="Calibri" w:eastAsia="宋体" w:cs="Calibri"/>
          <w:highlight w:val="none"/>
        </w:rPr>
      </w:pPr>
      <w:r>
        <w:rPr>
          <w:rFonts w:ascii="Calibri" w:hAnsi="Calibri" w:eastAsia="宋体" w:cs="Calibri"/>
          <w:szCs w:val="21"/>
          <w:highlight w:val="none"/>
        </w:rPr>
        <w:t xml:space="preserve">Instantiating distributed applications involving AI agents and the likes of MCP servers from potentially multiple parties/business entities over the plethora of pre-existing (private)-network technologies is complex and cumbersome:</w:t>
      </w:r>
      <w:r>
        <w:rPr>
          <w:rFonts w:ascii="Calibri" w:hAnsi="Calibri" w:eastAsia="宋体" w:cs="Calibri"/>
        </w:rPr>
      </w:r>
    </w:p>
    <w:p>
      <w:pPr>
        <w:widowControl w:val="true"/>
        <w:pBdr/>
        <w:spacing w:after="100" w:afterAutospacing="1" w:before="100" w:beforeAutospacing="1"/>
        <w:ind/>
        <w:jc w:val="left"/>
        <w:outlineLvl w:val="2"/>
        <w:rPr>
          <w:rFonts w:ascii="Calibri" w:hAnsi="Calibri" w:eastAsia="宋体" w:cs="Calibri"/>
          <w:b/>
          <w:bCs/>
          <w:szCs w:val="21"/>
        </w:rPr>
      </w:pPr>
      <w:r>
        <w:rPr>
          <w:rFonts w:ascii="Calibri" w:hAnsi="Calibri" w:eastAsia="宋体" w:cs="Calibri"/>
          <w:b/>
          <w:bCs/>
          <w:szCs w:val="21"/>
        </w:rPr>
        <w:t xml:space="preserve">1) Connectivity Management</w:t>
      </w:r>
      <w:r>
        <w:rPr>
          <w:rFonts w:ascii="Calibri" w:hAnsi="Calibri" w:eastAsia="宋体" w:cs="Calibri"/>
          <w:b/>
          <w:bCs/>
          <w:szCs w:val="21"/>
        </w:rPr>
      </w:r>
      <w:r>
        <w:rPr>
          <w:rFonts w:ascii="Calibri" w:hAnsi="Calibri" w:eastAsia="宋体" w:cs="Calibri"/>
          <w:b/>
          <w:bCs/>
          <w:szCs w:val="21"/>
        </w:rPr>
      </w:r>
      <w:r>
        <w:rPr>
          <w:rFonts w:ascii="Calibri" w:hAnsi="Calibri" w:eastAsia="宋体" w:cs="Calibri"/>
          <w:b w:val="0"/>
          <w:bCs w:val="0"/>
          <w:szCs w:val="21"/>
          <w:highlight w:val="none"/>
        </w:rPr>
      </w:r>
      <w:r>
        <w:rPr>
          <w:rFonts w:ascii="Calibri" w:hAnsi="Calibri" w:eastAsia="宋体" w:cs="Calibri"/>
          <w:b w:val="0"/>
          <w:bCs w:val="0"/>
          <w:szCs w:val="21"/>
          <w:highlight w:val="none"/>
        </w:rPr>
      </w:r>
      <w:r>
        <w:rPr>
          <w:rFonts w:ascii="Calibri" w:hAnsi="Calibri" w:eastAsia="宋体" w:cs="Calibri"/>
          <w:b/>
          <w:bCs/>
          <w:szCs w:val="21"/>
        </w:rPr>
      </w:r>
    </w:p>
    <w:p>
      <w:pPr>
        <w:widowControl w:val="true"/>
        <w:numPr>
          <w:ilvl w:val="0"/>
          <w:numId w:val="13"/>
        </w:numPr>
        <w:pBdr/>
        <w:spacing w:after="100" w:afterAutospacing="1" w:before="100" w:beforeAutospacing="1"/>
        <w:ind/>
        <w:jc w:val="left"/>
        <w:rPr>
          <w:rFonts w:ascii="Calibri" w:hAnsi="Calibri" w:eastAsia="宋体" w:cs="Calibri"/>
          <w:b w:val="0"/>
          <w:bCs w:val="0"/>
        </w:rPr>
      </w:pPr>
      <w:r>
        <w:rPr>
          <w:rFonts w:ascii="Calibri" w:hAnsi="Calibri" w:eastAsia="宋体" w:cs="Calibri"/>
          <w:b/>
          <w:bCs/>
          <w:szCs w:val="21"/>
        </w:rPr>
        <w:t xml:space="preserve">Interconnecting isolated network domains: </w:t>
      </w:r>
      <w:r>
        <w:rPr>
          <w:rFonts w:ascii="Calibri" w:hAnsi="Calibri" w:eastAsia="宋体" w:cs="Calibri"/>
          <w:b w:val="0"/>
          <w:bCs w:val="0"/>
          <w:szCs w:val="21"/>
        </w:rPr>
        <w:t xml:space="preserve">Leaking network layer addressing and/or (IPv4) NATing them, combining potentially different private network access technologies (“your agent needs to use LISP to access this other agent” vs. “that other one requires SCION”).</w:t>
      </w:r>
      <w:r>
        <w:rPr>
          <w:rFonts w:ascii="Calibri" w:hAnsi="Calibri" w:eastAsia="宋体" w:cs="Calibri"/>
          <w:b w:val="0"/>
          <w:bCs w:val="0"/>
          <w:szCs w:val="21"/>
        </w:rPr>
      </w:r>
    </w:p>
    <w:p>
      <w:pPr>
        <w:widowControl w:val="true"/>
        <w:numPr>
          <w:ilvl w:val="0"/>
          <w:numId w:val="13"/>
        </w:numPr>
        <w:pBdr/>
        <w:spacing w:after="100" w:afterAutospacing="1" w:before="100" w:beforeAutospacing="1"/>
        <w:ind/>
        <w:jc w:val="left"/>
        <w:rPr>
          <w:rFonts w:ascii="Calibri" w:hAnsi="Calibri" w:eastAsia="宋体" w:cs="Calibri"/>
        </w:rPr>
      </w:pPr>
      <w:r>
        <w:rPr>
          <w:rFonts w:ascii="Calibri" w:hAnsi="Calibri" w:eastAsia="宋体" w:cs="Calibri"/>
          <w:b/>
          <w:bCs/>
          <w:szCs w:val="21"/>
        </w:rPr>
        <w:t xml:space="preserve">Explicit path guarantees / QoS Assurance:</w:t>
      </w:r>
      <w:r>
        <w:rPr>
          <w:rFonts w:ascii="Calibri" w:hAnsi="Calibri" w:eastAsia="宋体" w:cs="Calibri"/>
          <w:szCs w:val="21"/>
        </w:rPr>
        <w:t xml:space="preserve"> Difficulty in ensuring end-to-end performance for latency-sensitive tasks (e.g., real-time voice/video) across OTT or organizational boundaries.</w:t>
      </w:r>
      <w:r>
        <w:rPr>
          <w:rFonts w:ascii="Calibri" w:hAnsi="Calibri" w:eastAsia="宋体" w:cs="Calibri"/>
          <w:szCs w:val="21"/>
        </w:rPr>
      </w:r>
      <w:r/>
    </w:p>
    <w:p>
      <w:pPr>
        <w:widowControl w:val="true"/>
        <w:numPr>
          <w:ilvl w:val="0"/>
          <w:numId w:val="13"/>
        </w:numPr>
        <w:pBdr/>
        <w:spacing w:after="100" w:afterAutospacing="1" w:before="100" w:beforeAutospacing="1"/>
        <w:ind/>
        <w:jc w:val="left"/>
        <w:rPr>
          <w:rFonts w:ascii="Calibri" w:hAnsi="Calibri" w:eastAsia="宋体" w:cs="Calibri"/>
          <w:szCs w:val="21"/>
        </w:rPr>
      </w:pPr>
      <w:r>
        <w:rPr>
          <w:rFonts w:ascii="Calibri" w:hAnsi="Calibri" w:eastAsia="宋体" w:cs="Calibri"/>
          <w:b/>
          <w:bCs/>
          <w:szCs w:val="21"/>
        </w:rPr>
        <w:t xml:space="preserve">Group Communication (Multicast/Incast):</w:t>
      </w:r>
      <w:r>
        <w:rPr>
          <w:rFonts w:ascii="Calibri" w:hAnsi="Calibri" w:eastAsia="宋体" w:cs="Calibri"/>
          <w:szCs w:val="21"/>
        </w:rPr>
        <w:t xml:space="preserve"> Challenges in efficiently organizing multi-Agent collaboration or dynamic virtual networks/service chains.</w:t>
      </w:r>
      <w:r>
        <w:rPr>
          <w:rFonts w:ascii="Calibri" w:hAnsi="Calibri" w:eastAsia="宋体" w:cs="Calibri"/>
          <w:szCs w:val="21"/>
        </w:rPr>
      </w:r>
      <w:r>
        <w:rPr>
          <w:rFonts w:ascii="Calibri" w:hAnsi="Calibri" w:eastAsia="宋体" w:cs="Calibri"/>
          <w:szCs w:val="21"/>
        </w:rPr>
      </w:r>
    </w:p>
    <w:p>
      <w:pPr>
        <w:widowControl w:val="true"/>
        <w:numPr>
          <w:ilvl w:val="0"/>
          <w:numId w:val="13"/>
        </w:numPr>
        <w:pBdr/>
        <w:spacing w:after="100" w:afterAutospacing="1" w:before="100" w:beforeAutospacing="1"/>
        <w:ind/>
        <w:jc w:val="left"/>
        <w:rPr>
          <w:rFonts w:ascii="Calibri" w:hAnsi="Calibri" w:eastAsia="宋体" w:cs="Calibri"/>
        </w:rPr>
      </w:pPr>
      <w:r>
        <w:rPr>
          <w:rFonts w:ascii="Calibri" w:hAnsi="Calibri" w:eastAsia="宋体" w:cs="Calibri"/>
          <w:b/>
          <w:bCs/>
          <w:szCs w:val="21"/>
        </w:rPr>
        <w:t xml:space="preserve">Mobility Management:</w:t>
      </w:r>
      <w:r>
        <w:rPr>
          <w:rFonts w:ascii="Calibri" w:hAnsi="Calibri" w:eastAsia="宋体" w:cs="Calibri"/>
          <w:szCs w:val="21"/>
        </w:rPr>
        <w:t xml:space="preserve"> Handling rapid handovers when Agent IP addresses change during active sessions.</w:t>
      </w:r>
      <w:r>
        <w:rPr>
          <w:rFonts w:ascii="Calibri" w:hAnsi="Calibri" w:eastAsia="宋体" w:cs="Calibri"/>
          <w:szCs w:val="21"/>
        </w:rPr>
      </w:r>
      <w:r>
        <w:rPr>
          <w:rFonts w:ascii="Calibri" w:hAnsi="Calibri" w:eastAsia="宋体" w:cs="Calibri"/>
          <w:szCs w:val="21"/>
          <w:highlight w:val="none"/>
        </w:rPr>
      </w:r>
      <w:r>
        <w:rPr>
          <w:rFonts w:ascii="Calibri" w:hAnsi="Calibri" w:eastAsia="宋体" w:cs="Calibri"/>
          <w:szCs w:val="21"/>
          <w:highlight w:val="none"/>
        </w:rPr>
      </w:r>
      <w:r>
        <w:rPr>
          <w:rFonts w:ascii="Calibri" w:hAnsi="Calibri" w:eastAsia="宋体" w:cs="Calibri"/>
        </w:rPr>
      </w:r>
    </w:p>
    <w:p>
      <w:pPr>
        <w:widowControl w:val="true"/>
        <w:pBdr/>
        <w:spacing w:after="100" w:afterAutospacing="1" w:before="100" w:beforeAutospacing="1"/>
        <w:ind/>
        <w:jc w:val="left"/>
        <w:outlineLvl w:val="2"/>
        <w:rPr>
          <w:rFonts w:ascii="Calibri" w:hAnsi="Calibri" w:eastAsia="宋体" w:cs="Calibri"/>
          <w:b/>
          <w:bCs/>
          <w:szCs w:val="21"/>
        </w:rPr>
      </w:pPr>
      <w:r>
        <w:rPr>
          <w:rFonts w:ascii="Calibri" w:hAnsi="Calibri" w:eastAsia="宋体" w:cs="Calibri"/>
          <w:b/>
          <w:bCs/>
          <w:szCs w:val="21"/>
        </w:rPr>
        <w:t xml:space="preserve">2) Security &amp; Observability Management</w:t>
      </w:r>
      <w:r>
        <w:rPr>
          <w:rFonts w:ascii="Calibri" w:hAnsi="Calibri" w:eastAsia="宋体" w:cs="Calibri"/>
          <w:b/>
          <w:bCs/>
          <w:szCs w:val="21"/>
        </w:rPr>
      </w:r>
      <w:r>
        <w:rPr>
          <w:rFonts w:ascii="Calibri" w:hAnsi="Calibri" w:eastAsia="宋体" w:cs="Calibri"/>
          <w:b/>
          <w:bCs/>
          <w:szCs w:val="21"/>
        </w:rPr>
      </w:r>
      <w:r>
        <w:rPr>
          <w:rFonts w:ascii="Calibri" w:hAnsi="Calibri" w:eastAsia="宋体" w:cs="Calibri"/>
          <w:szCs w:val="21"/>
          <w:highlight w:val="none"/>
        </w:rPr>
      </w:r>
      <w:r>
        <w:rPr>
          <w:rFonts w:ascii="Calibri" w:hAnsi="Calibri" w:eastAsia="宋体" w:cs="Calibri"/>
          <w:szCs w:val="21"/>
          <w:highlight w:val="none"/>
        </w:rPr>
      </w:r>
      <w:r>
        <w:rPr>
          <w:rFonts w:ascii="Calibri" w:hAnsi="Calibri" w:eastAsia="宋体" w:cs="Calibri"/>
          <w:b/>
          <w:bCs/>
          <w:szCs w:val="21"/>
        </w:rPr>
      </w:r>
    </w:p>
    <w:p>
      <w:pPr>
        <w:widowControl w:val="true"/>
        <w:numPr>
          <w:ilvl w:val="0"/>
          <w:numId w:val="13"/>
        </w:numPr>
        <w:pBdr/>
        <w:spacing w:after="100" w:afterAutospacing="1" w:before="100" w:beforeAutospacing="1"/>
        <w:ind/>
        <w:jc w:val="left"/>
        <w:rPr>
          <w:rFonts w:ascii="Calibri" w:hAnsi="Calibri" w:eastAsia="宋体" w:cs="Calibri"/>
        </w:rPr>
      </w:pPr>
      <w:r>
        <w:rPr>
          <w:rFonts w:ascii="Calibri" w:hAnsi="Calibri" w:eastAsia="宋体" w:cs="Calibri"/>
          <w:szCs w:val="21"/>
        </w:rPr>
      </w:r>
      <w:r>
        <w:rPr>
          <w:rFonts w:ascii="Calibri" w:hAnsi="Calibri" w:eastAsia="宋体" w:cs="Calibri"/>
          <w:b/>
          <w:bCs/>
          <w:szCs w:val="21"/>
        </w:rPr>
        <w:t xml:space="preserve">Scalability:</w:t>
      </w:r>
      <w:r>
        <w:rPr>
          <w:rFonts w:ascii="Calibri" w:hAnsi="Calibri" w:eastAsia="宋体" w:cs="Calibri"/>
          <w:szCs w:val="21"/>
        </w:rPr>
        <w:t xml:space="preserve"> Without intermediate forwarding/routing infratructures part of the trust domain of the application, full-mesh connectivity between Agents is likely necessary, leading to Full-mesh authentication and it’s N^2 scalability </w:t>
      </w:r>
      <w:r>
        <w:rPr>
          <w:rFonts w:ascii="Calibri" w:hAnsi="Calibri" w:eastAsia="宋体" w:cs="Calibri"/>
          <w:szCs w:val="21"/>
        </w:rPr>
        <w:t xml:space="preserve"> complexity for permission management.</w:t>
      </w:r>
      <w:r>
        <w:rPr>
          <w:rFonts w:ascii="Calibri" w:hAnsi="Calibri" w:eastAsia="宋体" w:cs="Calibri"/>
        </w:rPr>
      </w:r>
    </w:p>
    <w:p>
      <w:pPr>
        <w:widowControl w:val="true"/>
        <w:numPr>
          <w:ilvl w:val="0"/>
          <w:numId w:val="13"/>
        </w:numPr>
        <w:pBdr/>
        <w:spacing w:after="100" w:afterAutospacing="1" w:before="100" w:beforeAutospacing="1"/>
        <w:ind/>
        <w:jc w:val="left"/>
        <w:rPr>
          <w:rFonts w:ascii="Calibri" w:hAnsi="Calibri" w:eastAsia="宋体" w:cs="Calibri"/>
        </w:rPr>
      </w:pPr>
      <w:r>
        <w:rPr>
          <w:rFonts w:ascii="Calibri" w:hAnsi="Calibri" w:eastAsia="宋体" w:cs="Calibri"/>
          <w:szCs w:val="21"/>
        </w:rPr>
      </w:r>
      <w:r>
        <w:rPr>
          <w:rFonts w:ascii="Calibri" w:hAnsi="Calibri" w:eastAsia="宋体" w:cs="Calibri"/>
          <w:b/>
          <w:bCs/>
          <w:szCs w:val="21"/>
        </w:rPr>
        <w:t xml:space="preserve">Governance:</w:t>
      </w:r>
      <w:r>
        <w:rPr>
          <w:rFonts w:ascii="Calibri" w:hAnsi="Calibri" w:eastAsia="宋体" w:cs="Calibri"/>
          <w:szCs w:val="21"/>
        </w:rPr>
        <w:t xml:space="preserve"> The need for central proxies to handle charging, policy enforcement, and regulatory interception in carrier or enterprise networks.</w:t>
      </w:r>
      <w:r>
        <w:rPr>
          <w:rFonts w:ascii="Calibri" w:hAnsi="Calibri" w:eastAsia="宋体" w:cs="Calibri"/>
        </w:rPr>
      </w:r>
    </w:p>
    <w:p>
      <w:pPr>
        <w:widowControl w:val="true"/>
        <w:numPr>
          <w:ilvl w:val="0"/>
          <w:numId w:val="13"/>
        </w:numPr>
        <w:pBdr/>
        <w:spacing w:after="100" w:afterAutospacing="1" w:before="100" w:beforeAutospacing="1"/>
        <w:ind/>
        <w:jc w:val="left"/>
        <w:rPr>
          <w:rFonts w:ascii="Calibri" w:hAnsi="Calibri" w:eastAsia="宋体" w:cs="Calibri"/>
        </w:rPr>
      </w:pPr>
      <w:r>
        <w:rPr>
          <w:rFonts w:ascii="Calibri" w:hAnsi="Calibri" w:eastAsia="宋体" w:cs="Calibri"/>
          <w:szCs w:val="21"/>
        </w:rPr>
      </w:r>
      <w:r>
        <w:rPr>
          <w:rFonts w:ascii="Calibri" w:hAnsi="Calibri" w:eastAsia="宋体" w:cs="Calibri"/>
          <w:b/>
          <w:bCs/>
          <w:szCs w:val="21"/>
        </w:rPr>
        <w:t xml:space="preserve">Observability:</w:t>
      </w:r>
      <w:r>
        <w:rPr>
          <w:rFonts w:ascii="Calibri" w:hAnsi="Calibri" w:eastAsia="宋体" w:cs="Calibri"/>
          <w:szCs w:val="21"/>
        </w:rPr>
        <w:t xml:space="preserve"> The requirement for operators to monitor Agent status and traffic patterns for optimization and security auditing.</w:t>
      </w:r>
      <w:r>
        <w:rPr>
          <w:rFonts w:ascii="Calibri" w:hAnsi="Calibri" w:eastAsia="宋体" w:cs="Calibri"/>
        </w:rPr>
      </w:r>
      <w:r/>
    </w:p>
    <w:p>
      <w:pPr>
        <w:widowControl w:val="true"/>
        <w:pBdr/>
        <w:spacing w:after="100" w:afterAutospacing="1" w:before="100" w:beforeAutospacing="1"/>
        <w:ind/>
        <w:jc w:val="left"/>
        <w:rPr>
          <w:rFonts w:ascii="Calibri" w:hAnsi="Calibri" w:eastAsia="宋体" w:cs="Calibri"/>
          <w:b/>
          <w:bCs/>
          <w:sz w:val="24"/>
          <w:szCs w:val="24"/>
          <w:highlight w:val="none"/>
        </w:rPr>
      </w:pPr>
      <w:r>
        <w:rPr>
          <w:rFonts w:ascii="Calibri" w:hAnsi="Calibri" w:eastAsia="宋体" w:cs="Calibri"/>
          <w:b/>
          <w:bCs/>
          <w:sz w:val="24"/>
          <w:szCs w:val="24"/>
          <w:highlight w:val="none"/>
        </w:rPr>
        <w:t xml:space="preserve">1.2 Applying lessons from other application domains</w:t>
      </w:r>
      <w:r>
        <w:rPr>
          <w:rFonts w:ascii="Calibri" w:hAnsi="Calibri" w:eastAsia="宋体" w:cs="Calibri"/>
          <w:b/>
          <w:bCs/>
          <w:sz w:val="24"/>
          <w:szCs w:val="24"/>
          <w:highlight w:val="none"/>
        </w:rPr>
      </w:r>
    </w:p>
    <w:p>
      <w:pPr>
        <w:widowControl w:val="true"/>
        <w:pBdr/>
        <w:spacing w:after="100" w:afterAutospacing="1" w:before="100" w:beforeAutospacing="1"/>
        <w:ind/>
        <w:jc w:val="left"/>
        <w:rPr>
          <w:rFonts w:ascii="Calibri" w:hAnsi="Calibri" w:eastAsia="宋体" w:cs="Calibri"/>
          <w:highlight w:val="none"/>
        </w:rPr>
      </w:pPr>
      <w:r>
        <w:rPr>
          <w:rFonts w:ascii="Calibri" w:hAnsi="Calibri" w:eastAsia="宋体" w:cs="Calibri"/>
          <w:szCs w:val="21"/>
          <w:highlight w:val="none"/>
        </w:rPr>
        <w:t xml:space="preserve">Other widely deployed application domains such as “the web” have long since elevated the construction and management of such communication scenarios from network layer internetworking (IP/IPv6) into their specific domain via a variety of (e.g.: HTTP) “proxy” type intermediate devices/software-modules covering functions including all or many of the prior: (access) control, routing, registration/load-splitting, and (secure) forwarding (across mutually isolated domain boundaries). Likewise in IoT similar frameworks exist through brokers and proxies of various protocols including IETFs own CoAP suite of protocols.</w:t>
      </w:r>
      <w:r>
        <w:rPr>
          <w:rFonts w:ascii="Calibri" w:hAnsi="Calibri" w:eastAsia="宋体" w:cs="Calibri"/>
        </w:rPr>
      </w:r>
    </w:p>
    <w:p>
      <w:pPr>
        <w:widowControl w:val="true"/>
        <w:pBdr/>
        <w:spacing w:after="100" w:afterAutospacing="1" w:before="100" w:beforeAutospacing="1"/>
        <w:ind/>
        <w:jc w:val="left"/>
        <w:rPr>
          <w:rFonts w:ascii="Calibri" w:hAnsi="Calibri" w:eastAsia="宋体" w:cs="Calibri"/>
          <w:highlight w:val="none"/>
        </w:rPr>
      </w:pPr>
      <w:r>
        <w:rPr>
          <w:rFonts w:ascii="Calibri" w:hAnsi="Calibri" w:eastAsia="宋体" w:cs="Calibri"/>
          <w:szCs w:val="21"/>
          <w:highlight w:val="none"/>
        </w:rPr>
        <w:t xml:space="preserve">AI Agent communication scenarios are a significant enough new application domain that it justifies a new domain specific solution suite for these problems, adopting but adjusting those prior learned approaches. Simply re-using pre-existing solutions from other application domains causes a lot of unnecessary complexities and limitations due to significant mismatches. For example, URLs in the web are about content, not target identity/capabilities of agents/server.  </w:t>
      </w:r>
      <w:r>
        <w:rPr>
          <w:rFonts w:ascii="Calibri" w:hAnsi="Calibri" w:eastAsia="宋体" w:cs="Calibri"/>
        </w:rPr>
      </w:r>
    </w:p>
    <w:p>
      <w:pPr>
        <w:widowControl w:val="true"/>
        <w:pBdr/>
        <w:spacing w:after="100" w:afterAutospacing="1" w:before="100" w:beforeAutospacing="1"/>
        <w:ind/>
        <w:jc w:val="left"/>
        <w:rPr>
          <w:rFonts w:ascii="Calibri" w:hAnsi="Calibri" w:eastAsia="宋体" w:cs="Calibri"/>
        </w:rPr>
      </w:pPr>
      <w:r>
        <w:rPr>
          <w:rFonts w:ascii="Calibri" w:hAnsi="Calibri" w:eastAsia="宋体" w:cs="Calibri"/>
          <w:szCs w:val="21"/>
          <w:highlight w:val="none"/>
        </w:rPr>
        <w:t xml:space="preserve">Foremost though, the protocol suites used by pre-existing domains where never designed for deployment on dedicated equipment such as high-speed “network router NPU” type devices: In the “web” protocols, forwarders incrementally evolved as fixes for incrementally new problems and where not even capable to support (network, processing)  constraints – as proven by the duplication of protocols then necessary for the IoT world (http -&gt; coap, json -&gt; cbor – and so on). And those “constrained network” protocols such as CoAP where never designed for minimum per packet  header processing overhead feasible with high-speed accelerated processing hardware (such as P4 Tofino or network vendor NPUs). Instead, their protocol stack includes compute expensive header compression to afford extremely limited network bandwidth.</w:t>
      </w:r>
      <w:r/>
      <w:r/>
    </w:p>
    <w:p>
      <w:pPr>
        <w:widowControl w:val="true"/>
        <w:pBdr/>
        <w:spacing w:after="100" w:afterAutospacing="1" w:before="100" w:beforeAutospacing="1"/>
        <w:ind/>
        <w:jc w:val="left"/>
        <w:rPr>
          <w:rFonts w:ascii="Calibri" w:hAnsi="Calibri" w:eastAsia="宋体" w:cs="Calibri"/>
          <w:b/>
          <w:bCs/>
          <w:sz w:val="24"/>
          <w:szCs w:val="24"/>
        </w:rPr>
      </w:pPr>
      <w:r>
        <w:rPr>
          <w:rFonts w:ascii="Calibri" w:hAnsi="Calibri" w:eastAsia="宋体" w:cs="Calibri"/>
          <w:b/>
          <w:bCs/>
          <w:sz w:val="24"/>
          <w:szCs w:val="24"/>
        </w:rPr>
        <w:t xml:space="preserve">1.3 Solution Approach: Agent Communications Internet Protocol</w:t>
      </w:r>
      <w:r>
        <w:rPr>
          <w:rFonts w:ascii="Calibri" w:hAnsi="Calibri" w:eastAsia="宋体" w:cs="Calibri"/>
          <w:b/>
          <w:bCs/>
          <w:sz w:val="24"/>
          <w:szCs w:val="24"/>
        </w:rPr>
      </w:r>
    </w:p>
    <w:p>
      <w:pPr>
        <w:widowControl w:val="true"/>
        <w:pBdr/>
        <w:spacing w:after="100" w:afterAutospacing="1" w:before="100" w:beforeAutospacing="1"/>
        <w:ind/>
        <w:jc w:val="left"/>
        <w:rPr>
          <w:rFonts w:ascii="Calibri" w:hAnsi="Calibri" w:eastAsia="宋体" w:cs="Calibri"/>
        </w:rPr>
      </w:pPr>
      <w:r>
        <w:rPr>
          <w:rFonts w:ascii="Calibri" w:hAnsi="Calibri" w:eastAsia="宋体" w:cs="Calibri"/>
          <w:szCs w:val="21"/>
        </w:rPr>
        <w:t xml:space="preserve">To address these challenges, the WG intends to define an appropriate “Agent Communications ‘Internet’ Protocol” (tentatively called ACIP) with </w:t>
      </w:r>
      <w:r>
        <w:rPr>
          <w:rFonts w:ascii="Calibri" w:hAnsi="Calibri" w:eastAsia="宋体" w:cs="Calibri"/>
          <w:b/>
          <w:bCs/>
          <w:szCs w:val="21"/>
        </w:rPr>
        <w:t xml:space="preserve">ACIP-routers </w:t>
      </w:r>
      <w:r>
        <w:rPr>
          <w:rFonts w:ascii="Calibri" w:hAnsi="Calibri" w:eastAsia="宋体" w:cs="Calibri"/>
          <w:szCs w:val="21"/>
        </w:rPr>
        <w:t xml:space="preserve">acting as the proxy/gateways/forwarders of ACIP messages, with application domain specific addressing (e.g.: Agent/MCP-Server/topic based addressing) hopefully URI formatting, but high-speed routeable.</w:t>
      </w:r>
      <w:r>
        <w:rPr>
          <w:rFonts w:ascii="Calibri" w:hAnsi="Calibri" w:eastAsia="宋体" w:cs="Calibri"/>
        </w:rPr>
      </w:r>
    </w:p>
    <w:p>
      <w:pPr>
        <w:widowControl w:val="true"/>
        <w:pBdr/>
        <w:spacing w:after="100" w:afterAutospacing="1" w:before="100" w:beforeAutospacing="1"/>
        <w:ind/>
        <w:jc w:val="left"/>
        <w:rPr>
          <w:rFonts w:ascii="Calibri" w:hAnsi="Calibri" w:eastAsia="宋体" w:cs="Calibri"/>
          <w:highlight w:val="none"/>
        </w:rPr>
      </w:pPr>
      <w:r>
        <w:rPr>
          <w:rFonts w:ascii="Calibri" w:hAnsi="Calibri" w:eastAsia="宋体" w:cs="Calibri"/>
          <w:szCs w:val="21"/>
        </w:rPr>
        <w:t xml:space="preserve">ACIP would act as a layer between the network layers of the different network domains (Internet, private IPv4, IPv6 networks, MPLS forwarding networks, L2-only industrial/IoT networks) and the application domain specific A2A protocols (including MCP) running over ACIP to decouple those A2A protocols from all the aforementioned networking layer complexities</w:t>
      </w:r>
      <w:r>
        <w:rPr>
          <w:rFonts w:ascii="Calibri" w:hAnsi="Calibri" w:eastAsia="宋体" w:cs="Calibri"/>
          <w:szCs w:val="21"/>
        </w:rPr>
        <w:t xml:space="preserve">.</w:t>
      </w:r>
      <w:r>
        <w:rPr>
          <w:rFonts w:ascii="Calibri" w:hAnsi="Calibri" w:eastAsia="宋体" w:cs="Calibri"/>
          <w:szCs w:val="21"/>
        </w:rPr>
        <w:t xml:space="preserve"> </w:t>
      </w:r>
      <w:r/>
      <w:r/>
      <w:r>
        <w:rPr>
          <w:rFonts w:ascii="Calibri" w:hAnsi="Calibri" w:eastAsia="宋体" w:cs="Calibri"/>
        </w:rPr>
      </w:r>
    </w:p>
    <w:p>
      <w:pPr>
        <w:widowControl w:val="true"/>
        <w:pBdr/>
        <w:spacing w:after="100" w:afterAutospacing="1" w:before="100" w:beforeAutospacing="1"/>
        <w:ind/>
        <w:jc w:val="left"/>
        <w:rPr>
          <w:rFonts w:ascii="Calibri" w:hAnsi="Calibri" w:eastAsia="宋体" w:cs="Calibri"/>
          <w:highlight w:val="none"/>
        </w:rPr>
      </w:pPr>
      <w:r>
        <w:rPr>
          <w:rFonts w:ascii="Calibri" w:hAnsi="Calibri" w:eastAsia="宋体" w:cs="Calibri"/>
          <w:szCs w:val="21"/>
          <w:highlight w:val="none"/>
        </w:rPr>
        <w:t xml:space="preserve">ACIP takes the place of HTTP in typical web-proxy deployments, but does not replace it, if the A2A protocol running on top of ACIP includes HTTP as well. </w:t>
      </w:r>
      <w:r>
        <w:rPr>
          <w:rFonts w:ascii="Calibri" w:hAnsi="Calibri" w:eastAsia="宋体" w:cs="Calibri"/>
          <w:highlight w:val="none"/>
        </w:rPr>
      </w:r>
    </w:p>
    <w:p>
      <w:pPr>
        <w:widowControl w:val="true"/>
        <w:pBdr/>
        <w:spacing w:after="100" w:afterAutospacing="1" w:before="100" w:beforeAutospacing="1"/>
        <w:ind/>
        <w:jc w:val="left"/>
        <w:rPr>
          <w:rFonts w:ascii="Calibri" w:hAnsi="Calibri" w:eastAsia="宋体" w:cs="Calibri"/>
          <w:highlight w:val="none"/>
        </w:rPr>
      </w:pPr>
      <w:r>
        <w:rPr>
          <w:rFonts w:ascii="Calibri" w:hAnsi="Calibri" w:eastAsia="宋体" w:cs="Calibri"/>
          <w:szCs w:val="21"/>
          <w:highlight w:val="none"/>
        </w:rPr>
        <w:t xml:space="preserve">ACIP is specifically named Internet protocol instead of Transport protocol (as in HTTP), because it does share the aspect of domain specific addressing with HTTP, but focuses on the internet layer functions (routing/forwarding/policies and derived complexer functions – load-splitting, group communications, assigning/managing application(host) addressing). </w:t>
      </w:r>
      <w:r>
        <w:rPr>
          <w:rFonts w:ascii="Calibri" w:hAnsi="Calibri" w:eastAsia="宋体" w:cs="Calibri"/>
          <w:highlight w:val="none"/>
        </w:rPr>
      </w:r>
    </w:p>
    <w:p>
      <w:pPr>
        <w:widowControl w:val="true"/>
        <w:pBdr/>
        <w:spacing w:after="100" w:afterAutospacing="1" w:before="100" w:beforeAutospacing="1"/>
        <w:ind/>
        <w:jc w:val="left"/>
        <w:rPr>
          <w:rFonts w:ascii="Calibri" w:hAnsi="Calibri" w:eastAsia="宋体" w:cs="Calibri"/>
          <w:highlight w:val="none"/>
        </w:rPr>
      </w:pPr>
      <w:r>
        <w:rPr>
          <w:rFonts w:ascii="Calibri" w:hAnsi="Calibri" w:eastAsia="宋体" w:cs="Calibri"/>
          <w:szCs w:val="21"/>
          <w:highlight w:val="none"/>
        </w:rPr>
        <w:t xml:space="preserve">Like HTTP, it outsources classical ‘IETF transport’ layer functions end-to-end to the transport stack of the end-to-end protocol on top (e.g.: TCP but better QUIC). Nevertheless, it should include state-of-the art congestion management aspects in ACIP routers (e.g.: L4S or similar).</w:t>
      </w:r>
      <w:r/>
      <w:r/>
    </w:p>
    <w:p>
      <w:pPr>
        <w:widowControl w:val="true"/>
        <w:pBdr/>
        <w:spacing w:after="100" w:afterAutospacing="1" w:before="100" w:beforeAutospacing="1"/>
        <w:ind/>
        <w:jc w:val="left"/>
        <w:rPr>
          <w:rFonts w:ascii="Calibri" w:hAnsi="Calibri" w:eastAsia="宋体" w:cs="Calibri"/>
          <w:szCs w:val="21"/>
        </w:rPr>
      </w:pPr>
      <w:r>
        <w:rPr>
          <w:rFonts w:ascii="Calibri" w:hAnsi="Calibri" w:eastAsia="宋体" w:cs="Calibri"/>
          <w:szCs w:val="21"/>
        </w:rPr>
        <w:t xml:space="preserve">Notes: Several open-source and commercial Agent Gateway (like ACIP-router, but without necessary the same protocol focus) projects have already emerged in the industry (e.g., the Linux Foundation’s “</w:t>
      </w:r>
      <w:r>
        <w:rPr>
          <w:rFonts w:ascii="Calibri" w:hAnsi="Calibri" w:eastAsia="宋体" w:cs="Calibri"/>
          <w:szCs w:val="21"/>
        </w:rPr>
        <w:t xml:space="preserve">agentgateway</w:t>
      </w:r>
      <w:r>
        <w:rPr>
          <w:rFonts w:ascii="Calibri" w:hAnsi="Calibri" w:eastAsia="宋体" w:cs="Calibri"/>
          <w:szCs w:val="21"/>
        </w:rPr>
        <w:t xml:space="preserve">” project, the Agent Gateway Protocol proposed by the A2A community, and GRAVI</w:t>
      </w:r>
      <w:r>
        <w:rPr>
          <w:rFonts w:ascii="Calibri" w:hAnsi="Calibri" w:eastAsia="宋体" w:cs="Calibri"/>
          <w:szCs w:val="21"/>
        </w:rPr>
        <w:t xml:space="preserve">TEE’s commercial solutions built around the A2A/MCP ecosystem). These projects mainly target the security and observability challenges mentioned above, indicating a clear industry trend and providing a prominent sign of future standardization requirements.</w:t>
      </w:r>
      <w:bookmarkStart w:id="0" w:name="_GoBack"/>
      <w:r/>
      <w:bookmarkEnd w:id="0"/>
      <w:r/>
      <w:r>
        <w:rPr>
          <w:rFonts w:ascii="Calibri" w:hAnsi="Calibri" w:eastAsia="宋体" w:cs="Calibri"/>
          <w:szCs w:val="21"/>
        </w:rPr>
      </w:r>
    </w:p>
    <w:p>
      <w:pPr>
        <w:widowControl w:val="true"/>
        <w:pBdr/>
        <w:spacing w:after="100" w:afterAutospacing="1" w:before="100" w:beforeAutospacing="1"/>
        <w:ind/>
        <w:jc w:val="left"/>
        <w:outlineLvl w:val="2"/>
        <w:rPr>
          <w:rFonts w:ascii="Calibri" w:hAnsi="Calibri" w:eastAsia="宋体" w:cs="Calibri"/>
          <w:b/>
          <w:bCs/>
          <w:sz w:val="24"/>
          <w:szCs w:val="21"/>
        </w:rPr>
      </w:pPr>
      <w:r>
        <w:rPr>
          <w:rFonts w:ascii="Calibri" w:hAnsi="Calibri" w:eastAsia="宋体" w:cs="Calibri"/>
          <w:b/>
          <w:bCs/>
          <w:sz w:val="24"/>
          <w:szCs w:val="21"/>
        </w:rPr>
        <w:t xml:space="preserve">2. Scope</w:t>
      </w:r>
      <w:r>
        <w:rPr>
          <w:rFonts w:ascii="Calibri" w:hAnsi="Calibri" w:eastAsia="宋体" w:cs="Calibri"/>
          <w:b/>
          <w:bCs/>
          <w:sz w:val="24"/>
          <w:szCs w:val="21"/>
        </w:rPr>
      </w:r>
    </w:p>
    <w:p>
      <w:pPr>
        <w:widowControl w:val="true"/>
        <w:pBdr/>
        <w:spacing w:after="100" w:afterAutospacing="1" w:before="100" w:beforeAutospacing="1"/>
        <w:ind/>
        <w:jc w:val="left"/>
        <w:rPr>
          <w:rFonts w:ascii="Calibri" w:hAnsi="Calibri" w:eastAsia="宋体" w:cs="Calibri"/>
          <w:szCs w:val="21"/>
        </w:rPr>
      </w:pPr>
      <w:r>
        <w:rPr>
          <w:rFonts w:ascii="Calibri" w:hAnsi="Calibri" w:eastAsia="宋体" w:cs="Calibri"/>
          <w:szCs w:val="21"/>
        </w:rPr>
        <w:t xml:space="preserve">The </w:t>
      </w:r>
      <w:r>
        <w:rPr>
          <w:rFonts w:ascii="Calibri" w:hAnsi="Calibri" w:eastAsia="宋体" w:cs="Calibri"/>
          <w:szCs w:val="21"/>
        </w:rPr>
        <w:t xml:space="preserve">ACI</w:t>
      </w:r>
      <w:r>
        <w:rPr>
          <w:rFonts w:ascii="Calibri" w:hAnsi="Calibri" w:eastAsia="宋体" w:cs="Calibri"/>
          <w:szCs w:val="21"/>
        </w:rPr>
        <w:t xml:space="preserve"> working group will cover three areas on:</w:t>
      </w:r>
      <w:r>
        <w:rPr>
          <w:rFonts w:ascii="Calibri" w:hAnsi="Calibri" w:eastAsia="宋体" w:cs="Calibri"/>
          <w:szCs w:val="21"/>
        </w:rPr>
      </w:r>
    </w:p>
    <w:p>
      <w:pPr>
        <w:widowControl w:val="true"/>
        <w:numPr>
          <w:ilvl w:val="0"/>
          <w:numId w:val="2"/>
        </w:numPr>
        <w:pBdr/>
        <w:spacing w:after="100" w:afterAutospacing="1" w:before="100" w:beforeAutospacing="1"/>
        <w:ind/>
        <w:jc w:val="left"/>
        <w:rPr>
          <w:rFonts w:ascii="Calibri" w:hAnsi="Calibri" w:eastAsia="宋体" w:cs="Calibri"/>
          <w:szCs w:val="21"/>
        </w:rPr>
      </w:pPr>
      <w:r>
        <w:rPr>
          <w:rFonts w:ascii="Calibri" w:hAnsi="Calibri" w:eastAsia="宋体" w:cs="Calibri"/>
          <w:b/>
          <w:szCs w:val="21"/>
        </w:rPr>
        <w:t xml:space="preserve">Architecture/Protocol of the ACIP based internetworking layer / ACIP-routers: </w:t>
      </w:r>
      <w:r>
        <w:rPr>
          <w:rFonts w:ascii="Calibri" w:hAnsi="Calibri" w:eastAsia="宋体" w:cs="Calibri"/>
          <w:b w:val="0"/>
          <w:bCs w:val="0"/>
          <w:szCs w:val="21"/>
        </w:rPr>
        <w:t xml:space="preserve">ACIP message formats, forwarding, processing rules</w:t>
      </w:r>
      <w:r>
        <w:rPr>
          <w:rFonts w:ascii="Calibri" w:hAnsi="Calibri" w:eastAsia="宋体" w:cs="Calibri"/>
          <w:b w:val="0"/>
          <w:bCs w:val="0"/>
          <w:szCs w:val="21"/>
        </w:rPr>
      </w:r>
      <w:r>
        <w:rPr>
          <w:rFonts w:ascii="Calibri" w:hAnsi="Calibri" w:eastAsia="宋体" w:cs="Calibri"/>
          <w:szCs w:val="21"/>
        </w:rPr>
      </w:r>
    </w:p>
    <w:p>
      <w:pPr>
        <w:widowControl w:val="true"/>
        <w:numPr>
          <w:ilvl w:val="0"/>
          <w:numId w:val="2"/>
        </w:numPr>
        <w:pBdr/>
        <w:spacing w:after="100" w:afterAutospacing="1" w:before="100" w:beforeAutospacing="1"/>
        <w:ind/>
        <w:jc w:val="left"/>
        <w:rPr>
          <w:rFonts w:ascii="Calibri" w:hAnsi="Calibri" w:eastAsia="宋体" w:cs="Calibri"/>
          <w:szCs w:val="21"/>
        </w:rPr>
      </w:pPr>
      <w:r>
        <w:rPr>
          <w:rFonts w:hint="eastAsia" w:ascii="Calibri" w:hAnsi="Calibri" w:eastAsia="宋体" w:cs="Calibri"/>
          <w:b/>
          <w:szCs w:val="21"/>
        </w:rPr>
        <w:t xml:space="preserve">ACIP-Host (Agent/MCP-Server) to ACIP-router </w:t>
      </w:r>
      <w:r>
        <w:rPr>
          <w:rFonts w:hint="eastAsia" w:ascii="Calibri" w:hAnsi="Calibri" w:eastAsia="宋体" w:cs="Calibri"/>
          <w:b/>
          <w:szCs w:val="21"/>
        </w:rPr>
        <w:t xml:space="preserve">control-plane</w:t>
      </w:r>
      <w:r>
        <w:rPr>
          <w:rFonts w:ascii="Calibri" w:hAnsi="Calibri" w:eastAsia="宋体" w:cs="Calibri"/>
          <w:szCs w:val="21"/>
        </w:rPr>
        <w:t xml:space="preserve">: Additional ACIP related signaling, discovery, registration. Transition solutions (making ACIP edge-router appear as Agent to allow unmodified A2A protocol only Agents to utilize ACIP deployments)...</w:t>
      </w:r>
      <w:r>
        <w:rPr>
          <w:rFonts w:ascii="Calibri" w:hAnsi="Calibri" w:eastAsia="宋体" w:cs="Calibri"/>
          <w:szCs w:val="21"/>
        </w:rPr>
      </w:r>
    </w:p>
    <w:p>
      <w:pPr>
        <w:widowControl w:val="true"/>
        <w:numPr>
          <w:ilvl w:val="0"/>
          <w:numId w:val="2"/>
        </w:numPr>
        <w:pBdr/>
        <w:spacing w:after="100" w:afterAutospacing="1" w:before="100" w:beforeAutospacing="1"/>
        <w:ind/>
        <w:jc w:val="left"/>
        <w:rPr>
          <w:rFonts w:ascii="Calibri" w:hAnsi="Calibri" w:eastAsia="宋体" w:cs="Calibri"/>
          <w:szCs w:val="21"/>
        </w:rPr>
      </w:pPr>
      <w:r/>
      <w:bookmarkStart w:id="1" w:name="_Hlk218894839"/>
      <w:r>
        <w:rPr>
          <w:rFonts w:ascii="Calibri" w:hAnsi="Calibri" w:eastAsia="宋体" w:cs="Calibri"/>
          <w:b/>
          <w:szCs w:val="21"/>
        </w:rPr>
        <w:t xml:space="preserve">Inter ACIP-router control plane</w:t>
      </w:r>
      <w:r>
        <w:rPr>
          <w:rFonts w:ascii="Calibri" w:hAnsi="Calibri" w:eastAsia="宋体" w:cs="Calibri"/>
          <w:szCs w:val="21"/>
        </w:rPr>
        <w:t xml:space="preserve">: to allow multiple ACIP-router synchronizing Host (agent, MCP-server,..) related information to derive forwarding, policy and other required services.</w:t>
      </w:r>
      <w:r>
        <w:rPr>
          <w:rFonts w:ascii="Calibri" w:hAnsi="Calibri" w:eastAsia="宋体" w:cs="Calibri"/>
          <w:szCs w:val="21"/>
        </w:rPr>
      </w:r>
    </w:p>
    <w:p>
      <w:pPr>
        <w:widowControl w:val="true"/>
        <w:pBdr/>
        <w:spacing w:after="100" w:afterAutospacing="1" w:before="100" w:beforeAutospacing="1"/>
        <w:ind/>
        <w:jc w:val="left"/>
        <w:outlineLvl w:val="2"/>
        <w:rPr>
          <w:rFonts w:ascii="Calibri" w:hAnsi="Calibri" w:eastAsia="宋体" w:cs="Calibri"/>
          <w:b/>
          <w:bCs/>
          <w:sz w:val="24"/>
          <w:szCs w:val="24"/>
          <w:highlight w:val="none"/>
        </w:rPr>
      </w:pPr>
      <w:r>
        <w:rPr>
          <w:rFonts w:ascii="Calibri" w:hAnsi="Calibri" w:eastAsia="宋体" w:cs="Calibri"/>
          <w:b/>
          <w:bCs/>
          <w:sz w:val="24"/>
          <w:szCs w:val="21"/>
        </w:rPr>
        <w:t xml:space="preserve">3. Target audience / contributors</w:t>
      </w:r>
      <w:r>
        <w:rPr>
          <w:rFonts w:ascii="Calibri" w:hAnsi="Calibri" w:eastAsia="宋体" w:cs="Calibri"/>
          <w:b/>
          <w:bCs/>
          <w:sz w:val="24"/>
          <w:szCs w:val="21"/>
        </w:rPr>
      </w:r>
    </w:p>
    <w:p>
      <w:pPr>
        <w:widowControl w:val="true"/>
        <w:pBdr/>
        <w:spacing w:after="100" w:afterAutospacing="1" w:before="100" w:beforeAutospacing="1"/>
        <w:ind/>
        <w:jc w:val="left"/>
        <w:outlineLvl w:val="2"/>
        <w:rPr>
          <w:rFonts w:ascii="Calibri" w:hAnsi="Calibri" w:eastAsia="宋体" w:cs="Calibri"/>
          <w14:ligatures w14:val="none"/>
        </w:rPr>
      </w:pPr>
      <w:r>
        <w:rPr>
          <w:rFonts w:ascii="Calibri" w:hAnsi="Calibri" w:eastAsia="宋体" w:cs="Calibri"/>
        </w:rPr>
        <w:t xml:space="preserve">The WG targets primarily network operator and equipment vendors who have been asked by their customers to help support building Agent Communication solutions that support secure, low-cost/ease-of use inter-agent communication scenarios, such as typical customers of (federated) L2VPN / L3VPN network solutions.</w:t>
      </w:r>
      <w:r>
        <w:rPr>
          <w:rFonts w:ascii="Calibri" w:hAnsi="Calibri" w:eastAsia="宋体" w:cs="Calibri"/>
        </w:rPr>
        <w:t xml:space="preserve"> </w:t>
      </w:r>
      <w:r>
        <w:rPr>
          <w:rFonts w:ascii="Calibri" w:hAnsi="Calibri" w:eastAsia="宋体" w:cs="Calibri"/>
        </w:rPr>
      </w:r>
    </w:p>
    <w:p>
      <w:pPr>
        <w:widowControl w:val="true"/>
        <w:pBdr/>
        <w:spacing w:after="100" w:afterAutospacing="1" w:before="100" w:beforeAutospacing="1"/>
        <w:ind/>
        <w:jc w:val="left"/>
        <w:outlineLvl w:val="2"/>
        <w:rPr>
          <w:rFonts w:ascii="Calibri" w:hAnsi="Calibri" w:eastAsia="宋体" w:cs="Calibri"/>
          <w:highlight w:val="none"/>
          <w14:ligatures w14:val="none"/>
        </w:rPr>
      </w:pPr>
      <w:r>
        <w:rPr>
          <w:rFonts w:ascii="Calibri" w:hAnsi="Calibri" w:eastAsia="宋体" w:cs="Calibri"/>
        </w:rPr>
        <w:t xml:space="preserve">Interest in (inter domain) Multi-AI communication scenario deployments is also happening in other SDO like 3GPP, but like with existing use of network layer IETF technologies as the “transport underlay” for 3GPP core network services, we think that ACI too will be a layer of technology for Agent services that 3GPP will prefer to be handled by IETF.</w:t>
      </w:r>
      <w:r>
        <w:rPr>
          <w:rFonts w:ascii="Calibri" w:hAnsi="Calibri" w:eastAsia="宋体" w:cs="Calibri"/>
        </w:rPr>
      </w:r>
    </w:p>
    <w:p>
      <w:pPr>
        <w:widowControl w:val="true"/>
        <w:pBdr/>
        <w:spacing w:after="100" w:afterAutospacing="1" w:before="100" w:beforeAutospacing="1"/>
        <w:ind/>
        <w:jc w:val="left"/>
        <w:outlineLvl w:val="2"/>
        <w:rPr>
          <w:rFonts w:ascii="Calibri" w:hAnsi="Calibri" w:eastAsia="宋体" w:cs="Calibri"/>
          <w:highlight w:val="none"/>
          <w14:ligatures w14:val="none"/>
        </w:rPr>
      </w:pPr>
      <w:r>
        <w:rPr>
          <w:rFonts w:ascii="Calibri" w:hAnsi="Calibri" w:eastAsia="宋体" w:cs="Calibri"/>
          <w:highlight w:val="none"/>
        </w:rPr>
        <w:t xml:space="preserve">Solely Internet based Agent-to-Agent communication scenarios comparable to those where Agents as new cloud-services themselves are not the core initial targets of ACI,  but those type of Agents are meant to be useable within the scope of ACI, for example by proxying non-ACIP enhanced A2A connections through the ACIP internet service.</w:t>
      </w:r>
      <w:r>
        <w:rPr>
          <w:rFonts w:ascii="Calibri" w:hAnsi="Calibri" w:eastAsia="宋体" w:cs="Calibri"/>
          <w14:ligatures w14:val="none"/>
        </w:rPr>
      </w:r>
      <w:r>
        <w:rPr>
          <w:rFonts w:ascii="Calibri" w:hAnsi="Calibri" w:eastAsia="宋体" w:cs="Calibri"/>
          <w:highlight w:val="none"/>
        </w:rPr>
      </w:r>
      <w:r/>
      <w:r>
        <w:rPr>
          <w:rFonts w:ascii="Calibri" w:hAnsi="Calibri" w:eastAsia="宋体" w:cs="Calibri"/>
          <w:highlight w:val="none"/>
          <w14:ligatures w14:val="none"/>
        </w:rPr>
      </w:r>
    </w:p>
    <w:p>
      <w:pPr>
        <w:widowControl w:val="true"/>
        <w:pBdr/>
        <w:spacing w:after="100" w:afterAutospacing="1" w:before="100" w:beforeAutospacing="1"/>
        <w:ind/>
        <w:jc w:val="left"/>
        <w:outlineLvl w:val="2"/>
        <w:rPr>
          <w:rFonts w:ascii="Calibri" w:hAnsi="Calibri" w:eastAsia="宋体" w:cs="Calibri"/>
          <w:b/>
          <w:bCs/>
          <w:sz w:val="24"/>
          <w:szCs w:val="24"/>
        </w:rPr>
      </w:pPr>
      <w:r>
        <w:rPr>
          <w:rFonts w:ascii="Calibri" w:hAnsi="Calibri" w:eastAsia="宋体" w:cs="Calibri"/>
          <w:b/>
          <w:bCs/>
          <w:sz w:val="24"/>
          <w:szCs w:val="21"/>
        </w:rPr>
        <w:t xml:space="preserve">Deliverables</w:t>
      </w:r>
      <w:r>
        <w:rPr>
          <w:rFonts w:ascii="Calibri" w:hAnsi="Calibri" w:eastAsia="宋体" w:cs="Calibri"/>
          <w:b/>
          <w:bCs/>
          <w:sz w:val="24"/>
          <w:szCs w:val="21"/>
        </w:rPr>
      </w:r>
      <w:r/>
    </w:p>
    <w:p>
      <w:pPr>
        <w:widowControl w:val="true"/>
        <w:pBdr/>
        <w:spacing w:after="100" w:afterAutospacing="1" w:before="100" w:beforeAutospacing="1"/>
        <w:ind/>
        <w:jc w:val="left"/>
        <w:rPr>
          <w:rFonts w:ascii="Calibri" w:hAnsi="Calibri" w:eastAsia="宋体" w:cs="Calibri"/>
          <w:highlight w:val="none"/>
        </w:rPr>
      </w:pPr>
      <w:r>
        <w:rPr>
          <w:rFonts w:ascii="Calibri" w:hAnsi="Calibri" w:eastAsia="宋体" w:cs="Calibri"/>
          <w:szCs w:val="21"/>
        </w:rPr>
        <w:t xml:space="preserve">The WG should initially be focused on delivering incrementally only the necessary specifications to enable real-world deployment experimentation starting from the low-hanging use-case options of interest to the participants. Whether this means that the individual documents will receive quick experimental RFC and potentially multiple –bis, or if participants are fine to implement and deploy from some draft state is TBD.</w:t>
      </w:r>
      <w:r>
        <w:rPr>
          <w:rFonts w:ascii="Calibri" w:hAnsi="Calibri" w:eastAsia="宋体" w:cs="Calibri"/>
          <w:szCs w:val="21"/>
        </w:rPr>
      </w:r>
    </w:p>
    <w:p>
      <w:pPr>
        <w:widowControl w:val="true"/>
        <w:numPr>
          <w:ilvl w:val="0"/>
          <w:numId w:val="3"/>
        </w:numPr>
        <w:pBdr/>
        <w:spacing w:after="100" w:afterAutospacing="1" w:before="100" w:beforeAutospacing="1"/>
        <w:ind/>
        <w:jc w:val="left"/>
        <w:rPr>
          <w:rFonts w:ascii="Calibri" w:hAnsi="Calibri" w:eastAsia="宋体" w:cs="Calibri"/>
          <w:szCs w:val="21"/>
        </w:rPr>
      </w:pPr>
      <w:r>
        <w:rPr>
          <w:rFonts w:hint="eastAsia" w:ascii="Calibri" w:hAnsi="Calibri" w:eastAsia="宋体" w:cs="Calibri"/>
          <w:b/>
          <w:szCs w:val="21"/>
        </w:rPr>
        <w:t xml:space="preserve">P</w:t>
      </w:r>
      <w:r>
        <w:rPr>
          <w:rFonts w:ascii="Calibri" w:hAnsi="Calibri" w:eastAsia="宋体" w:cs="Calibri"/>
          <w:b/>
          <w:szCs w:val="21"/>
        </w:rPr>
        <w:t xml:space="preserve">roblem Statement / Use-Case documents</w:t>
      </w:r>
      <w:r>
        <w:rPr>
          <w:rFonts w:ascii="Calibri" w:hAnsi="Calibri" w:eastAsia="宋体" w:cs="Calibri"/>
          <w:szCs w:val="21"/>
        </w:rPr>
      </w:r>
    </w:p>
    <w:p>
      <w:pPr>
        <w:widowControl w:val="true"/>
        <w:numPr>
          <w:ilvl w:val="0"/>
          <w:numId w:val="3"/>
        </w:numPr>
        <w:pBdr/>
        <w:spacing w:after="100" w:afterAutospacing="1" w:before="100" w:beforeAutospacing="1"/>
        <w:ind/>
        <w:jc w:val="left"/>
        <w:rPr>
          <w:rFonts w:ascii="Calibri" w:hAnsi="Calibri" w:eastAsia="宋体" w:cs="Calibri"/>
          <w:b/>
          <w:bCs/>
        </w:rPr>
      </w:pPr>
      <w:r>
        <w:rPr>
          <w:rFonts w:ascii="Calibri" w:hAnsi="Calibri" w:eastAsia="宋体" w:cs="Calibri"/>
          <w:b/>
          <w:szCs w:val="21"/>
        </w:rPr>
        <w:t xml:space="preserve">ACIP protocol and forwarding/processing specification</w:t>
      </w:r>
      <w:r>
        <w:rPr>
          <w:rFonts w:ascii="Calibri" w:hAnsi="Calibri" w:eastAsia="宋体" w:cs="Calibri"/>
          <w:szCs w:val="21"/>
        </w:rPr>
      </w:r>
      <w:r>
        <w:rPr>
          <w:rFonts w:ascii="Calibri" w:hAnsi="Calibri" w:eastAsia="宋体" w:cs="Calibri"/>
          <w:b w:val="0"/>
          <w:bCs w:val="0"/>
          <w:szCs w:val="21"/>
          <w:highlight w:val="none"/>
        </w:rPr>
      </w:r>
      <w:r/>
      <w:r>
        <w:rPr>
          <w:rFonts w:ascii="Calibri" w:hAnsi="Calibri" w:eastAsia="宋体" w:cs="Calibri"/>
          <w:b w:val="0"/>
          <w:bCs w:val="0"/>
        </w:rPr>
      </w:r>
      <w:r>
        <w:rPr>
          <w:rFonts w:ascii="Calibri" w:hAnsi="Calibri" w:eastAsia="宋体" w:cs="Calibri"/>
          <w:b/>
          <w:bCs/>
        </w:rPr>
      </w:r>
    </w:p>
    <w:p>
      <w:pPr>
        <w:widowControl w:val="true"/>
        <w:numPr>
          <w:ilvl w:val="0"/>
          <w:numId w:val="3"/>
        </w:numPr>
        <w:pBdr/>
        <w:spacing w:after="100" w:afterAutospacing="1" w:before="100" w:beforeAutospacing="1"/>
        <w:ind/>
        <w:jc w:val="left"/>
        <w:rPr>
          <w:rFonts w:ascii="Calibri" w:hAnsi="Calibri" w:eastAsia="宋体" w:cs="Calibri"/>
          <w:szCs w:val="21"/>
        </w:rPr>
      </w:pPr>
      <w:r>
        <w:rPr>
          <w:rFonts w:hint="eastAsia" w:ascii="Calibri" w:hAnsi="Calibri" w:eastAsia="宋体" w:cs="Calibri"/>
          <w:b/>
          <w:szCs w:val="21"/>
        </w:rPr>
        <w:t xml:space="preserve">Host(Agent/Server)-to-ACIP-router </w:t>
      </w:r>
      <w:r>
        <w:rPr>
          <w:rFonts w:hint="eastAsia" w:ascii="Calibri" w:hAnsi="Calibri" w:eastAsia="宋体" w:cs="Calibri"/>
          <w:b/>
          <w:szCs w:val="21"/>
        </w:rPr>
        <w:t xml:space="preserve">Interaction:</w:t>
      </w:r>
      <w:r>
        <w:rPr>
          <w:rFonts w:hint="eastAsia" w:ascii="Calibri" w:hAnsi="Calibri" w:eastAsia="宋体" w:cs="Calibri"/>
          <w:b w:val="0"/>
          <w:bCs w:val="0"/>
          <w:szCs w:val="21"/>
        </w:rPr>
        <w:t xml:space="preserve"> Encap of A2A over ACIP, control plane</w:t>
      </w:r>
      <w:r>
        <w:rPr>
          <w:rFonts w:ascii="Calibri" w:hAnsi="Calibri" w:eastAsia="宋体" w:cs="Calibri"/>
          <w:b w:val="0"/>
          <w:bCs w:val="0"/>
          <w:szCs w:val="21"/>
        </w:rPr>
        <w:t xml:space="preserve"> mechanism</w:t>
      </w:r>
      <w:r>
        <w:rPr>
          <w:rFonts w:ascii="Calibri" w:hAnsi="Calibri" w:eastAsia="宋体" w:cs="Calibri"/>
          <w:szCs w:val="21"/>
        </w:rPr>
        <w:t xml:space="preserve">:</w:t>
      </w:r>
      <w:r>
        <w:rPr>
          <w:rFonts w:ascii="Calibri" w:hAnsi="Calibri" w:eastAsia="宋体" w:cs="Calibri"/>
          <w:szCs w:val="21"/>
        </w:rPr>
        <w:t xml:space="preserve"> Ideally re-using/applying existing/evolving control-plane mechanisms as much as feasible.</w:t>
      </w:r>
      <w:r>
        <w:rPr>
          <w:rFonts w:ascii="Calibri" w:hAnsi="Calibri" w:eastAsia="宋体" w:cs="Calibri"/>
          <w:szCs w:val="21"/>
        </w:rPr>
      </w:r>
      <w:r>
        <w:rPr>
          <w:rFonts w:ascii="Calibri" w:hAnsi="Calibri" w:eastAsia="宋体" w:cs="Calibri"/>
          <w:szCs w:val="21"/>
        </w:rPr>
      </w:r>
    </w:p>
    <w:p>
      <w:pPr>
        <w:widowControl w:val="true"/>
        <w:numPr>
          <w:ilvl w:val="0"/>
          <w:numId w:val="3"/>
        </w:numPr>
        <w:pBdr/>
        <w:spacing w:after="100" w:afterAutospacing="1" w:before="100" w:beforeAutospacing="1"/>
        <w:ind/>
        <w:jc w:val="left"/>
        <w:rPr>
          <w:rFonts w:ascii="Calibri" w:hAnsi="Calibri" w:eastAsia="宋体" w:cs="Calibri"/>
          <w:szCs w:val="21"/>
        </w:rPr>
      </w:pPr>
      <w:r>
        <w:rPr>
          <w:rFonts w:ascii="Calibri" w:hAnsi="Calibri" w:eastAsia="宋体" w:cs="Calibri"/>
          <w:b/>
          <w:bCs/>
          <w:szCs w:val="21"/>
        </w:rPr>
        <w:t xml:space="preserve">ACIP router-to-router control plane</w:t>
      </w:r>
      <w:r>
        <w:rPr>
          <w:rFonts w:ascii="Calibri" w:hAnsi="Calibri" w:eastAsia="宋体" w:cs="Calibri"/>
          <w:szCs w:val="21"/>
        </w:rPr>
        <w:t xml:space="preserve">: As necessary, ideally re-using/applying well-proven mechanisms from the network layer domain. E.g.: new Address family and policy rules for BGP and/or PIM for unicast and/or multicast routing).</w:t>
      </w:r>
      <w:r>
        <w:rPr>
          <w:rFonts w:ascii="Calibri" w:hAnsi="Calibri" w:eastAsia="宋体" w:cs="Calibri"/>
          <w:szCs w:val="21"/>
        </w:rPr>
      </w:r>
    </w:p>
    <w:p>
      <w:pPr>
        <w:widowControl w:val="true"/>
        <w:numPr>
          <w:ilvl w:val="0"/>
          <w:numId w:val="3"/>
        </w:numPr>
        <w:pBdr/>
        <w:spacing w:after="100" w:afterAutospacing="1" w:before="100" w:beforeAutospacing="1"/>
        <w:ind/>
        <w:jc w:val="left"/>
        <w:rPr>
          <w:rFonts w:ascii="Calibri" w:hAnsi="Calibri" w:eastAsia="宋体" w:cs="Calibri"/>
          <w:b/>
          <w:bCs/>
        </w:rPr>
      </w:pPr>
      <w:r>
        <w:rPr>
          <w:rFonts w:ascii="Calibri" w:hAnsi="Calibri" w:eastAsia="宋体" w:cs="Calibri"/>
          <w:b/>
          <w:bCs/>
          <w:szCs w:val="21"/>
          <w:highlight w:val="none"/>
        </w:rPr>
        <w:t xml:space="preserve">ACIP architecture / operational guidelines</w:t>
      </w:r>
      <w:r>
        <w:rPr>
          <w:rFonts w:ascii="Calibri" w:hAnsi="Calibri" w:eastAsia="宋体" w:cs="Calibri"/>
          <w:b/>
          <w:bCs/>
          <w:szCs w:val="21"/>
          <w:highlight w:val="none"/>
        </w:rPr>
      </w:r>
      <w:r>
        <w:rPr>
          <w:rFonts w:ascii="Calibri" w:hAnsi="Calibri" w:eastAsia="宋体" w:cs="Calibri"/>
          <w:b/>
          <w:bCs/>
          <w:szCs w:val="21"/>
        </w:rPr>
      </w:r>
      <w:r>
        <w:rPr>
          <w:rFonts w:ascii="Calibri" w:hAnsi="Calibri" w:eastAsia="宋体" w:cs="Calibri"/>
          <w:szCs w:val="21"/>
        </w:rPr>
      </w:r>
      <w:r>
        <w:rPr>
          <w:rFonts w:ascii="Calibri" w:hAnsi="Calibri" w:eastAsia="宋体" w:cs="Calibri"/>
          <w:b/>
          <w:bCs/>
        </w:rPr>
      </w:r>
    </w:p>
    <w:p>
      <w:pPr>
        <w:widowControl w:val="true"/>
        <w:pBdr/>
        <w:spacing w:after="100" w:afterAutospacing="1" w:before="100" w:beforeAutospacing="1"/>
        <w:ind/>
        <w:jc w:val="left"/>
        <w:rPr>
          <w:rFonts w:ascii="Calibri" w:hAnsi="Calibri" w:eastAsia="宋体" w:cs="Calibri"/>
          <w:b w:val="0"/>
          <w:bCs w:val="0"/>
          <w:highlight w:val="none"/>
        </w:rPr>
      </w:pPr>
      <w:r>
        <w:rPr>
          <w:rFonts w:ascii="Calibri" w:hAnsi="Calibri" w:eastAsia="宋体" w:cs="Calibri"/>
          <w:b w:val="0"/>
          <w:bCs w:val="0"/>
          <w:szCs w:val="21"/>
          <w:highlight w:val="none"/>
        </w:rPr>
        <w:t xml:space="preserve">Especially for 3., and 4., The ACI working group should re-use and adopt as much of pre-existing IETF standards technology as feasible (eat and proliferate our proven dog food). This may require some if not much of this work having to happen in other WGs, such as IDR or PIM, at least ultimately (*). In this case ACI WG may need to develop supporting (requirements/architecture) documents to justify the work in in other WGs.</w:t>
      </w:r>
      <w:r>
        <w:rPr>
          <w:rFonts w:ascii="Calibri" w:hAnsi="Calibri" w:eastAsia="宋体" w:cs="Calibri"/>
          <w:b/>
          <w:bCs/>
          <w:szCs w:val="21"/>
          <w:highlight w:val="none"/>
        </w:rPr>
      </w:r>
      <w:r>
        <w:rPr>
          <w:rFonts w:ascii="Calibri" w:hAnsi="Calibri" w:eastAsia="宋体" w:cs="Calibri"/>
          <w:b/>
          <w:bCs/>
          <w:szCs w:val="21"/>
          <w:highlight w:val="none"/>
        </w:rPr>
      </w:r>
    </w:p>
    <w:p>
      <w:pPr>
        <w:widowControl w:val="true"/>
        <w:pBdr/>
        <w:spacing w:after="100" w:afterAutospacing="1" w:before="100" w:beforeAutospacing="1"/>
        <w:ind/>
        <w:jc w:val="left"/>
        <w:rPr>
          <w:rFonts w:ascii="Calibri" w:hAnsi="Calibri" w:eastAsia="宋体" w:cs="Calibri"/>
          <w:b/>
          <w:bCs/>
          <w:i/>
        </w:rPr>
      </w:pPr>
      <w:r>
        <w:rPr>
          <w:rFonts w:ascii="Calibri" w:hAnsi="Calibri" w:eastAsia="宋体" w:cs="Calibri"/>
          <w:b w:val="0"/>
          <w:bCs w:val="0"/>
          <w:i/>
          <w:iCs/>
          <w:szCs w:val="21"/>
          <w:highlight w:val="none"/>
        </w:rPr>
      </w:r>
      <w:r>
        <w:rPr>
          <w:rFonts w:ascii="Calibri" w:hAnsi="Calibri" w:eastAsia="宋体" w:cs="Calibri"/>
          <w:b w:val="0"/>
          <w:bCs w:val="0"/>
          <w:i/>
          <w:iCs/>
          <w:szCs w:val="21"/>
          <w:highlight w:val="none"/>
        </w:rPr>
        <w:t xml:space="preserve">(*) In prior IETF experiences, such as BIER, initial LSR extensions where done in BIER, but later migrated to LSR when BIER evolved from experimental to standards track.</w:t>
      </w:r>
      <w:r>
        <w:rPr>
          <w:rFonts w:ascii="Calibri" w:hAnsi="Calibri" w:eastAsia="宋体" w:cs="Calibri"/>
          <w:b w:val="0"/>
          <w:bCs w:val="0"/>
          <w:i/>
          <w:iCs/>
          <w:szCs w:val="21"/>
          <w:highlight w:val="none"/>
        </w:rPr>
      </w:r>
    </w:p>
    <w:p>
      <w:pPr>
        <w:widowControl w:val="true"/>
        <w:pBdr/>
        <w:spacing w:after="100" w:afterAutospacing="1" w:before="100" w:beforeAutospacing="1"/>
        <w:ind/>
        <w:jc w:val="left"/>
        <w:outlineLvl w:val="2"/>
        <w:rPr>
          <w:rFonts w:ascii="Calibri" w:hAnsi="Calibri" w:eastAsia="宋体" w:cs="Calibri"/>
          <w:b/>
          <w:bCs/>
          <w:sz w:val="24"/>
          <w:szCs w:val="21"/>
        </w:rPr>
      </w:pPr>
      <w:r>
        <w:rPr>
          <w:rFonts w:ascii="Calibri" w:hAnsi="Calibri" w:eastAsia="宋体" w:cs="Calibri"/>
          <w:b/>
          <w:bCs/>
          <w:sz w:val="24"/>
          <w:szCs w:val="21"/>
        </w:rPr>
        <w:t xml:space="preserve">4. Proposed Milestones</w:t>
      </w:r>
      <w:r>
        <w:rPr>
          <w:rFonts w:ascii="Calibri" w:hAnsi="Calibri" w:eastAsia="宋体" w:cs="Calibri"/>
          <w:b/>
          <w:bCs/>
          <w:sz w:val="24"/>
          <w:szCs w:val="21"/>
        </w:rPr>
      </w:r>
    </w:p>
    <w:p>
      <w:pPr>
        <w:widowControl w:val="true"/>
        <w:numPr>
          <w:ilvl w:val="0"/>
          <w:numId w:val="4"/>
        </w:numPr>
        <w:pBdr/>
        <w:spacing w:after="100" w:afterAutospacing="1" w:before="100" w:beforeAutospacing="1"/>
        <w:ind/>
        <w:jc w:val="left"/>
        <w:rPr>
          <w:rFonts w:ascii="Calibri" w:hAnsi="Calibri" w:eastAsia="宋体" w:cs="Calibri"/>
          <w:szCs w:val="21"/>
        </w:rPr>
      </w:pPr>
      <w:r>
        <w:rPr>
          <w:rFonts w:ascii="Calibri" w:hAnsi="Calibri" w:eastAsia="宋体" w:cs="Calibri"/>
          <w:b/>
          <w:bCs/>
          <w:szCs w:val="21"/>
        </w:rPr>
        <w:t xml:space="preserve">Milestone 1</w:t>
      </w:r>
      <w:r>
        <w:rPr>
          <w:rFonts w:ascii="Calibri" w:hAnsi="Calibri" w:eastAsia="宋体" w:cs="Calibri"/>
          <w:szCs w:val="21"/>
        </w:rPr>
        <w:t xml:space="preserve">: </w:t>
      </w:r>
      <w:r>
        <w:rPr>
          <w:rFonts w:ascii="Calibri" w:hAnsi="Calibri" w:eastAsia="宋体" w:cs="Calibri"/>
          <w:szCs w:val="21"/>
        </w:rPr>
        <w:t xml:space="preserve">problem statement for current Agent-to-Agent communication systems, and propose an initial simple version of the ACIP based architecture layer </w:t>
      </w:r>
      <w:r>
        <w:rPr>
          <w:rFonts w:ascii="Calibri" w:hAnsi="Calibri" w:eastAsia="宋体" w:cs="Calibri"/>
          <w:szCs w:val="21"/>
        </w:rPr>
        <w:t xml:space="preserve">(6 months).</w:t>
      </w:r>
      <w:r>
        <w:rPr>
          <w:rFonts w:ascii="Calibri" w:hAnsi="Calibri" w:eastAsia="宋体" w:cs="Calibri"/>
          <w:szCs w:val="21"/>
        </w:rPr>
      </w:r>
    </w:p>
    <w:p>
      <w:pPr>
        <w:widowControl w:val="true"/>
        <w:numPr>
          <w:ilvl w:val="0"/>
          <w:numId w:val="4"/>
        </w:numPr>
        <w:pBdr/>
        <w:spacing w:after="100" w:afterAutospacing="1" w:before="100" w:beforeAutospacing="1"/>
        <w:ind/>
        <w:jc w:val="left"/>
        <w:rPr>
          <w:rFonts w:ascii="Calibri" w:hAnsi="Calibri" w:eastAsia="宋体" w:cs="Calibri"/>
          <w:szCs w:val="21"/>
        </w:rPr>
      </w:pPr>
      <w:r>
        <w:rPr>
          <w:rFonts w:ascii="Calibri" w:hAnsi="Calibri" w:eastAsia="宋体" w:cs="Calibri"/>
          <w:b/>
          <w:bCs/>
          <w:szCs w:val="21"/>
        </w:rPr>
        <w:t xml:space="preserve">Milestone 2</w:t>
      </w:r>
      <w:r>
        <w:rPr>
          <w:rFonts w:ascii="Calibri" w:hAnsi="Calibri" w:eastAsia="宋体" w:cs="Calibri"/>
          <w:szCs w:val="21"/>
        </w:rPr>
        <w:t xml:space="preserve">: Minimum, experimental ACIP and control plane specification for first validation deployments – to support PoC experimentation </w:t>
      </w:r>
      <w:r>
        <w:rPr>
          <w:rFonts w:ascii="Calibri" w:hAnsi="Calibri" w:eastAsia="宋体" w:cs="Calibri"/>
          <w:szCs w:val="21"/>
        </w:rPr>
        <w:t xml:space="preserve">.</w:t>
      </w:r>
      <w:r>
        <w:rPr>
          <w:rFonts w:ascii="Calibri" w:hAnsi="Calibri" w:eastAsia="宋体" w:cs="Calibri"/>
          <w:szCs w:val="21"/>
        </w:rPr>
      </w:r>
    </w:p>
    <w:p>
      <w:pPr>
        <w:widowControl w:val="true"/>
        <w:numPr>
          <w:ilvl w:val="0"/>
          <w:numId w:val="4"/>
        </w:numPr>
        <w:pBdr/>
        <w:spacing w:after="100" w:afterAutospacing="1" w:before="100" w:beforeAutospacing="1"/>
        <w:ind/>
        <w:jc w:val="left"/>
        <w:rPr>
          <w:rFonts w:ascii="Calibri" w:hAnsi="Calibri" w:eastAsia="宋体" w:cs="Calibri"/>
          <w:szCs w:val="21"/>
        </w:rPr>
      </w:pPr>
      <w:r>
        <w:rPr>
          <w:rFonts w:ascii="Calibri" w:hAnsi="Calibri" w:eastAsia="宋体" w:cs="Calibri"/>
          <w:b/>
          <w:bCs/>
          <w:szCs w:val="21"/>
        </w:rPr>
        <w:t xml:space="preserve">Milestone 3</w:t>
      </w:r>
      <w:r>
        <w:rPr>
          <w:rFonts w:ascii="Calibri" w:hAnsi="Calibri" w:eastAsia="宋体" w:cs="Calibri"/>
          <w:szCs w:val="21"/>
        </w:rPr>
        <w:t xml:space="preserve">: More comprehensive use-case collection and priorization thereof to allow priorization of next-step specification doc work</w:t>
      </w:r>
      <w:r>
        <w:rPr>
          <w:rFonts w:ascii="Calibri" w:hAnsi="Calibri" w:eastAsia="宋体" w:cs="Calibri"/>
          <w:szCs w:val="21"/>
        </w:rPr>
        <w:t xml:space="preserve">.</w:t>
      </w:r>
      <w:r>
        <w:rPr>
          <w:rFonts w:ascii="Calibri" w:hAnsi="Calibri" w:eastAsia="宋体" w:cs="Calibri"/>
          <w:szCs w:val="21"/>
        </w:rPr>
      </w:r>
    </w:p>
    <w:p>
      <w:pPr>
        <w:widowControl w:val="true"/>
        <w:pBdr/>
        <w:spacing w:after="100" w:afterAutospacing="1" w:before="100" w:beforeAutospacing="1"/>
        <w:ind/>
        <w:jc w:val="left"/>
        <w:outlineLvl w:val="2"/>
        <w:rPr>
          <w:rFonts w:ascii="Calibri" w:hAnsi="Calibri" w:eastAsia="宋体" w:cs="Calibri"/>
          <w:b/>
          <w:bCs/>
          <w:sz w:val="24"/>
          <w:szCs w:val="21"/>
        </w:rPr>
      </w:pPr>
      <w:r>
        <w:rPr>
          <w:rFonts w:ascii="Calibri" w:hAnsi="Calibri" w:eastAsia="宋体" w:cs="Calibri"/>
          <w:b/>
          <w:bCs/>
          <w:sz w:val="24"/>
          <w:szCs w:val="21"/>
        </w:rPr>
        <w:t xml:space="preserve">5</w:t>
      </w:r>
      <w:r>
        <w:rPr>
          <w:rFonts w:ascii="Calibri" w:hAnsi="Calibri" w:eastAsia="宋体" w:cs="Calibri"/>
          <w:b/>
          <w:bCs/>
          <w:sz w:val="24"/>
          <w:szCs w:val="21"/>
        </w:rPr>
        <w:t xml:space="preserve">. IETF Area and Relation to Other Work</w:t>
      </w:r>
      <w:r>
        <w:rPr>
          <w:rFonts w:ascii="Calibri" w:hAnsi="Calibri" w:eastAsia="宋体" w:cs="Calibri"/>
          <w:b/>
          <w:bCs/>
          <w:sz w:val="24"/>
          <w:szCs w:val="21"/>
        </w:rPr>
      </w:r>
    </w:p>
    <w:p>
      <w:pPr>
        <w:widowControl w:val="true"/>
        <w:pBdr/>
        <w:spacing w:after="100" w:afterAutospacing="1" w:before="100" w:beforeAutospacing="1"/>
        <w:ind/>
        <w:jc w:val="left"/>
        <w:rPr>
          <w:rFonts w:ascii="Calibri" w:hAnsi="Calibri" w:eastAsia="宋体" w:cs="Calibri"/>
          <w:szCs w:val="21"/>
        </w:rPr>
      </w:pPr>
      <w:r>
        <w:rPr>
          <w:rFonts w:ascii="Calibri" w:hAnsi="Calibri" w:eastAsia="宋体" w:cs="Calibri"/>
          <w:szCs w:val="21"/>
        </w:rPr>
        <w:t xml:space="preserve">The </w:t>
      </w:r>
      <w:r>
        <w:rPr>
          <w:rFonts w:ascii="Calibri" w:hAnsi="Calibri" w:eastAsia="宋体" w:cs="Calibri"/>
          <w:szCs w:val="21"/>
        </w:rPr>
        <w:t xml:space="preserve">ACI</w:t>
      </w:r>
      <w:r>
        <w:rPr>
          <w:rFonts w:ascii="Calibri" w:hAnsi="Calibri" w:eastAsia="宋体" w:cs="Calibri"/>
          <w:szCs w:val="21"/>
        </w:rPr>
        <w:t xml:space="preserve"> working group is primarily defining an </w:t>
      </w:r>
      <w:r>
        <w:rPr>
          <w:rFonts w:ascii="Calibri" w:hAnsi="Calibri" w:eastAsia="宋体" w:cs="Calibri"/>
          <w:b/>
          <w:bCs/>
          <w:szCs w:val="21"/>
        </w:rPr>
        <w:t xml:space="preserve">Internet area type</w:t>
      </w:r>
      <w:r>
        <w:rPr>
          <w:rFonts w:ascii="Calibri" w:hAnsi="Calibri" w:eastAsia="宋体" w:cs="Calibri"/>
          <w:b w:val="0"/>
          <w:bCs w:val="0"/>
          <w:szCs w:val="21"/>
        </w:rPr>
        <w:t xml:space="preserve"> service / protocol, but as with existing Internet area type solutions (e.g.: IPv6, multicast), the part of the control plane relating to routing as well as forwarding for such services is often handled by the</w:t>
      </w:r>
      <w:r>
        <w:rPr>
          <w:rFonts w:ascii="Calibri" w:hAnsi="Calibri" w:eastAsia="宋体" w:cs="Calibri"/>
          <w:b/>
          <w:bCs/>
          <w:szCs w:val="21"/>
        </w:rPr>
        <w:t xml:space="preserve"> Routing</w:t>
      </w:r>
      <w:r>
        <w:rPr>
          <w:rFonts w:ascii="Calibri" w:hAnsi="Calibri" w:eastAsia="宋体" w:cs="Calibri"/>
          <w:b/>
          <w:bCs/>
          <w:szCs w:val="21"/>
        </w:rPr>
        <w:t xml:space="preserve"> Area. </w:t>
      </w:r>
      <w:r>
        <w:rPr>
          <w:rFonts w:ascii="Calibri" w:hAnsi="Calibri" w:eastAsia="宋体" w:cs="Calibri"/>
          <w:szCs w:val="21"/>
        </w:rPr>
        <w:t xml:space="preserve">Collaboration with </w:t>
      </w:r>
      <w:r>
        <w:rPr>
          <w:rFonts w:ascii="Calibri" w:hAnsi="Calibri" w:eastAsia="宋体" w:cs="Calibri"/>
          <w:b/>
          <w:bCs/>
          <w:szCs w:val="21"/>
        </w:rPr>
        <w:t xml:space="preserve">Security</w:t>
      </w:r>
      <w:r>
        <w:rPr>
          <w:rFonts w:ascii="Calibri" w:hAnsi="Calibri" w:eastAsia="宋体" w:cs="Calibri"/>
          <w:szCs w:val="21"/>
        </w:rPr>
        <w:t xml:space="preserve"> and </w:t>
      </w:r>
      <w:r>
        <w:rPr>
          <w:rFonts w:ascii="Calibri" w:hAnsi="Calibri" w:eastAsia="宋体" w:cs="Calibri"/>
          <w:b/>
          <w:bCs/>
          <w:szCs w:val="21"/>
        </w:rPr>
        <w:t xml:space="preserve">Application</w:t>
      </w:r>
      <w:r>
        <w:rPr>
          <w:rFonts w:ascii="Calibri" w:hAnsi="Calibri" w:eastAsia="宋体" w:cs="Calibri"/>
          <w:b/>
          <w:bCs/>
          <w:szCs w:val="21"/>
        </w:rPr>
        <w:t xml:space="preserve"> </w:t>
      </w:r>
      <w:r>
        <w:rPr>
          <w:rFonts w:ascii="Calibri" w:hAnsi="Calibri" w:eastAsia="宋体" w:cs="Calibri"/>
          <w:bCs/>
          <w:szCs w:val="21"/>
        </w:rPr>
        <w:t xml:space="preserve">are</w:t>
      </w:r>
      <w:r>
        <w:rPr>
          <w:rFonts w:ascii="Calibri" w:hAnsi="Calibri" w:eastAsia="宋体" w:cs="Calibri"/>
          <w:bCs/>
          <w:szCs w:val="21"/>
        </w:rPr>
        <w:t xml:space="preserve"> also needed to make a comprehensive solution</w:t>
      </w:r>
      <w:r>
        <w:rPr>
          <w:rFonts w:ascii="Calibri" w:hAnsi="Calibri" w:eastAsia="宋体" w:cs="Calibri"/>
          <w:szCs w:val="21"/>
        </w:rPr>
        <w:t xml:space="preserve">. Likewise, the WG will draw from expertise in ICNRG (but will stay with the datagram forwarding model). </w:t>
      </w:r>
      <w:r>
        <w:rPr>
          <w:rFonts w:ascii="Calibri" w:hAnsi="Calibri" w:eastAsia="宋体" w:cs="Calibri"/>
          <w:szCs w:val="21"/>
        </w:rPr>
      </w:r>
    </w:p>
    <w:p>
      <w:pPr>
        <w:widowControl w:val="true"/>
        <w:pBdr/>
        <w:spacing w:after="100" w:afterAutospacing="1" w:before="100" w:beforeAutospacing="1"/>
        <w:ind/>
        <w:jc w:val="left"/>
        <w:outlineLvl w:val="2"/>
        <w:rPr>
          <w:rFonts w:ascii="Calibri" w:hAnsi="Calibri" w:eastAsia="宋体" w:cs="Calibri"/>
          <w:b/>
          <w:bCs/>
          <w:szCs w:val="21"/>
        </w:rPr>
      </w:pPr>
      <w:r>
        <w:rPr>
          <w:rFonts w:ascii="Calibri" w:hAnsi="Calibri" w:eastAsia="宋体" w:cs="Calibri"/>
          <w:b/>
          <w:bCs/>
          <w:szCs w:val="21"/>
        </w:rPr>
        <w:t xml:space="preserve">6</w:t>
      </w:r>
      <w:r>
        <w:rPr>
          <w:rFonts w:ascii="Calibri" w:hAnsi="Calibri" w:eastAsia="宋体" w:cs="Calibri"/>
          <w:b/>
          <w:bCs/>
          <w:szCs w:val="21"/>
        </w:rPr>
        <w:t xml:space="preserve">. Security Considerations</w:t>
      </w:r>
      <w:r>
        <w:rPr>
          <w:rFonts w:ascii="Calibri" w:hAnsi="Calibri" w:eastAsia="宋体" w:cs="Calibri"/>
          <w:b/>
          <w:bCs/>
          <w:szCs w:val="21"/>
        </w:rPr>
      </w:r>
    </w:p>
    <w:p>
      <w:pPr>
        <w:widowControl w:val="true"/>
        <w:pBdr/>
        <w:spacing w:after="100" w:afterAutospacing="1" w:before="100" w:beforeAutospacing="1"/>
        <w:ind w:firstLine="0" w:left="0"/>
        <w:jc w:val="left"/>
        <w:rPr>
          <w:rFonts w:ascii="Calibri" w:hAnsi="Calibri" w:eastAsia="宋体" w:cs="Calibri"/>
          <w:szCs w:val="21"/>
        </w:rPr>
      </w:pPr>
      <w:r>
        <w:rPr>
          <w:rFonts w:ascii="Calibri" w:hAnsi="Calibri" w:eastAsia="宋体" w:cs="Calibri"/>
          <w:szCs w:val="21"/>
        </w:rPr>
        <w:t xml:space="preserve">ACIP should be agnostic to and allow to be layered on top of any secure underlay solution, but priorisation of those to be supported should be subject to the interests of the ACI participants – LISP(+security), IPsec, SCION, ...</w:t>
      </w:r>
      <w:r>
        <w:rPr>
          <w:rFonts w:ascii="Calibri" w:hAnsi="Calibri" w:eastAsia="宋体" w:cs="Calibri"/>
          <w:szCs w:val="21"/>
        </w:rPr>
      </w:r>
    </w:p>
    <w:p>
      <w:pPr>
        <w:widowControl w:val="true"/>
        <w:pBdr/>
        <w:spacing w:after="100" w:afterAutospacing="1" w:before="100" w:beforeAutospacing="1"/>
        <w:ind/>
        <w:jc w:val="left"/>
        <w:outlineLvl w:val="2"/>
        <w:rPr>
          <w:rFonts w:ascii="Calibri" w:hAnsi="Calibri" w:eastAsia="宋体" w:cs="Calibri"/>
          <w:b/>
          <w:bCs/>
          <w:szCs w:val="21"/>
        </w:rPr>
      </w:pPr>
      <w:r>
        <w:rPr>
          <w:rFonts w:ascii="Calibri" w:hAnsi="Calibri" w:eastAsia="宋体" w:cs="Calibri"/>
          <w:b/>
          <w:bCs/>
          <w:szCs w:val="21"/>
        </w:rPr>
        <w:t xml:space="preserve">7</w:t>
      </w:r>
      <w:r>
        <w:rPr>
          <w:rFonts w:ascii="Calibri" w:hAnsi="Calibri" w:eastAsia="宋体" w:cs="Calibri"/>
          <w:b/>
          <w:bCs/>
          <w:szCs w:val="21"/>
        </w:rPr>
        <w:t xml:space="preserve">. Related Work</w:t>
      </w:r>
      <w:r>
        <w:rPr>
          <w:rFonts w:ascii="Calibri" w:hAnsi="Calibri" w:eastAsia="宋体" w:cs="Calibri"/>
          <w:b/>
          <w:bCs/>
          <w:szCs w:val="21"/>
        </w:rPr>
      </w:r>
    </w:p>
    <w:p>
      <w:pPr>
        <w:widowControl w:val="true"/>
        <w:pBdr/>
        <w:spacing w:after="100" w:afterAutospacing="1" w:before="100" w:beforeAutospacing="1"/>
        <w:ind/>
        <w:jc w:val="left"/>
        <w:rPr>
          <w:rFonts w:ascii="Calibri" w:hAnsi="Calibri" w:eastAsia="宋体" w:cs="Calibri"/>
          <w:szCs w:val="21"/>
        </w:rPr>
      </w:pPr>
      <w:r>
        <w:rPr>
          <w:rFonts w:ascii="Calibri" w:hAnsi="Calibri" w:eastAsia="宋体" w:cs="Calibri"/>
          <w:szCs w:val="21"/>
        </w:rPr>
        <w:t xml:space="preserve">The ACI WG will re-use or compatible with existing work as much as possible, which include</w:t>
      </w:r>
      <w:r>
        <w:rPr>
          <w:rFonts w:ascii="Calibri" w:hAnsi="Calibri" w:eastAsia="宋体" w:cs="Calibri"/>
          <w:szCs w:val="21"/>
        </w:rPr>
        <w:t xml:space="preserve">:</w:t>
      </w:r>
      <w:r>
        <w:rPr>
          <w:rFonts w:ascii="Calibri" w:hAnsi="Calibri" w:eastAsia="宋体" w:cs="Calibri"/>
          <w:szCs w:val="21"/>
        </w:rPr>
      </w:r>
    </w:p>
    <w:p>
      <w:pPr>
        <w:widowControl w:val="true"/>
        <w:numPr>
          <w:ilvl w:val="0"/>
          <w:numId w:val="6"/>
        </w:numPr>
        <w:pBdr/>
        <w:spacing w:after="100" w:afterAutospacing="1" w:before="100" w:beforeAutospacing="1"/>
        <w:ind/>
        <w:jc w:val="left"/>
        <w:rPr>
          <w:rFonts w:ascii="Calibri" w:hAnsi="Calibri" w:eastAsia="宋体" w:cs="Calibri"/>
          <w:szCs w:val="21"/>
        </w:rPr>
      </w:pPr>
      <w:r>
        <w:rPr>
          <w:rFonts w:hint="eastAsia" w:ascii="Calibri" w:hAnsi="Calibri" w:eastAsia="宋体" w:cs="Calibri"/>
          <w:b/>
          <w:szCs w:val="21"/>
        </w:rPr>
        <w:t xml:space="preserve">A</w:t>
      </w:r>
      <w:r>
        <w:rPr>
          <w:rFonts w:ascii="Calibri" w:hAnsi="Calibri" w:eastAsia="宋体" w:cs="Calibri"/>
          <w:b/>
          <w:szCs w:val="21"/>
        </w:rPr>
        <w:t xml:space="preserve">gent2Agent protocol</w:t>
      </w:r>
      <w:r>
        <w:rPr>
          <w:rFonts w:ascii="Calibri" w:hAnsi="Calibri" w:eastAsia="宋体" w:cs="Calibri"/>
          <w:szCs w:val="21"/>
        </w:rPr>
        <w:t xml:space="preserve"> which will be specified in the future</w:t>
      </w:r>
      <w:r>
        <w:rPr>
          <w:rFonts w:ascii="Calibri" w:hAnsi="Calibri" w:eastAsia="宋体" w:cs="Calibri"/>
          <w:szCs w:val="21"/>
        </w:rPr>
      </w:r>
    </w:p>
    <w:p>
      <w:pPr>
        <w:widowControl w:val="true"/>
        <w:numPr>
          <w:ilvl w:val="0"/>
          <w:numId w:val="6"/>
        </w:numPr>
        <w:pBdr/>
        <w:spacing w:after="100" w:afterAutospacing="1" w:before="100" w:beforeAutospacing="1"/>
        <w:ind/>
        <w:jc w:val="left"/>
        <w:rPr>
          <w:rFonts w:ascii="Calibri" w:hAnsi="Calibri" w:eastAsia="宋体" w:cs="Calibri"/>
          <w:szCs w:val="21"/>
        </w:rPr>
      </w:pPr>
      <w:r>
        <w:rPr>
          <w:rFonts w:ascii="Calibri" w:hAnsi="Calibri" w:eastAsia="宋体" w:cs="Calibri"/>
          <w:b/>
          <w:szCs w:val="21"/>
        </w:rPr>
        <w:t xml:space="preserve">Agent Registration/</w:t>
      </w:r>
      <w:r>
        <w:rPr>
          <w:rFonts w:hint="eastAsia" w:ascii="Calibri" w:hAnsi="Calibri" w:eastAsia="宋体" w:cs="Calibri"/>
          <w:b/>
          <w:szCs w:val="21"/>
        </w:rPr>
        <w:t xml:space="preserve">Discovery</w:t>
      </w:r>
      <w:r>
        <w:rPr>
          <w:rFonts w:ascii="Calibri" w:hAnsi="Calibri" w:eastAsia="宋体" w:cs="Calibri"/>
          <w:b/>
          <w:szCs w:val="21"/>
        </w:rPr>
        <w:t xml:space="preserve"> </w:t>
      </w:r>
      <w:r>
        <w:rPr>
          <w:rFonts w:ascii="Calibri" w:hAnsi="Calibri" w:eastAsia="宋体" w:cs="Calibri"/>
          <w:szCs w:val="21"/>
        </w:rPr>
        <w:t xml:space="preserve">which will be specified in the future</w:t>
      </w:r>
      <w:r>
        <w:rPr>
          <w:rFonts w:ascii="Calibri" w:hAnsi="Calibri" w:eastAsia="宋体" w:cs="Calibri"/>
          <w:szCs w:val="21"/>
        </w:rPr>
      </w:r>
    </w:p>
    <w:p>
      <w:pPr>
        <w:widowControl w:val="true"/>
        <w:numPr>
          <w:ilvl w:val="0"/>
          <w:numId w:val="6"/>
        </w:numPr>
        <w:pBdr/>
        <w:spacing w:after="100" w:afterAutospacing="1" w:before="100" w:beforeAutospacing="1"/>
        <w:ind/>
        <w:jc w:val="left"/>
        <w:rPr>
          <w:rFonts w:ascii="Calibri" w:hAnsi="Calibri" w:eastAsia="宋体" w:cs="Calibri"/>
          <w:szCs w:val="21"/>
        </w:rPr>
      </w:pPr>
      <w:r>
        <w:rPr>
          <w:rFonts w:ascii="Calibri" w:hAnsi="Calibri" w:eastAsia="宋体" w:cs="Calibri"/>
          <w:b/>
          <w:bCs/>
          <w:szCs w:val="21"/>
        </w:rPr>
        <w:t xml:space="preserve">Security mechanisms such as </w:t>
      </w:r>
      <w:r>
        <w:rPr>
          <w:rFonts w:ascii="Calibri" w:hAnsi="Calibri" w:eastAsia="宋体" w:cs="Calibri"/>
          <w:b/>
          <w:bCs/>
          <w:szCs w:val="21"/>
        </w:rPr>
        <w:t xml:space="preserve">OAuth 2.0</w:t>
      </w:r>
      <w:r>
        <w:rPr>
          <w:rFonts w:ascii="Calibri" w:hAnsi="Calibri" w:eastAsia="宋体" w:cs="Calibri"/>
          <w:b/>
          <w:bCs/>
          <w:szCs w:val="21"/>
        </w:rPr>
        <w:t xml:space="preserve">/ACME/WIMSE/</w:t>
      </w:r>
      <w:r>
        <w:rPr>
          <w:rFonts w:ascii="Calibri" w:hAnsi="Calibri" w:eastAsia="宋体" w:cs="Calibri"/>
          <w:b/>
          <w:bCs/>
          <w:szCs w:val="21"/>
        </w:rPr>
        <w:t xml:space="preserve">Webbotauth</w:t>
      </w:r>
      <w:r>
        <w:rPr>
          <w:rFonts w:ascii="Calibri" w:hAnsi="Calibri" w:eastAsia="宋体" w:cs="Calibri"/>
          <w:b/>
          <w:bCs/>
          <w:szCs w:val="21"/>
        </w:rPr>
        <w:t xml:space="preserve"> etc.</w:t>
      </w:r>
      <w:r>
        <w:rPr>
          <w:rFonts w:ascii="Calibri" w:hAnsi="Calibri" w:eastAsia="宋体" w:cs="Calibri"/>
          <w:szCs w:val="21"/>
        </w:rPr>
      </w:r>
    </w:p>
    <w:p>
      <w:pPr>
        <w:widowControl w:val="true"/>
        <w:numPr>
          <w:ilvl w:val="0"/>
          <w:numId w:val="6"/>
        </w:numPr>
        <w:pBdr/>
        <w:spacing w:after="100" w:afterAutospacing="1" w:before="100" w:beforeAutospacing="1"/>
        <w:ind/>
        <w:jc w:val="left"/>
        <w:rPr>
          <w:rFonts w:ascii="Calibri" w:hAnsi="Calibri" w:eastAsia="宋体" w:cs="Calibri"/>
          <w:szCs w:val="21"/>
        </w:rPr>
      </w:pPr>
      <w:r>
        <w:rPr>
          <w:rFonts w:ascii="Calibri" w:hAnsi="Calibri" w:eastAsia="宋体" w:cs="Calibri"/>
          <w:b/>
          <w:bCs/>
          <w:szCs w:val="21"/>
        </w:rPr>
        <w:t xml:space="preserve">BGP</w:t>
      </w:r>
      <w:r>
        <w:rPr>
          <w:rFonts w:ascii="Calibri" w:hAnsi="Calibri" w:eastAsia="宋体" w:cs="Calibri"/>
          <w:b/>
          <w:bCs/>
          <w:szCs w:val="21"/>
        </w:rPr>
        <w:t xml:space="preserve">/IGP</w:t>
      </w:r>
      <w:r>
        <w:rPr>
          <w:rFonts w:ascii="Calibri" w:hAnsi="Calibri" w:eastAsia="宋体" w:cs="Calibri"/>
          <w:szCs w:val="21"/>
        </w:rPr>
        <w:t xml:space="preserve"> for </w:t>
      </w:r>
      <w:r>
        <w:rPr>
          <w:rFonts w:ascii="Calibri" w:hAnsi="Calibri" w:eastAsia="宋体" w:cs="Calibri"/>
          <w:szCs w:val="21"/>
        </w:rPr>
        <w:t xml:space="preserve">ACIP-router-to-ACIP-router.</w:t>
      </w:r>
      <w:r>
        <w:rPr>
          <w:rFonts w:ascii="Calibri" w:hAnsi="Calibri" w:eastAsia="宋体" w:cs="Calibri"/>
          <w:szCs w:val="21"/>
        </w:rPr>
      </w:r>
      <w:r>
        <w:rPr>
          <w:rFonts w:ascii="Calibri" w:hAnsi="Calibri" w:eastAsia="宋体" w:cs="Calibri"/>
          <w:szCs w:val="21"/>
        </w:rPr>
      </w:r>
    </w:p>
    <w:sectPr>
      <w:footnotePr/>
      <w:endnotePr/>
      <w:type w:val="nextPage"/>
      <w:pgSz w:h="16838" w:orient="portrait" w:w="11906"/>
      <w:pgMar w:top="1440" w:right="2253" w:bottom="1440" w:left="2253"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w:panose1 w:val="05000000000000000000"/>
  </w:font>
  <w:font w:name="Courier New">
    <w:panose1 w:val="02070309020205020404"/>
  </w:font>
  <w:font w:name="宋体">
    <w:panose1 w:val="02020603020101020101"/>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rFonts w:hint="default" w:ascii="Symbol" w:hAnsi="Symbol" w:eastAsia="Symbol" w:cs="Symbol"/>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3"/>
  </w:num>
  <w:num w:numId="2">
    <w:abstractNumId w:val="6"/>
  </w:num>
  <w:num w:numId="3">
    <w:abstractNumId w:val="8"/>
  </w:num>
  <w:num w:numId="4">
    <w:abstractNumId w:val="1"/>
  </w:num>
  <w:num w:numId="5">
    <w:abstractNumId w:val="4"/>
  </w:num>
  <w:num w:numId="6">
    <w:abstractNumId w:val="5"/>
  </w:num>
  <w:num w:numId="7">
    <w:abstractNumId w:val="7"/>
  </w:num>
  <w:num w:numId="8">
    <w:abstractNumId w:val="2"/>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1"/>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5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5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5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5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47"/>
    <w:next w:val="647"/>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47"/>
    <w:next w:val="647"/>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4"/>
    <w:basedOn w:val="647"/>
    <w:next w:val="647"/>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47"/>
    <w:next w:val="647"/>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47"/>
    <w:next w:val="647"/>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47"/>
    <w:next w:val="647"/>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47"/>
    <w:next w:val="647"/>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47"/>
    <w:next w:val="647"/>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649"/>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649"/>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649"/>
    <w:link w:val="648"/>
    <w:uiPriority w:val="9"/>
    <w:pPr>
      <w:pBdr/>
      <w:spacing/>
      <w:ind/>
    </w:pPr>
    <w:rPr>
      <w:rFonts w:ascii="Arial" w:hAnsi="Arial" w:eastAsia="Arial" w:cs="Arial"/>
      <w:color w:val="0f4761" w:themeColor="accent1" w:themeShade="BF"/>
      <w:sz w:val="28"/>
      <w:szCs w:val="28"/>
    </w:rPr>
  </w:style>
  <w:style w:type="character" w:styleId="152">
    <w:name w:val="Heading 4 Char"/>
    <w:basedOn w:val="649"/>
    <w:link w:val="141"/>
    <w:uiPriority w:val="9"/>
    <w:pPr>
      <w:pBdr/>
      <w:spacing/>
      <w:ind/>
    </w:pPr>
    <w:rPr>
      <w:rFonts w:ascii="Arial" w:hAnsi="Arial" w:eastAsia="Arial" w:cs="Arial"/>
      <w:i/>
      <w:iCs/>
      <w:color w:val="0f4761" w:themeColor="accent1" w:themeShade="BF"/>
    </w:rPr>
  </w:style>
  <w:style w:type="character" w:styleId="153">
    <w:name w:val="Heading 5 Char"/>
    <w:basedOn w:val="649"/>
    <w:link w:val="142"/>
    <w:uiPriority w:val="9"/>
    <w:pPr>
      <w:pBdr/>
      <w:spacing/>
      <w:ind/>
    </w:pPr>
    <w:rPr>
      <w:rFonts w:ascii="Arial" w:hAnsi="Arial" w:eastAsia="Arial" w:cs="Arial"/>
      <w:color w:val="0f4761" w:themeColor="accent1" w:themeShade="BF"/>
    </w:rPr>
  </w:style>
  <w:style w:type="character" w:styleId="154">
    <w:name w:val="Heading 6 Char"/>
    <w:basedOn w:val="649"/>
    <w:link w:val="143"/>
    <w:uiPriority w:val="9"/>
    <w:pPr>
      <w:pBdr/>
      <w:spacing/>
      <w:ind/>
    </w:pPr>
    <w:rPr>
      <w:rFonts w:ascii="Arial" w:hAnsi="Arial" w:eastAsia="Arial" w:cs="Arial"/>
      <w:i/>
      <w:iCs/>
      <w:color w:val="595959" w:themeColor="text1" w:themeTint="A6"/>
    </w:rPr>
  </w:style>
  <w:style w:type="character" w:styleId="155">
    <w:name w:val="Heading 7 Char"/>
    <w:basedOn w:val="649"/>
    <w:link w:val="144"/>
    <w:uiPriority w:val="9"/>
    <w:pPr>
      <w:pBdr/>
      <w:spacing/>
      <w:ind/>
    </w:pPr>
    <w:rPr>
      <w:rFonts w:ascii="Arial" w:hAnsi="Arial" w:eastAsia="Arial" w:cs="Arial"/>
      <w:color w:val="595959" w:themeColor="text1" w:themeTint="A6"/>
    </w:rPr>
  </w:style>
  <w:style w:type="character" w:styleId="156">
    <w:name w:val="Heading 8 Char"/>
    <w:basedOn w:val="649"/>
    <w:link w:val="145"/>
    <w:uiPriority w:val="9"/>
    <w:pPr>
      <w:pBdr/>
      <w:spacing/>
      <w:ind/>
    </w:pPr>
    <w:rPr>
      <w:rFonts w:ascii="Arial" w:hAnsi="Arial" w:eastAsia="Arial" w:cs="Arial"/>
      <w:i/>
      <w:iCs/>
      <w:color w:val="272727" w:themeColor="text1" w:themeTint="D8"/>
    </w:rPr>
  </w:style>
  <w:style w:type="character" w:styleId="157">
    <w:name w:val="Heading 9 Char"/>
    <w:basedOn w:val="649"/>
    <w:link w:val="146"/>
    <w:uiPriority w:val="9"/>
    <w:pPr>
      <w:pBdr/>
      <w:spacing/>
      <w:ind/>
    </w:pPr>
    <w:rPr>
      <w:rFonts w:ascii="Arial" w:hAnsi="Arial" w:eastAsia="Arial" w:cs="Arial"/>
      <w:i/>
      <w:iCs/>
      <w:color w:val="272727" w:themeColor="text1" w:themeTint="D8"/>
    </w:rPr>
  </w:style>
  <w:style w:type="paragraph" w:styleId="158">
    <w:name w:val="Title"/>
    <w:basedOn w:val="647"/>
    <w:next w:val="647"/>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649"/>
    <w:link w:val="158"/>
    <w:uiPriority w:val="10"/>
    <w:pPr>
      <w:pBdr/>
      <w:spacing/>
      <w:ind/>
    </w:pPr>
    <w:rPr>
      <w:rFonts w:ascii="Arial" w:hAnsi="Arial" w:eastAsia="Arial" w:cs="Arial"/>
      <w:spacing w:val="-10"/>
      <w:sz w:val="56"/>
      <w:szCs w:val="56"/>
    </w:rPr>
  </w:style>
  <w:style w:type="paragraph" w:styleId="160">
    <w:name w:val="Subtitle"/>
    <w:basedOn w:val="647"/>
    <w:next w:val="647"/>
    <w:link w:val="161"/>
    <w:uiPriority w:val="11"/>
    <w:qFormat/>
    <w:pPr>
      <w:numPr>
        <w:ilvl w:val="1"/>
      </w:numPr>
      <w:pBdr/>
      <w:spacing/>
      <w:ind/>
    </w:pPr>
    <w:rPr>
      <w:color w:val="595959" w:themeColor="text1" w:themeTint="A6"/>
      <w:spacing w:val="15"/>
      <w:sz w:val="28"/>
      <w:szCs w:val="28"/>
    </w:rPr>
  </w:style>
  <w:style w:type="character" w:styleId="161">
    <w:name w:val="Subtitle Char"/>
    <w:basedOn w:val="649"/>
    <w:link w:val="160"/>
    <w:uiPriority w:val="11"/>
    <w:pPr>
      <w:pBdr/>
      <w:spacing/>
      <w:ind/>
    </w:pPr>
    <w:rPr>
      <w:color w:val="595959" w:themeColor="text1" w:themeTint="A6"/>
      <w:spacing w:val="15"/>
      <w:sz w:val="28"/>
      <w:szCs w:val="28"/>
    </w:rPr>
  </w:style>
  <w:style w:type="paragraph" w:styleId="162">
    <w:name w:val="Quote"/>
    <w:basedOn w:val="647"/>
    <w:next w:val="647"/>
    <w:link w:val="163"/>
    <w:uiPriority w:val="29"/>
    <w:qFormat/>
    <w:pPr>
      <w:pBdr/>
      <w:spacing w:before="160"/>
      <w:ind/>
      <w:jc w:val="center"/>
    </w:pPr>
    <w:rPr>
      <w:i/>
      <w:iCs/>
      <w:color w:val="404040" w:themeColor="text1" w:themeTint="BF"/>
    </w:rPr>
  </w:style>
  <w:style w:type="character" w:styleId="163">
    <w:name w:val="Quote Char"/>
    <w:basedOn w:val="649"/>
    <w:link w:val="162"/>
    <w:uiPriority w:val="29"/>
    <w:pPr>
      <w:pBdr/>
      <w:spacing/>
      <w:ind/>
    </w:pPr>
    <w:rPr>
      <w:i/>
      <w:iCs/>
      <w:color w:val="404040" w:themeColor="text1" w:themeTint="BF"/>
    </w:rPr>
  </w:style>
  <w:style w:type="paragraph" w:styleId="164">
    <w:name w:val="List Paragraph"/>
    <w:basedOn w:val="647"/>
    <w:uiPriority w:val="34"/>
    <w:qFormat/>
    <w:pPr>
      <w:pBdr/>
      <w:spacing/>
      <w:ind w:left="720"/>
      <w:contextualSpacing w:val="true"/>
    </w:pPr>
  </w:style>
  <w:style w:type="character" w:styleId="165">
    <w:name w:val="Intense Emphasis"/>
    <w:basedOn w:val="649"/>
    <w:uiPriority w:val="21"/>
    <w:qFormat/>
    <w:pPr>
      <w:pBdr/>
      <w:spacing/>
      <w:ind/>
    </w:pPr>
    <w:rPr>
      <w:i/>
      <w:iCs/>
      <w:color w:val="0f4761" w:themeColor="accent1" w:themeShade="BF"/>
    </w:rPr>
  </w:style>
  <w:style w:type="paragraph" w:styleId="166">
    <w:name w:val="Intense Quote"/>
    <w:basedOn w:val="647"/>
    <w:next w:val="647"/>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649"/>
    <w:link w:val="166"/>
    <w:uiPriority w:val="30"/>
    <w:pPr>
      <w:pBdr/>
      <w:spacing/>
      <w:ind/>
    </w:pPr>
    <w:rPr>
      <w:i/>
      <w:iCs/>
      <w:color w:val="0f4761" w:themeColor="accent1" w:themeShade="BF"/>
    </w:rPr>
  </w:style>
  <w:style w:type="character" w:styleId="168">
    <w:name w:val="Intense Reference"/>
    <w:basedOn w:val="649"/>
    <w:uiPriority w:val="32"/>
    <w:qFormat/>
    <w:pPr>
      <w:pBdr/>
      <w:spacing/>
      <w:ind/>
    </w:pPr>
    <w:rPr>
      <w:b/>
      <w:bCs/>
      <w:smallCaps/>
      <w:color w:val="0f4761" w:themeColor="accent1" w:themeShade="BF"/>
      <w:spacing w:val="5"/>
    </w:rPr>
  </w:style>
  <w:style w:type="paragraph" w:styleId="169">
    <w:name w:val="No Spacing"/>
    <w:basedOn w:val="647"/>
    <w:uiPriority w:val="1"/>
    <w:qFormat/>
    <w:pPr>
      <w:pBdr/>
      <w:spacing w:after="0" w:line="240" w:lineRule="auto"/>
      <w:ind/>
    </w:pPr>
  </w:style>
  <w:style w:type="character" w:styleId="170">
    <w:name w:val="Subtle Emphasis"/>
    <w:basedOn w:val="649"/>
    <w:uiPriority w:val="19"/>
    <w:qFormat/>
    <w:pPr>
      <w:pBdr/>
      <w:spacing/>
      <w:ind/>
    </w:pPr>
    <w:rPr>
      <w:i/>
      <w:iCs/>
      <w:color w:val="404040" w:themeColor="text1" w:themeTint="BF"/>
    </w:rPr>
  </w:style>
  <w:style w:type="character" w:styleId="171">
    <w:name w:val="Emphasis"/>
    <w:basedOn w:val="649"/>
    <w:uiPriority w:val="20"/>
    <w:qFormat/>
    <w:pPr>
      <w:pBdr/>
      <w:spacing/>
      <w:ind/>
    </w:pPr>
    <w:rPr>
      <w:i/>
      <w:iCs/>
    </w:rPr>
  </w:style>
  <w:style w:type="character" w:styleId="173">
    <w:name w:val="Subtle Reference"/>
    <w:basedOn w:val="649"/>
    <w:uiPriority w:val="31"/>
    <w:qFormat/>
    <w:pPr>
      <w:pBdr/>
      <w:spacing/>
      <w:ind/>
    </w:pPr>
    <w:rPr>
      <w:smallCaps/>
      <w:color w:val="5a5a5a" w:themeColor="text1" w:themeTint="A5"/>
    </w:rPr>
  </w:style>
  <w:style w:type="character" w:styleId="174">
    <w:name w:val="Book Title"/>
    <w:basedOn w:val="649"/>
    <w:uiPriority w:val="33"/>
    <w:qFormat/>
    <w:pPr>
      <w:pBdr/>
      <w:spacing/>
      <w:ind/>
    </w:pPr>
    <w:rPr>
      <w:b/>
      <w:bCs/>
      <w:i/>
      <w:iCs/>
      <w:spacing w:val="5"/>
    </w:rPr>
  </w:style>
  <w:style w:type="paragraph" w:styleId="175">
    <w:name w:val="Header"/>
    <w:basedOn w:val="647"/>
    <w:link w:val="176"/>
    <w:uiPriority w:val="99"/>
    <w:unhideWhenUsed/>
    <w:pPr>
      <w:pBdr/>
      <w:tabs>
        <w:tab w:val="center" w:leader="none" w:pos="4844"/>
        <w:tab w:val="right" w:leader="none" w:pos="9689"/>
      </w:tabs>
      <w:spacing w:after="0" w:line="240" w:lineRule="auto"/>
      <w:ind/>
    </w:pPr>
  </w:style>
  <w:style w:type="character" w:styleId="176">
    <w:name w:val="Header Char"/>
    <w:basedOn w:val="649"/>
    <w:link w:val="175"/>
    <w:uiPriority w:val="99"/>
    <w:pPr>
      <w:pBdr/>
      <w:spacing/>
      <w:ind/>
    </w:pPr>
  </w:style>
  <w:style w:type="paragraph" w:styleId="177">
    <w:name w:val="Footer"/>
    <w:basedOn w:val="647"/>
    <w:link w:val="178"/>
    <w:uiPriority w:val="99"/>
    <w:unhideWhenUsed/>
    <w:pPr>
      <w:pBdr/>
      <w:tabs>
        <w:tab w:val="center" w:leader="none" w:pos="4844"/>
        <w:tab w:val="right" w:leader="none" w:pos="9689"/>
      </w:tabs>
      <w:spacing w:after="0" w:line="240" w:lineRule="auto"/>
      <w:ind/>
    </w:pPr>
  </w:style>
  <w:style w:type="character" w:styleId="178">
    <w:name w:val="Footer Char"/>
    <w:basedOn w:val="649"/>
    <w:link w:val="177"/>
    <w:uiPriority w:val="99"/>
    <w:pPr>
      <w:pBdr/>
      <w:spacing/>
      <w:ind/>
    </w:pPr>
  </w:style>
  <w:style w:type="paragraph" w:styleId="179">
    <w:name w:val="Caption"/>
    <w:basedOn w:val="647"/>
    <w:next w:val="647"/>
    <w:uiPriority w:val="35"/>
    <w:unhideWhenUsed/>
    <w:qFormat/>
    <w:pPr>
      <w:pBdr/>
      <w:spacing w:after="200" w:line="240" w:lineRule="auto"/>
      <w:ind/>
    </w:pPr>
    <w:rPr>
      <w:i/>
      <w:iCs/>
      <w:color w:val="0e2841" w:themeColor="text2"/>
      <w:sz w:val="18"/>
      <w:szCs w:val="18"/>
    </w:rPr>
  </w:style>
  <w:style w:type="paragraph" w:styleId="180">
    <w:name w:val="footnote text"/>
    <w:basedOn w:val="647"/>
    <w:link w:val="181"/>
    <w:uiPriority w:val="99"/>
    <w:semiHidden/>
    <w:unhideWhenUsed/>
    <w:pPr>
      <w:pBdr/>
      <w:spacing w:after="0" w:line="240" w:lineRule="auto"/>
      <w:ind/>
    </w:pPr>
    <w:rPr>
      <w:sz w:val="20"/>
      <w:szCs w:val="20"/>
    </w:rPr>
  </w:style>
  <w:style w:type="character" w:styleId="181">
    <w:name w:val="Footnote Text Char"/>
    <w:basedOn w:val="649"/>
    <w:link w:val="180"/>
    <w:uiPriority w:val="99"/>
    <w:semiHidden/>
    <w:pPr>
      <w:pBdr/>
      <w:spacing/>
      <w:ind/>
    </w:pPr>
    <w:rPr>
      <w:sz w:val="20"/>
      <w:szCs w:val="20"/>
    </w:rPr>
  </w:style>
  <w:style w:type="character" w:styleId="182">
    <w:name w:val="footnote reference"/>
    <w:basedOn w:val="649"/>
    <w:uiPriority w:val="99"/>
    <w:semiHidden/>
    <w:unhideWhenUsed/>
    <w:pPr>
      <w:pBdr/>
      <w:spacing/>
      <w:ind/>
    </w:pPr>
    <w:rPr>
      <w:vertAlign w:val="superscript"/>
    </w:rPr>
  </w:style>
  <w:style w:type="paragraph" w:styleId="183">
    <w:name w:val="endnote text"/>
    <w:basedOn w:val="647"/>
    <w:link w:val="184"/>
    <w:uiPriority w:val="99"/>
    <w:semiHidden/>
    <w:unhideWhenUsed/>
    <w:pPr>
      <w:pBdr/>
      <w:spacing w:after="0" w:line="240" w:lineRule="auto"/>
      <w:ind/>
    </w:pPr>
    <w:rPr>
      <w:sz w:val="20"/>
      <w:szCs w:val="20"/>
    </w:rPr>
  </w:style>
  <w:style w:type="character" w:styleId="184">
    <w:name w:val="Endnote Text Char"/>
    <w:basedOn w:val="649"/>
    <w:link w:val="183"/>
    <w:uiPriority w:val="99"/>
    <w:semiHidden/>
    <w:pPr>
      <w:pBdr/>
      <w:spacing/>
      <w:ind/>
    </w:pPr>
    <w:rPr>
      <w:sz w:val="20"/>
      <w:szCs w:val="20"/>
    </w:rPr>
  </w:style>
  <w:style w:type="character" w:styleId="185">
    <w:name w:val="endnote reference"/>
    <w:basedOn w:val="649"/>
    <w:uiPriority w:val="99"/>
    <w:semiHidden/>
    <w:unhideWhenUsed/>
    <w:pPr>
      <w:pBdr/>
      <w:spacing/>
      <w:ind/>
    </w:pPr>
    <w:rPr>
      <w:vertAlign w:val="superscript"/>
    </w:rPr>
  </w:style>
  <w:style w:type="character" w:styleId="186">
    <w:name w:val="Hyperlink"/>
    <w:basedOn w:val="649"/>
    <w:uiPriority w:val="99"/>
    <w:unhideWhenUsed/>
    <w:pPr>
      <w:pBdr/>
      <w:spacing/>
      <w:ind/>
    </w:pPr>
    <w:rPr>
      <w:color w:val="0563c1" w:themeColor="hyperlink"/>
      <w:u w:val="single"/>
    </w:rPr>
  </w:style>
  <w:style w:type="character" w:styleId="187">
    <w:name w:val="FollowedHyperlink"/>
    <w:basedOn w:val="649"/>
    <w:uiPriority w:val="99"/>
    <w:semiHidden/>
    <w:unhideWhenUsed/>
    <w:pPr>
      <w:pBdr/>
      <w:spacing/>
      <w:ind/>
    </w:pPr>
    <w:rPr>
      <w:color w:val="954f72" w:themeColor="followedHyperlink"/>
      <w:u w:val="single"/>
    </w:rPr>
  </w:style>
  <w:style w:type="paragraph" w:styleId="197">
    <w:name w:val="TOC Heading"/>
    <w:uiPriority w:val="39"/>
    <w:unhideWhenUsed/>
    <w:pPr>
      <w:pBdr/>
      <w:spacing/>
      <w:ind/>
    </w:pPr>
  </w:style>
  <w:style w:type="paragraph" w:styleId="198">
    <w:name w:val="table of figures"/>
    <w:basedOn w:val="647"/>
    <w:next w:val="647"/>
    <w:uiPriority w:val="99"/>
    <w:unhideWhenUsed/>
    <w:pPr>
      <w:pBdr/>
      <w:spacing w:after="0" w:afterAutospacing="0"/>
      <w:ind/>
    </w:pPr>
  </w:style>
  <w:style w:type="paragraph" w:styleId="647" w:default="1">
    <w:name w:val="Normal"/>
    <w:qFormat/>
    <w:pPr>
      <w:widowControl w:val="false"/>
      <w:pBdr/>
      <w:spacing/>
      <w:ind/>
      <w:jc w:val="both"/>
    </w:pPr>
  </w:style>
  <w:style w:type="paragraph" w:styleId="648">
    <w:name w:val="Heading 3"/>
    <w:basedOn w:val="647"/>
    <w:link w:val="654"/>
    <w:uiPriority w:val="9"/>
    <w:qFormat/>
    <w:pPr>
      <w:widowControl w:val="true"/>
      <w:pBdr/>
      <w:spacing w:after="100" w:afterAutospacing="1" w:before="100" w:beforeAutospacing="1"/>
      <w:ind/>
      <w:jc w:val="left"/>
      <w:outlineLvl w:val="2"/>
    </w:pPr>
    <w:rPr>
      <w:rFonts w:ascii="宋体" w:hAnsi="宋体" w:eastAsia="宋体" w:cs="宋体"/>
      <w:b/>
      <w:bCs/>
      <w:sz w:val="27"/>
      <w:szCs w:val="27"/>
    </w:rPr>
  </w:style>
  <w:style w:type="character" w:styleId="649" w:default="1">
    <w:name w:val="Default Paragraph Font"/>
    <w:uiPriority w:val="1"/>
    <w:semiHidden/>
    <w:unhideWhenUsed/>
    <w:pPr>
      <w:pBdr/>
      <w:spacing/>
      <w:ind/>
    </w:pPr>
  </w:style>
  <w:style w:type="table" w:styleId="65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51" w:default="1">
    <w:name w:val="No List"/>
    <w:uiPriority w:val="99"/>
    <w:semiHidden/>
    <w:unhideWhenUsed/>
    <w:pPr>
      <w:pBdr/>
      <w:spacing/>
      <w:ind/>
    </w:pPr>
  </w:style>
  <w:style w:type="paragraph" w:styleId="652">
    <w:name w:val="Plain Text"/>
    <w:basedOn w:val="647"/>
    <w:link w:val="653"/>
    <w:uiPriority w:val="99"/>
    <w:unhideWhenUsed/>
    <w:pPr>
      <w:pBdr/>
      <w:spacing/>
      <w:ind/>
    </w:pPr>
    <w:rPr>
      <w:rFonts w:hAnsi="Courier New" w:cs="Courier New" w:asciiTheme="minorEastAsia"/>
    </w:rPr>
  </w:style>
  <w:style w:type="character" w:styleId="653" w:customStyle="1">
    <w:name w:val="纯文本 字符"/>
    <w:basedOn w:val="649"/>
    <w:link w:val="652"/>
    <w:uiPriority w:val="99"/>
    <w:pPr>
      <w:pBdr/>
      <w:spacing/>
      <w:ind/>
    </w:pPr>
    <w:rPr>
      <w:rFonts w:hAnsi="Courier New" w:cs="Courier New" w:asciiTheme="minorEastAsia"/>
    </w:rPr>
  </w:style>
  <w:style w:type="character" w:styleId="654" w:customStyle="1">
    <w:name w:val="标题 3 字符"/>
    <w:basedOn w:val="649"/>
    <w:link w:val="648"/>
    <w:uiPriority w:val="9"/>
    <w:pPr>
      <w:pBdr/>
      <w:spacing/>
      <w:ind/>
    </w:pPr>
    <w:rPr>
      <w:rFonts w:ascii="宋体" w:hAnsi="宋体" w:eastAsia="宋体" w:cs="宋体"/>
      <w:b/>
      <w:bCs/>
      <w:sz w:val="27"/>
      <w:szCs w:val="27"/>
    </w:rPr>
  </w:style>
  <w:style w:type="paragraph" w:styleId="655">
    <w:name w:val="Normal (Web)"/>
    <w:basedOn w:val="647"/>
    <w:uiPriority w:val="99"/>
    <w:semiHidden/>
    <w:unhideWhenUsed/>
    <w:pPr>
      <w:widowControl w:val="true"/>
      <w:pBdr/>
      <w:spacing w:after="100" w:afterAutospacing="1" w:before="100" w:beforeAutospacing="1"/>
      <w:ind/>
      <w:jc w:val="left"/>
    </w:pPr>
    <w:rPr>
      <w:rFonts w:ascii="宋体" w:hAnsi="宋体" w:eastAsia="宋体" w:cs="宋体"/>
      <w:sz w:val="24"/>
      <w:szCs w:val="24"/>
    </w:rPr>
  </w:style>
  <w:style w:type="character" w:styleId="656">
    <w:name w:val="Strong"/>
    <w:basedOn w:val="649"/>
    <w:uiPriority w:val="22"/>
    <w:qFormat/>
    <w:pPr>
      <w:pBdr/>
      <w:spacing/>
      <w:ind/>
    </w:pPr>
    <w:rPr>
      <w:b/>
      <w:bCs/>
    </w:rPr>
  </w:style>
  <w:style w:type="character" w:styleId="657" w:customStyle="1">
    <w:name w:val="math-inline"/>
    <w:basedOn w:val="64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revision>9</cp:revision>
  <dcterms:created xsi:type="dcterms:W3CDTF">2026-01-09T16:05:00Z</dcterms:created>
  <dcterms:modified xsi:type="dcterms:W3CDTF">2026-01-10T14:19:09Z</dcterms:modified>
</cp:coreProperties>
</file>