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Coface 汇率方案说明（FAQ）</w:t>
      </w:r>
    </w:p>
    <w:p>
      <w:r>
        <w:rPr>
          <w:i/>
          <w:color w:val="404040"/>
        </w:rPr>
        <w:t>**文档用途**：解答客户关于“为何不使用 D365 自带汇率”的疑问</w:t>
      </w:r>
    </w:p>
    <w:p>
      <w:r>
        <w:rPr>
          <w:i/>
          <w:color w:val="404040"/>
        </w:rPr>
        <w:t>**适用对象**：业务人员、客户、项目管理人员</w:t>
      </w:r>
    </w:p>
    <w:p>
      <w:r>
        <w:rPr>
          <w:i/>
          <w:color w:val="404040"/>
        </w:rPr>
        <w:t>**最后更新**：2026-06-19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一、背景说明</w:t>
      </w:r>
    </w:p>
    <w:p>
      <w:r>
        <w:t>在三一 D365 海外客户评分卡项目中，Coface 接口返回的财务数据（如注册资本、净资产等）默认使用</w:t>
      </w:r>
      <w:r>
        <w:rPr>
          <w:b/>
        </w:rPr>
        <w:t>当地货币（Local Currency, LC）</w:t>
      </w:r>
      <w:r>
        <w:t xml:space="preserve">。为了统一评分口径，项目要求将这些金额统一转换为 </w:t>
      </w:r>
      <w:r>
        <w:rPr>
          <w:b/>
        </w:rPr>
        <w:t>USD（美元）</w:t>
      </w:r>
      <w:r>
        <w:t>。</w:t>
      </w:r>
    </w:p>
    <w:p>
      <w:r>
        <w:t xml:space="preserve">项目最终采用独立的 </w:t>
      </w:r>
      <w:r>
        <w:rPr>
          <w:b/>
        </w:rPr>
        <w:t>`mcs_coface_exchange_rate`</w:t>
      </w:r>
      <w:r>
        <w:t xml:space="preserve"> 配置表来维护汇率，而不是使用 D365 系统自带的 `TransactionCurrency` / `Currency` 汇率。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二、常见问题</w:t>
      </w:r>
    </w:p>
    <w:p>
      <w:pPr>
        <w:pStyle w:val="Heading2"/>
      </w:pPr>
      <w:r>
        <w:t>Q1：为什么不使用 D365 自带的汇率？</w:t>
      </w:r>
    </w:p>
    <w:p>
      <w:r>
        <w:t>D365 自带汇率主要服务于 CRM 内部交易货币字段（如报价单、订单、发票等），其设计目标与 Coface 数据集成的业务场景存在明显差异。直接使用会带来业务规则冲突、数据精度、系统影响面等多方面的问题。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Q2：使用 D365 自带汇率会有哪些具体问题？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问题分类</w:t>
            </w:r>
          </w:p>
        </w:tc>
        <w:tc>
          <w:tcPr>
            <w:tcW w:type="dxa" w:w="4320"/>
          </w:tcPr>
          <w:p>
            <w:r>
              <w:t>具体说明</w:t>
            </w:r>
          </w:p>
        </w:tc>
      </w:tr>
      <w:tr>
        <w:tc>
          <w:tcPr>
            <w:tcW w:type="dxa" w:w="4320"/>
          </w:tcPr>
          <w:p>
            <w:r>
              <w:t>**业务规则冲突**</w:t>
            </w:r>
          </w:p>
        </w:tc>
        <w:tc>
          <w:tcPr>
            <w:tcW w:type="dxa" w:w="4320"/>
          </w:tcPr>
          <w:p>
            <w:r>
              <w:t>项目文档明确要求使用 **2026 Budget 年度固定汇率**，不建议实时汇率；D365 自带汇率通常是当前有效汇率，没有“年度预算”概念。</w:t>
            </w:r>
          </w:p>
        </w:tc>
      </w:tr>
      <w:tr>
        <w:tc>
          <w:tcPr>
            <w:tcW w:type="dxa" w:w="4320"/>
          </w:tcPr>
          <w:p>
            <w:r>
              <w:t>**换算方向不一致**</w:t>
            </w:r>
          </w:p>
        </w:tc>
        <w:tc>
          <w:tcPr>
            <w:tcW w:type="dxa" w:w="4320"/>
          </w:tcPr>
          <w:p>
            <w:r>
              <w:t>D365 汇率通常基于组织基础货币（Base Currency，如 CNY），而项目要求统一转为 USD。若 Base Currency 不是 USD，需要二次换算，增加误差。</w:t>
            </w:r>
          </w:p>
        </w:tc>
      </w:tr>
      <w:tr>
        <w:tc>
          <w:tcPr>
            <w:tcW w:type="dxa" w:w="4320"/>
          </w:tcPr>
          <w:p>
            <w:r>
              <w:t>**货币覆盖不足**</w:t>
            </w:r>
          </w:p>
        </w:tc>
        <w:tc>
          <w:tcPr>
            <w:tcW w:type="dxa" w:w="4320"/>
          </w:tcPr>
          <w:p>
            <w:r>
              <w:t>Coface 接口涉及 200 多种 ISO 货币代码，D365 通常只维护日常交易货币，大量小众币种未配置。</w:t>
            </w:r>
          </w:p>
        </w:tc>
      </w:tr>
      <w:tr>
        <w:tc>
          <w:tcPr>
            <w:tcW w:type="dxa" w:w="4320"/>
          </w:tcPr>
          <w:p>
            <w:r>
              <w:t>**精度风险**</w:t>
            </w:r>
          </w:p>
        </w:tc>
        <w:tc>
          <w:tcPr>
            <w:tcW w:type="dxa" w:w="4320"/>
          </w:tcPr>
          <w:p>
            <w:r>
              <w:t>越南盾（VND）、印尼盾（IDR）等小币种汇率值极小（如 0.00004），D365 标准汇率字段精度有限，容易产生换算误差。</w:t>
            </w:r>
          </w:p>
        </w:tc>
      </w:tr>
      <w:tr>
        <w:tc>
          <w:tcPr>
            <w:tcW w:type="dxa" w:w="4320"/>
          </w:tcPr>
          <w:p>
            <w:r>
              <w:t>**缺少审计字段**</w:t>
            </w:r>
          </w:p>
        </w:tc>
        <w:tc>
          <w:tcPr>
            <w:tcW w:type="dxa" w:w="4320"/>
          </w:tcPr>
          <w:p>
            <w:r>
              <w:t>D365 标准汇率缺少生效日期、启用状态、来源备注等字段，无法满足按年度切换和审计追溯需求。</w:t>
            </w:r>
          </w:p>
        </w:tc>
      </w:tr>
      <w:tr>
        <w:tc>
          <w:tcPr>
            <w:tcW w:type="dxa" w:w="4320"/>
          </w:tcPr>
          <w:p>
            <w:r>
              <w:t>**影响范围过大**</w:t>
            </w:r>
          </w:p>
        </w:tc>
        <w:tc>
          <w:tcPr>
            <w:tcW w:type="dxa" w:w="4320"/>
          </w:tcPr>
          <w:p>
            <w:r>
              <w:t>D365 汇率是全局配置，修改会影响报价、订单、发票等所有财务模块，风险不可控。</w:t>
            </w:r>
          </w:p>
        </w:tc>
      </w:tr>
      <w:tr>
        <w:tc>
          <w:tcPr>
            <w:tcW w:type="dxa" w:w="4320"/>
          </w:tcPr>
          <w:p>
            <w:r>
              <w:t>**与现有实现冲突**</w:t>
            </w:r>
          </w:p>
        </w:tc>
        <w:tc>
          <w:tcPr>
            <w:tcW w:type="dxa" w:w="4320"/>
          </w:tcPr>
          <w:p>
            <w:r>
              <w:t>当前代码、测试用例、UAT 验证均基于独立汇率配置表实现，切换需要大量返工。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Q3：当前方案是如何设计的？</w:t>
      </w:r>
    </w:p>
    <w:p>
      <w:r>
        <w:t>项目采用独立的 D365 自定义实体：</w:t>
      </w:r>
      <w:r>
        <w:rPr>
          <w:b/>
        </w:rPr>
        <w:t>`mcs_coface_exchange_rate`</w:t>
      </w:r>
      <w:r>
        <w:t>（Coface 汇率配置表），字段设计如下：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`mcs_currencycode`</w:t>
            </w:r>
          </w:p>
        </w:tc>
        <w:tc>
          <w:tcPr>
            <w:tcW w:type="dxa" w:w="4320"/>
          </w:tcPr>
          <w:p>
            <w:r>
              <w:t>ISO 货币代码，如 EUR、CNY、USD</w:t>
            </w:r>
          </w:p>
        </w:tc>
      </w:tr>
      <w:tr>
        <w:tc>
          <w:tcPr>
            <w:tcW w:type="dxa" w:w="4320"/>
          </w:tcPr>
          <w:p>
            <w:r>
              <w:t>`mcs_currencyname`</w:t>
            </w:r>
          </w:p>
        </w:tc>
        <w:tc>
          <w:tcPr>
            <w:tcW w:type="dxa" w:w="4320"/>
          </w:tcPr>
          <w:p>
            <w:r>
              <w:t>货币名称</w:t>
            </w:r>
          </w:p>
        </w:tc>
      </w:tr>
      <w:tr>
        <w:tc>
          <w:tcPr>
            <w:tcW w:type="dxa" w:w="4320"/>
          </w:tcPr>
          <w:p>
            <w:r>
              <w:t>`mcs_rate_to_usd`</w:t>
            </w:r>
          </w:p>
        </w:tc>
        <w:tc>
          <w:tcPr>
            <w:tcW w:type="dxa" w:w="4320"/>
          </w:tcPr>
          <w:p>
            <w:r>
              <w:t>1 单位本地货币可兑换的 USD 金额</w:t>
            </w:r>
          </w:p>
        </w:tc>
      </w:tr>
      <w:tr>
        <w:tc>
          <w:tcPr>
            <w:tcW w:type="dxa" w:w="4320"/>
          </w:tcPr>
          <w:p>
            <w:r>
              <w:t>`mcs_effectivedate`</w:t>
            </w:r>
          </w:p>
        </w:tc>
        <w:tc>
          <w:tcPr>
            <w:tcW w:type="dxa" w:w="4320"/>
          </w:tcPr>
          <w:p>
            <w:r>
              <w:t>生效日期，支持按年度维护多套汇率</w:t>
            </w:r>
          </w:p>
        </w:tc>
      </w:tr>
      <w:tr>
        <w:tc>
          <w:tcPr>
            <w:tcW w:type="dxa" w:w="4320"/>
          </w:tcPr>
          <w:p>
            <w:r>
              <w:t>`mcs_isactive`</w:t>
            </w:r>
          </w:p>
        </w:tc>
        <w:tc>
          <w:tcPr>
            <w:tcW w:type="dxa" w:w="4320"/>
          </w:tcPr>
          <w:p>
            <w:r>
              <w:t>是否启用，仅启用记录参与换算</w:t>
            </w:r>
          </w:p>
        </w:tc>
      </w:tr>
      <w:tr>
        <w:tc>
          <w:tcPr>
            <w:tcW w:type="dxa" w:w="4320"/>
          </w:tcPr>
          <w:p>
            <w:r>
              <w:t>`mcs_remark`</w:t>
            </w:r>
          </w:p>
        </w:tc>
        <w:tc>
          <w:tcPr>
            <w:tcW w:type="dxa" w:w="4320"/>
          </w:tcPr>
          <w:p>
            <w:r>
              <w:t>汇率来源或更新说明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Q4：当前方案的优势是什么？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优势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**符合业务要求**</w:t>
            </w:r>
          </w:p>
        </w:tc>
        <w:tc>
          <w:tcPr>
            <w:tcW w:type="dxa" w:w="4320"/>
          </w:tcPr>
          <w:p>
            <w:r>
              <w:t>与项目文档中“采用 2026 Budget 年度固定汇率、统一转 USD”的要求完全一致。</w:t>
            </w:r>
          </w:p>
        </w:tc>
      </w:tr>
      <w:tr>
        <w:tc>
          <w:tcPr>
            <w:tcW w:type="dxa" w:w="4320"/>
          </w:tcPr>
          <w:p>
            <w:r>
              <w:t>**与 D365 核心配置隔离**</w:t>
            </w:r>
          </w:p>
        </w:tc>
        <w:tc>
          <w:tcPr>
            <w:tcW w:type="dxa" w:w="4320"/>
          </w:tcPr>
          <w:p>
            <w:r>
              <w:t>不影响报价、订单、发票等其他业务模块的汇率设置。</w:t>
            </w:r>
          </w:p>
        </w:tc>
      </w:tr>
      <w:tr>
        <w:tc>
          <w:tcPr>
            <w:tcW w:type="dxa" w:w="4320"/>
          </w:tcPr>
          <w:p>
            <w:r>
              <w:t>**灵活可维护**</w:t>
            </w:r>
          </w:p>
        </w:tc>
        <w:tc>
          <w:tcPr>
            <w:tcW w:type="dxa" w:w="4320"/>
          </w:tcPr>
          <w:p>
            <w:r>
              <w:t>每年只需更新一张配置表即可切换新年度预算汇率，无需修改代码。</w:t>
            </w:r>
          </w:p>
        </w:tc>
      </w:tr>
      <w:tr>
        <w:tc>
          <w:tcPr>
            <w:tcW w:type="dxa" w:w="4320"/>
          </w:tcPr>
          <w:p>
            <w:r>
              <w:t>**支持审计追溯**</w:t>
            </w:r>
          </w:p>
        </w:tc>
        <w:tc>
          <w:tcPr>
            <w:tcW w:type="dxa" w:w="4320"/>
          </w:tcPr>
          <w:p>
            <w:r>
              <w:t>通过生效日期、启用状态、备注字段，可追溯每套汇率的来源和有效期。</w:t>
            </w:r>
          </w:p>
        </w:tc>
      </w:tr>
      <w:tr>
        <w:tc>
          <w:tcPr>
            <w:tcW w:type="dxa" w:w="4320"/>
          </w:tcPr>
          <w:p>
            <w:r>
              <w:t>**容错友好**</w:t>
            </w:r>
          </w:p>
        </w:tc>
        <w:tc>
          <w:tcPr>
            <w:tcW w:type="dxa" w:w="4320"/>
          </w:tcPr>
          <w:p>
            <w:r>
              <w:t>某货币未配置汇率时，系统保持原值并记录 Trace 日志，不会中断数据集成。</w:t>
            </w:r>
          </w:p>
        </w:tc>
      </w:tr>
      <w:tr>
        <w:tc>
          <w:tcPr>
            <w:tcW w:type="dxa" w:w="4320"/>
          </w:tcPr>
          <w:p>
            <w:r>
              <w:t>**精度可控**</w:t>
            </w:r>
          </w:p>
        </w:tc>
        <w:tc>
          <w:tcPr>
            <w:tcW w:type="dxa" w:w="4320"/>
          </w:tcPr>
          <w:p>
            <w:r>
              <w:t>独立字段可设置合适的 decimal 精度，避免小币种换算失真。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Q5：2026 Budget 汇率表包含哪些货币？</w:t>
      </w:r>
    </w:p>
    <w:p>
      <w:r>
        <w:t>当前项目主要覆盖 16 种常见货币，示例如下：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货币</w:t>
            </w:r>
          </w:p>
        </w:tc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1 LC → USD</w:t>
            </w:r>
          </w:p>
        </w:tc>
      </w:tr>
      <w:tr>
        <w:tc>
          <w:tcPr>
            <w:tcW w:type="dxa" w:w="2880"/>
          </w:tcPr>
          <w:p>
            <w:r>
              <w:t>Euro</w:t>
            </w:r>
          </w:p>
        </w:tc>
        <w:tc>
          <w:tcPr>
            <w:tcW w:type="dxa" w:w="2880"/>
          </w:tcPr>
          <w:p>
            <w:r>
              <w:t>EUR</w:t>
            </w:r>
          </w:p>
        </w:tc>
        <w:tc>
          <w:tcPr>
            <w:tcW w:type="dxa" w:w="2880"/>
          </w:tcPr>
          <w:p>
            <w:r>
              <w:t>1.21</w:t>
            </w:r>
          </w:p>
        </w:tc>
      </w:tr>
      <w:tr>
        <w:tc>
          <w:tcPr>
            <w:tcW w:type="dxa" w:w="2880"/>
          </w:tcPr>
          <w:p>
            <w:r>
              <w:t>US Dollar</w:t>
            </w:r>
          </w:p>
        </w:tc>
        <w:tc>
          <w:tcPr>
            <w:tcW w:type="dxa" w:w="2880"/>
          </w:tcPr>
          <w:p>
            <w:r>
              <w:t>USD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Chinese Yuan</w:t>
            </w:r>
          </w:p>
        </w:tc>
        <w:tc>
          <w:tcPr>
            <w:tcW w:type="dxa" w:w="2880"/>
          </w:tcPr>
          <w:p>
            <w:r>
              <w:t>CNY</w:t>
            </w:r>
          </w:p>
        </w:tc>
        <w:tc>
          <w:tcPr>
            <w:tcW w:type="dxa" w:w="2880"/>
          </w:tcPr>
          <w:p>
            <w:r>
              <w:t>0.1463</w:t>
            </w:r>
          </w:p>
        </w:tc>
      </w:tr>
      <w:tr>
        <w:tc>
          <w:tcPr>
            <w:tcW w:type="dxa" w:w="2880"/>
          </w:tcPr>
          <w:p>
            <w:r>
              <w:t>Japanese Yen</w:t>
            </w:r>
          </w:p>
        </w:tc>
        <w:tc>
          <w:tcPr>
            <w:tcW w:type="dxa" w:w="2880"/>
          </w:tcPr>
          <w:p>
            <w:r>
              <w:t>JPY</w:t>
            </w:r>
          </w:p>
        </w:tc>
        <w:tc>
          <w:tcPr>
            <w:tcW w:type="dxa" w:w="2880"/>
          </w:tcPr>
          <w:p>
            <w:r>
              <w:t>0.00725</w:t>
            </w:r>
          </w:p>
        </w:tc>
      </w:tr>
      <w:tr>
        <w:tc>
          <w:tcPr>
            <w:tcW w:type="dxa" w:w="2880"/>
          </w:tcPr>
          <w:p>
            <w:r>
              <w:t>Korean Won</w:t>
            </w:r>
          </w:p>
        </w:tc>
        <w:tc>
          <w:tcPr>
            <w:tcW w:type="dxa" w:w="2880"/>
          </w:tcPr>
          <w:p>
            <w:r>
              <w:t>KRW</w:t>
            </w:r>
          </w:p>
        </w:tc>
        <w:tc>
          <w:tcPr>
            <w:tcW w:type="dxa" w:w="2880"/>
          </w:tcPr>
          <w:p>
            <w:r>
              <w:t>0.000769</w:t>
            </w:r>
          </w:p>
        </w:tc>
      </w:tr>
      <w:tr>
        <w:tc>
          <w:tcPr>
            <w:tcW w:type="dxa" w:w="2880"/>
          </w:tcPr>
          <w:p>
            <w:r>
              <w:t>Indian Rupee</w:t>
            </w:r>
          </w:p>
        </w:tc>
        <w:tc>
          <w:tcPr>
            <w:tcW w:type="dxa" w:w="2880"/>
          </w:tcPr>
          <w:p>
            <w:r>
              <w:t>INR</w:t>
            </w:r>
          </w:p>
        </w:tc>
        <w:tc>
          <w:tcPr>
            <w:tcW w:type="dxa" w:w="2880"/>
          </w:tcPr>
          <w:p>
            <w:r>
              <w:t>0.0122</w:t>
            </w:r>
          </w:p>
        </w:tc>
      </w:tr>
      <w:tr>
        <w:tc>
          <w:tcPr>
            <w:tcW w:type="dxa" w:w="2880"/>
          </w:tcPr>
          <w:p>
            <w:r>
              <w:t>Polish Zloty</w:t>
            </w:r>
          </w:p>
        </w:tc>
        <w:tc>
          <w:tcPr>
            <w:tcW w:type="dxa" w:w="2880"/>
          </w:tcPr>
          <w:p>
            <w:r>
              <w:t>PLN</w:t>
            </w:r>
          </w:p>
        </w:tc>
        <w:tc>
          <w:tcPr>
            <w:tcW w:type="dxa" w:w="2880"/>
          </w:tcPr>
          <w:p>
            <w:r>
              <w:t>0.26</w:t>
            </w:r>
          </w:p>
        </w:tc>
      </w:tr>
      <w:tr>
        <w:tc>
          <w:tcPr>
            <w:tcW w:type="dxa" w:w="2880"/>
          </w:tcPr>
          <w:p>
            <w:r>
              <w:t>Vietnamese Dong</w:t>
            </w:r>
          </w:p>
        </w:tc>
        <w:tc>
          <w:tcPr>
            <w:tcW w:type="dxa" w:w="2880"/>
          </w:tcPr>
          <w:p>
            <w:r>
              <w:t>VND</w:t>
            </w:r>
          </w:p>
        </w:tc>
        <w:tc>
          <w:tcPr>
            <w:tcW w:type="dxa" w:w="2880"/>
          </w:tcPr>
          <w:p>
            <w:r>
              <w:t>0.0000402</w:t>
            </w:r>
          </w:p>
        </w:tc>
      </w:tr>
    </w:tbl>
    <w:p>
      <w:r>
        <w:rPr>
          <w:i/>
          <w:color w:val="404040"/>
        </w:rPr>
        <w:t>完整列表见：`Documents/BusinessAnalysis/coface/30其他/海外客户评分卡项目和科法斯接口字段取数反馈表20260408-货币代码与汇率.md`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Q6：如果未来客户坚持使用 D365 自带汇率，是否可行？</w:t>
      </w:r>
    </w:p>
    <w:p>
      <w:r>
        <w:t>技术上可以调整，但需要评估以下成本和风险：</w:t>
      </w:r>
    </w:p>
    <w:p>
      <w:pPr>
        <w:pStyle w:val="ListNumber"/>
      </w:pPr>
      <w:r/>
      <w:r>
        <w:rPr>
          <w:b/>
        </w:rPr>
        <w:t>需求变更确认</w:t>
      </w:r>
      <w:r>
        <w:t>：需要客户正式确认放弃“年度预算汇率”方案，改用 D365 实时/交易汇率。</w:t>
      </w:r>
    </w:p>
    <w:p>
      <w:pPr>
        <w:pStyle w:val="ListNumber"/>
      </w:pPr>
      <w:r/>
      <w:r>
        <w:rPr>
          <w:b/>
        </w:rPr>
        <w:t>代码改造</w:t>
      </w:r>
      <w:r>
        <w:t>：需重写 `CofaceExchangeRateHelper`，并调整 `Urba360Parser`、`FullReportParser` 的换算逻辑。</w:t>
      </w:r>
    </w:p>
    <w:p>
      <w:pPr>
        <w:pStyle w:val="ListNumber"/>
      </w:pPr>
      <w:r/>
      <w:r>
        <w:rPr>
          <w:b/>
        </w:rPr>
        <w:t>测试回归</w:t>
      </w:r>
      <w:r>
        <w:t>：需重新执行 TC-CFPI-016、TC-CFPI-017 等汇率相关测试用例。</w:t>
      </w:r>
    </w:p>
    <w:p>
      <w:pPr>
        <w:pStyle w:val="ListNumber"/>
      </w:pPr>
      <w:r/>
      <w:r>
        <w:rPr>
          <w:b/>
        </w:rPr>
        <w:t>UAT 重新验证</w:t>
      </w:r>
      <w:r>
        <w:t>：已完成的 UAT 验证需要重新来过。</w:t>
      </w:r>
    </w:p>
    <w:p>
      <w:pPr>
        <w:pStyle w:val="ListNumber"/>
      </w:pPr>
      <w:r/>
      <w:r>
        <w:rPr>
          <w:b/>
        </w:rPr>
        <w:t>系统影响评估</w:t>
      </w:r>
      <w:r>
        <w:t>：需确认 D365 Base Currency、已有交易数据、报表等是否会受到影响。</w:t>
      </w:r>
    </w:p>
    <w:p>
      <w:r>
        <w:t>建议在充分评估后，以正式变更请求（Change Request）方式处理。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三、相关文档依据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关键内容</w:t>
            </w:r>
          </w:p>
        </w:tc>
      </w:tr>
      <w:tr>
        <w:tc>
          <w:tcPr>
            <w:tcW w:type="dxa" w:w="2880"/>
          </w:tcPr>
          <w:p>
            <w:r>
              <w:t>货币代码与汇率反馈表</w:t>
            </w:r>
          </w:p>
        </w:tc>
        <w:tc>
          <w:tcPr>
            <w:tcW w:type="dxa" w:w="2880"/>
          </w:tcPr>
          <w:p>
            <w:r>
              <w:t>`Documents/BusinessAnalysis/coface/30其他/海外客户评分卡项目和科法斯接口字段取数反馈表20260408-货币代码与汇率.md`</w:t>
            </w:r>
          </w:p>
        </w:tc>
        <w:tc>
          <w:tcPr>
            <w:tcW w:type="dxa" w:w="2880"/>
          </w:tcPr>
          <w:p>
            <w:r>
              <w:t>明确建议采用年度固定汇率，不建议实时汇率</w:t>
            </w:r>
          </w:p>
        </w:tc>
      </w:tr>
      <w:tr>
        <w:tc>
          <w:tcPr>
            <w:tcW w:type="dxa" w:w="2880"/>
          </w:tcPr>
          <w:p>
            <w:r>
              <w:t>开发计划</w:t>
            </w:r>
          </w:p>
        </w:tc>
        <w:tc>
          <w:tcPr>
            <w:tcW w:type="dxa" w:w="2880"/>
          </w:tcPr>
          <w:p>
            <w:r>
              <w:t>`Documents/Planning/开发计划.md`</w:t>
            </w:r>
          </w:p>
        </w:tc>
        <w:tc>
          <w:tcPr>
            <w:tcW w:type="dxa" w:w="2880"/>
          </w:tcPr>
          <w:p>
            <w:r>
              <w:t>明确“货币转换：2026 Budget汇率表（16种货币统一转USD）”</w:t>
            </w:r>
          </w:p>
        </w:tc>
      </w:tr>
      <w:tr>
        <w:tc>
          <w:tcPr>
            <w:tcW w:type="dxa" w:w="2880"/>
          </w:tcPr>
          <w:p>
            <w:r>
              <w:t>汇率帮助类</w:t>
            </w:r>
          </w:p>
        </w:tc>
        <w:tc>
          <w:tcPr>
            <w:tcW w:type="dxa" w:w="2880"/>
          </w:tcPr>
          <w:p>
            <w:r>
              <w:t>`Code/Customizations/Plugins/CofaceIntegration/CofaceExchangeRateHelper.cs`</w:t>
            </w:r>
          </w:p>
        </w:tc>
        <w:tc>
          <w:tcPr>
            <w:tcW w:type="dxa" w:w="2880"/>
          </w:tcPr>
          <w:p>
            <w:r>
              <w:t>从独立配置表读取汇率</w:t>
            </w:r>
          </w:p>
        </w:tc>
      </w:tr>
      <w:tr>
        <w:tc>
          <w:tcPr>
            <w:tcW w:type="dxa" w:w="2880"/>
          </w:tcPr>
          <w:p>
            <w:r>
              <w:t>URBA360 转换</w:t>
            </w:r>
          </w:p>
        </w:tc>
        <w:tc>
          <w:tcPr>
            <w:tcW w:type="dxa" w:w="2880"/>
          </w:tcPr>
          <w:p>
            <w:r>
              <w:t>`Code/Customizations/Plugins/CofaceIntegration/Parser/Urba360Parser.cs`</w:t>
            </w:r>
          </w:p>
        </w:tc>
        <w:tc>
          <w:tcPr>
            <w:tcW w:type="dxa" w:w="2880"/>
          </w:tcPr>
          <w:p>
            <w:r>
              <w:t>统一转 USD</w:t>
            </w:r>
          </w:p>
        </w:tc>
      </w:tr>
      <w:tr>
        <w:tc>
          <w:tcPr>
            <w:tcW w:type="dxa" w:w="2880"/>
          </w:tcPr>
          <w:p>
            <w:r>
              <w:t>FullReport 转换</w:t>
            </w:r>
          </w:p>
        </w:tc>
        <w:tc>
          <w:tcPr>
            <w:tcW w:type="dxa" w:w="2880"/>
          </w:tcPr>
          <w:p>
            <w:r>
              <w:t>`Code/Customizations/Plugins/CofaceIntegration/Parser/FullReportParser.cs`</w:t>
            </w:r>
          </w:p>
        </w:tc>
        <w:tc>
          <w:tcPr>
            <w:tcW w:type="dxa" w:w="2880"/>
          </w:tcPr>
          <w:p>
            <w:r>
              <w:t>注册资本等字段按配置汇率转换</w:t>
            </w:r>
          </w:p>
        </w:tc>
      </w:tr>
      <w:tr>
        <w:tc>
          <w:tcPr>
            <w:tcW w:type="dxa" w:w="2880"/>
          </w:tcPr>
          <w:p>
            <w:r>
              <w:t>实体配置示例</w:t>
            </w:r>
          </w:p>
        </w:tc>
        <w:tc>
          <w:tcPr>
            <w:tcW w:type="dxa" w:w="2880"/>
          </w:tcPr>
          <w:p>
            <w:r>
              <w:t>`Code/Tools/MetadataTool/examples/mcs_coface_exchange_rate.json`</w:t>
            </w:r>
          </w:p>
        </w:tc>
        <w:tc>
          <w:tcPr>
            <w:tcW w:type="dxa" w:w="2880"/>
          </w:tcPr>
          <w:p>
            <w:r>
              <w:t>配置表字段定义</w:t>
            </w:r>
          </w:p>
        </w:tc>
      </w:tr>
      <w:tr>
        <w:tc>
          <w:tcPr>
            <w:tcW w:type="dxa" w:w="2880"/>
          </w:tcPr>
          <w:p>
            <w:r>
              <w:t>测试用例</w:t>
            </w:r>
          </w:p>
        </w:tc>
        <w:tc>
          <w:tcPr>
            <w:tcW w:type="dxa" w:w="2880"/>
          </w:tcPr>
          <w:p>
            <w:r>
              <w:t>`Documents/Tests/测试用例总集.md`</w:t>
            </w:r>
          </w:p>
        </w:tc>
        <w:tc>
          <w:tcPr>
            <w:tcW w:type="dxa" w:w="2880"/>
          </w:tcPr>
          <w:p>
            <w:r>
              <w:t>TC-CFPI-016、TC-CFPI-017 验证汇率转换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1"/>
      </w:pPr>
      <w:r>
        <w:t>四、结论</w:t>
      </w:r>
    </w:p>
    <w:p>
      <w:r>
        <w:t>基于项目文档要求、数据准确性、系统影响面和维护成本综合考虑，</w:t>
      </w:r>
      <w:r>
        <w:rPr>
          <w:b/>
        </w:rPr>
        <w:t>Coface 数据集成采用独立的 `mcs_coface_exchange_rate` 配置表维护 2026 Budget 年度固定汇率，而不是使用 D365 自带汇率</w:t>
      </w:r>
      <w:r>
        <w:t>。</w:t>
      </w:r>
    </w:p>
    <w:p>
      <w:r>
        <w:t>该方案既满足了客户原始需求，又与 D365 核心财务配置保持隔离，是当前项目背景下更稳妥、可维护性更高的选择。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