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784AE">
      <w:pPr>
        <w:jc w:val="center"/>
        <w:rPr>
          <w:rFonts w:hint="default" w:ascii="Times New Roman" w:hAnsi="Times New Roman" w:eastAsia="黑体" w:cs="Times New Roman"/>
          <w:sz w:val="44"/>
          <w:szCs w:val="44"/>
        </w:rPr>
      </w:pPr>
      <w:r>
        <w:rPr>
          <w:rFonts w:hint="default" w:ascii="Times New Roman" w:hAnsi="Times New Roman" w:eastAsia="黑体" w:cs="Times New Roman"/>
          <w:sz w:val="44"/>
          <w:szCs w:val="44"/>
        </w:rPr>
        <w:t xml:space="preserve">  Laboratory report of Nanjing University of Information Science and Technology</w:t>
      </w:r>
    </w:p>
    <w:p w14:paraId="2749EC24">
      <w:pPr>
        <w:jc w:val="center"/>
        <w:rPr>
          <w:rFonts w:hint="default" w:ascii="Times New Roman" w:hAnsi="Times New Roman" w:eastAsia="黑体" w:cs="Times New Roman"/>
          <w:sz w:val="44"/>
          <w:szCs w:val="44"/>
        </w:rPr>
      </w:pPr>
    </w:p>
    <w:p w14:paraId="00178264">
      <w:pPr>
        <w:jc w:val="center"/>
        <w:rPr>
          <w:rFonts w:hint="default" w:ascii="Times New Roman" w:hAnsi="Times New Roman" w:cs="Times New Roman"/>
          <w:szCs w:val="21"/>
          <w:u w:val="single"/>
        </w:rPr>
      </w:pPr>
      <w:r>
        <w:rPr>
          <w:rFonts w:hint="default" w:ascii="Times New Roman" w:hAnsi="Times New Roman" w:cs="Times New Roman"/>
          <w:szCs w:val="21"/>
        </w:rPr>
        <w:t xml:space="preserve">Experiment Title </w:t>
      </w:r>
      <w:r>
        <w:rPr>
          <w:rFonts w:hint="default" w:ascii="Times New Roman" w:hAnsi="Times New Roman" w:cs="Times New Roman"/>
          <w:szCs w:val="21"/>
          <w:u w:val="single"/>
        </w:rPr>
        <w:t xml:space="preserve"> </w:t>
      </w:r>
      <w:r>
        <w:rPr>
          <w:rFonts w:hint="eastAsia" w:cs="Times New Roman"/>
          <w:szCs w:val="21"/>
          <w:u w:val="single"/>
          <w:lang w:val="en-US" w:eastAsia="zh-CN"/>
        </w:rPr>
        <w:t>Cloud Computing</w:t>
      </w:r>
    </w:p>
    <w:p w14:paraId="59F4EE41">
      <w:pPr>
        <w:jc w:val="center"/>
        <w:rPr>
          <w:rFonts w:hint="default" w:ascii="Times New Roman" w:hAnsi="Times New Roman" w:cs="Times New Roman"/>
          <w:szCs w:val="21"/>
        </w:rPr>
      </w:pPr>
      <w:r>
        <w:rPr>
          <w:rFonts w:hint="default" w:ascii="Times New Roman" w:hAnsi="Times New Roman" w:cs="Times New Roman"/>
          <w:szCs w:val="21"/>
        </w:rPr>
        <w:t>Data</w:t>
      </w:r>
      <w:r>
        <w:rPr>
          <w:rFonts w:hint="default" w:ascii="Times New Roman" w:hAnsi="Times New Roman" w:cs="Times New Roman"/>
          <w:szCs w:val="21"/>
          <w:u w:val="single"/>
        </w:rPr>
        <w:t xml:space="preserve">     </w:t>
      </w:r>
      <w:r>
        <w:rPr>
          <w:rFonts w:hint="eastAsia" w:cs="Times New Roman"/>
          <w:szCs w:val="21"/>
          <w:u w:val="single"/>
          <w:lang w:val="en-US" w:eastAsia="zh-CN"/>
        </w:rPr>
        <w:t>2026/4/30</w:t>
      </w:r>
      <w:bookmarkStart w:id="0" w:name="_GoBack"/>
      <w:bookmarkEnd w:id="0"/>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Class </w:t>
      </w:r>
      <w:r>
        <w:rPr>
          <w:rFonts w:hint="default" w:ascii="Times New Roman" w:hAnsi="Times New Roman" w:cs="Times New Roman"/>
          <w:szCs w:val="21"/>
          <w:u w:val="single"/>
        </w:rPr>
        <w:t xml:space="preserve">   </w:t>
      </w:r>
      <w:r>
        <w:rPr>
          <w:rFonts w:hint="eastAsia" w:cs="Times New Roman"/>
          <w:szCs w:val="21"/>
          <w:u w:val="single"/>
          <w:lang w:val="en-US" w:eastAsia="zh-CN"/>
        </w:rPr>
        <w:t>AI 1</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Name</w:t>
      </w:r>
      <w:r>
        <w:rPr>
          <w:rFonts w:hint="default" w:ascii="Times New Roman" w:hAnsi="Times New Roman" w:cs="Times New Roman"/>
          <w:szCs w:val="21"/>
          <w:u w:val="single"/>
        </w:rPr>
        <w:t xml:space="preserve">      </w:t>
      </w:r>
      <w:r>
        <w:rPr>
          <w:rFonts w:hint="eastAsia" w:cs="Times New Roman"/>
          <w:szCs w:val="21"/>
          <w:u w:val="single"/>
          <w:lang w:val="en-US" w:eastAsia="zh-CN"/>
        </w:rPr>
        <w:t>Weijie Xu</w:t>
      </w:r>
      <w:r>
        <w:rPr>
          <w:rFonts w:hint="default" w:ascii="Times New Roman" w:hAnsi="Times New Roman" w:cs="Times New Roman"/>
          <w:szCs w:val="21"/>
          <w:u w:val="single"/>
        </w:rPr>
        <w:t xml:space="preserve">       </w:t>
      </w:r>
      <w:r>
        <w:rPr>
          <w:rFonts w:hint="default" w:ascii="Times New Roman" w:hAnsi="Times New Roman" w:cs="Times New Roman"/>
          <w:szCs w:val="21"/>
        </w:rPr>
        <w:t>ID</w:t>
      </w:r>
      <w:r>
        <w:rPr>
          <w:rFonts w:hint="default" w:ascii="Times New Roman" w:hAnsi="Times New Roman" w:cs="Times New Roman"/>
          <w:szCs w:val="21"/>
          <w:u w:val="single"/>
        </w:rPr>
        <w:t xml:space="preserve">     </w:t>
      </w:r>
      <w:r>
        <w:rPr>
          <w:rFonts w:hint="eastAsia" w:cs="Times New Roman"/>
          <w:szCs w:val="21"/>
          <w:u w:val="single"/>
          <w:lang w:val="en-US" w:eastAsia="zh-CN"/>
        </w:rPr>
        <w:t>202383910029</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p>
    <w:p w14:paraId="246510E7">
      <w:pPr>
        <w:rPr>
          <w:rFonts w:hint="default" w:ascii="Times New Roman" w:hAnsi="Times New Roman" w:cs="Times New Roman"/>
        </w:rPr>
      </w:pPr>
      <w:r>
        <w:rPr>
          <w:rFonts w:hint="default" w:ascii="Times New Roman" w:hAnsi="Times New Roman" w:cs="Times New Roman"/>
        </w:rPr>
        <w:t xml:space="preserve"> </w:t>
      </w:r>
    </w:p>
    <w:p w14:paraId="544626DD">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一、Experimental purpose</w:t>
      </w:r>
    </w:p>
    <w:p w14:paraId="4BFD61AD">
      <w:pPr>
        <w:pStyle w:val="19"/>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To understand and practice controlled traffic shifting, this experiment enables you to learn how to gradually shift traffic between different versions of a microservice in a Kubernetes service mesh using Istio.</w:t>
      </w:r>
    </w:p>
    <w:p w14:paraId="7C11E263">
      <w:pPr>
        <w:pStyle w:val="19"/>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To master dynamic request routing techniques, you will practice applying Istio routing rules to direct incoming service requests to different versions of a microservice based on criteria such as version labels or custom request headers.</w:t>
      </w:r>
    </w:p>
    <w:p w14:paraId="32003333">
      <w:pPr>
        <w:pStyle w:val="19"/>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To evaluate system resiliency via fault injection, this part of the lab teaches you to intentionally inject faults like delays and aborts into service calls at the application layer. The purpose is to assess the robustness of microservices and test how the application logic and Istio’s failure recovery mechanisms handle situations where upstream services are slow or respond with errors.</w:t>
      </w:r>
    </w:p>
    <w:p w14:paraId="3A07B8F8">
      <w:pPr>
        <w:pStyle w:val="19"/>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To implement and assess circuit breaking for resilience, you will configure circuit breaker settings using Istio destination rules to limit connection pools and detect outlier failures. The goal is to observe how circuit breaking prevents cascading failures by quickly failing requests to unhealthy service instances.</w:t>
      </w:r>
    </w:p>
    <w:p w14:paraId="2E30B4EA">
      <w:pPr>
        <w:pStyle w:val="19"/>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To gain hands-on experience with Istio’s traffic management capabilities, you will work on implementing traffic shifting strategies in a live environment. This involves directing specific subsets of requests to new service versions while monitoring performance and behavior</w:t>
      </w:r>
      <w:r>
        <w:rPr>
          <w:rFonts w:hint="eastAsia" w:ascii="Times New Roman" w:hAnsi="Times New Roman" w:cs="Times New Roman"/>
          <w:sz w:val="24"/>
          <w:szCs w:val="24"/>
          <w:lang w:val="en-US" w:eastAsia="zh-CN"/>
        </w:rPr>
        <w:t>.</w:t>
      </w:r>
    </w:p>
    <w:p w14:paraId="32FCB86C">
      <w:pPr>
        <w:pStyle w:val="19"/>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test and fine-tune Istio’s request routing capabilities, you will set up routing configurations to route traffic based on various criteria such as geographic location or request headers. This task demonstrates the flexibility of Istio's routing features, enabling the creation of dynamic, policy-driven routing solutions for complex service architectures.</w:t>
      </w:r>
    </w:p>
    <w:p w14:paraId="0A8C1323">
      <w:pPr>
        <w:pStyle w:val="19"/>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assess the overall resilience of your system, you will integrate fault injection and circuit breaking into your traffic management strategies. This will allow you to observe the system's response to failures and ensure that Istio’s traffic management tools can handle real-world disruptions.</w:t>
      </w:r>
    </w:p>
    <w:p w14:paraId="04BF4CAF">
      <w:pPr>
        <w:pStyle w:val="19"/>
        <w:numPr>
          <w:ilvl w:val="0"/>
          <w:numId w:val="2"/>
        </w:numPr>
        <w:shd w:val="clear" w:color="auto" w:fill="FFFFFF"/>
        <w:spacing w:before="0" w:beforeAutospacing="0" w:after="0" w:afterAutospacing="0"/>
        <w:rPr>
          <w:rFonts w:hint="default" w:ascii="Times New Roman" w:hAnsi="Times New Roman" w:eastAsia="黑体" w:cs="Times New Roman"/>
          <w:b/>
          <w:sz w:val="28"/>
          <w:szCs w:val="28"/>
        </w:rPr>
      </w:pPr>
      <w:r>
        <w:rPr>
          <w:rFonts w:hint="default" w:ascii="Times New Roman" w:hAnsi="Times New Roman" w:eastAsia="黑体" w:cs="Times New Roman"/>
          <w:b/>
          <w:sz w:val="28"/>
          <w:szCs w:val="28"/>
        </w:rPr>
        <w:t>Experiment</w:t>
      </w:r>
      <w:r>
        <w:rPr>
          <w:rFonts w:hint="eastAsia" w:ascii="Times New Roman" w:hAnsi="Times New Roman" w:eastAsia="黑体" w:cs="Times New Roman"/>
          <w:b/>
          <w:sz w:val="28"/>
          <w:szCs w:val="28"/>
          <w:lang w:val="en-US" w:eastAsia="zh-CN"/>
        </w:rPr>
        <w:t>al</w:t>
      </w:r>
      <w:r>
        <w:rPr>
          <w:rFonts w:hint="default" w:ascii="Times New Roman" w:hAnsi="Times New Roman" w:eastAsia="黑体" w:cs="Times New Roman"/>
          <w:b/>
          <w:sz w:val="28"/>
          <w:szCs w:val="28"/>
        </w:rPr>
        <w:t xml:space="preserve"> Contents</w:t>
      </w:r>
    </w:p>
    <w:p w14:paraId="53080BB9">
      <w:pPr>
        <w:pStyle w:val="19"/>
        <w:widowControl/>
        <w:numPr>
          <w:ilvl w:val="0"/>
          <w:numId w:val="0"/>
        </w:numPr>
        <w:shd w:val="clear" w:color="auto" w:fill="FFFFFF"/>
        <w:spacing w:before="0" w:beforeAutospacing="0" w:after="0" w:afterAutospacing="0"/>
        <w:ind w:firstLine="420" w:firstLineChars="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contents of this experiment involve a series of tasks aimed at exploring Istio’s traffic management capabilities in a microservices architecture. These tasks are designed to provide practical experience in traffic shifting, request routing, fault injection, and circuit breaking, all critical components in managing the traffic and resilience of distributed systems. The experiment will be conducted step-by-step, with each step requiring the configuration and testing of different Istio features to control, monitor, and troubleshoot service-to-service communication.</w:t>
      </w:r>
    </w:p>
    <w:p w14:paraId="36740535">
      <w:pPr>
        <w:pStyle w:val="19"/>
        <w:numPr>
          <w:ilvl w:val="0"/>
          <w:numId w:val="3"/>
        </w:numPr>
        <w:shd w:val="clear" w:color="auto" w:fill="FFFFFF"/>
        <w:spacing w:before="0" w:beforeAutospacing="0" w:after="0" w:afterAutospacing="0"/>
        <w:ind w:left="425" w:leftChars="0" w:hanging="425" w:firstLineChars="0"/>
        <w:jc w:val="both"/>
        <w:rPr>
          <w:rFonts w:hint="default" w:ascii="Times New Roman" w:hAnsi="Times New Roman" w:eastAsia="黑体" w:cs="Times New Roman"/>
          <w:b/>
          <w:kern w:val="0"/>
          <w:sz w:val="24"/>
          <w:szCs w:val="24"/>
        </w:rPr>
      </w:pPr>
      <w:r>
        <w:rPr>
          <w:rFonts w:hint="default" w:ascii="Times New Roman" w:hAnsi="Times New Roman" w:eastAsia="宋体" w:cs="Times New Roman"/>
          <w:b/>
          <w:bCs/>
          <w:sz w:val="24"/>
          <w:szCs w:val="24"/>
        </w:rPr>
        <w:t>Traffic Shifting</w:t>
      </w:r>
    </w:p>
    <w:p w14:paraId="613331F9">
      <w:pPr>
        <w:pStyle w:val="19"/>
        <w:keepNext w:val="0"/>
        <w:keepLines w:val="0"/>
        <w:pageBreakBefore w:val="0"/>
        <w:widowControl/>
        <w:numPr>
          <w:ilvl w:val="0"/>
          <w:numId w:val="0"/>
        </w:numPr>
        <w:shd w:val="clear" w:color="auto" w:fill="FFFFFF"/>
        <w:kinsoku/>
        <w:wordWrap/>
        <w:overflowPunct/>
        <w:topLinePunct w:val="0"/>
        <w:autoSpaceDE/>
        <w:autoSpaceDN/>
        <w:bidi w:val="0"/>
        <w:adjustRightInd/>
        <w:snapToGrid/>
        <w:spacing w:before="0" w:beforeAutospacing="0" w:after="0" w:afterAutospacing="0"/>
        <w:ind w:firstLine="0" w:firstLineChars="0"/>
        <w:jc w:val="both"/>
        <w:textAlignment w:val="auto"/>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In this task, I will configure Istio’s traffic shifting functionality to manage deployments of different versions of a microservice. By using weighted routing rules, I will gradually shift traffic from one version of a service to another, observing the effects and ensuring smooth migration while minimizing risk.</w:t>
      </w:r>
    </w:p>
    <w:p w14:paraId="1C75708F">
      <w:pPr>
        <w:pStyle w:val="19"/>
        <w:numPr>
          <w:ilvl w:val="0"/>
          <w:numId w:val="3"/>
        </w:numPr>
        <w:shd w:val="clear" w:color="auto" w:fill="FFFFFF"/>
        <w:spacing w:before="0" w:beforeAutospacing="0" w:after="0" w:afterAutospacing="0"/>
        <w:ind w:left="425" w:leftChars="0" w:hanging="425" w:firstLineChars="0"/>
        <w:jc w:val="both"/>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Request Routing</w:t>
      </w:r>
    </w:p>
    <w:p w14:paraId="44F01A08">
      <w:pPr>
        <w:pStyle w:val="19"/>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This part of the experiment focuses on setting up Istio’s routing capabilities to control the flow of traffic based on specific conditions such as request headers or service versions. This will allow me to dynamically control the routing of requests within the service mesh, providing insights into the flexibility of Istio’s traffic management features.</w:t>
      </w:r>
    </w:p>
    <w:p w14:paraId="00F23658">
      <w:pPr>
        <w:pStyle w:val="19"/>
        <w:numPr>
          <w:ilvl w:val="0"/>
          <w:numId w:val="3"/>
        </w:numPr>
        <w:shd w:val="clear" w:color="auto" w:fill="FFFFFF"/>
        <w:spacing w:before="0" w:beforeAutospacing="0" w:after="0" w:afterAutospacing="0"/>
        <w:ind w:left="425" w:leftChars="0" w:hanging="425" w:firstLineChars="0"/>
        <w:jc w:val="both"/>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Fault Injection</w:t>
      </w:r>
    </w:p>
    <w:p w14:paraId="3568D889">
      <w:pPr>
        <w:pStyle w:val="19"/>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I will practice injecting faults such as delays, aborts, or errors into the service communication to simulate real-world issues like network latency or failure. By configuring Istio’s fault injection features, I will test the resilience of my microservices and ensure that the system can handle disruptions effectively.</w:t>
      </w:r>
    </w:p>
    <w:p w14:paraId="12F92BBD">
      <w:pPr>
        <w:pStyle w:val="19"/>
        <w:numPr>
          <w:ilvl w:val="0"/>
          <w:numId w:val="3"/>
        </w:numPr>
        <w:shd w:val="clear" w:color="auto" w:fill="FFFFFF"/>
        <w:spacing w:before="0" w:beforeAutospacing="0" w:after="0" w:afterAutospacing="0"/>
        <w:ind w:left="425" w:leftChars="0" w:hanging="425" w:firstLineChars="0"/>
        <w:jc w:val="both"/>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Circuit Breaking</w:t>
      </w:r>
    </w:p>
    <w:p w14:paraId="56D24D8F">
      <w:pPr>
        <w:pStyle w:val="19"/>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The Bookinfo sample application was deployed to simulate a typical microservices architecture. Multiple services such as productpage, reviews, ratings, and details were created, forming a multi-tier service structure. Pod and service statuses were monitored to ensure successful deployment and proper integration with Istio.</w:t>
      </w:r>
    </w:p>
    <w:p w14:paraId="4EABB800">
      <w:pPr>
        <w:pStyle w:val="19"/>
        <w:numPr>
          <w:ilvl w:val="0"/>
          <w:numId w:val="3"/>
        </w:numPr>
        <w:shd w:val="clear" w:color="auto" w:fill="FFFFFF"/>
        <w:spacing w:before="0" w:beforeAutospacing="0" w:after="0" w:afterAutospacing="0"/>
        <w:ind w:left="425" w:leftChars="0" w:hanging="425" w:firstLineChars="0"/>
        <w:jc w:val="both"/>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Observability and Metrics Collection</w:t>
      </w:r>
    </w:p>
    <w:p w14:paraId="63508268">
      <w:pPr>
        <w:pStyle w:val="19"/>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I will integrate Istio's observability tools to monitor traffic, service performance, and health within the service mesh. By configuring Istio’s telemetry features, I will collect metrics on request counts, latencies, and errors. This will enable me to visualize the impact of traffic management strategies on service performance and make data-driven decisions for further optimization.</w:t>
      </w:r>
    </w:p>
    <w:p w14:paraId="5E068083">
      <w:pPr>
        <w:numPr>
          <w:ilvl w:val="0"/>
          <w:numId w:val="4"/>
        </w:num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Detailed steps of the experiment</w:t>
      </w:r>
    </w:p>
    <w:p w14:paraId="3F23116A">
      <w:pPr>
        <w:ind w:firstLine="0"/>
      </w:pPr>
      <w:r>
        <w:rPr>
          <w:rFonts w:ascii="Times New Roman" w:hAnsi="Times New Roman" w:eastAsia="Times New Roman"/>
          <w:sz w:val="24"/>
          <w:szCs w:val="24"/>
        </w:rPr>
        <w:t>The Kubernetes command-line environment has been checked here, confirming that kubectl is available before any Istio resources are installed or configured in the cluster.</w:t>
      </w:r>
    </w:p>
    <w:p w14:paraId="6852841C">
      <w:pPr>
        <w:widowControl w:val="0"/>
        <w:numPr>
          <w:ilvl w:val="0"/>
          <w:numId w:val="0"/>
        </w:numPr>
        <w:autoSpaceDE w:val="0"/>
        <w:autoSpaceDN w:val="0"/>
        <w:adjustRightInd w:val="0"/>
        <w:spacing w:line="300" w:lineRule="auto"/>
        <w:jc w:val="left"/>
      </w:pPr>
      <w:r>
        <w:drawing>
          <wp:inline distT="0" distB="0" distL="114300" distR="114300">
            <wp:extent cx="5272405" cy="510540"/>
            <wp:effectExtent l="0" t="0" r="10795" b="1016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4"/>
                    <a:stretch>
                      <a:fillRect/>
                    </a:stretch>
                  </pic:blipFill>
                  <pic:spPr>
                    <a:xfrm>
                      <a:off x="0" y="0"/>
                      <a:ext cx="5272405" cy="510540"/>
                    </a:xfrm>
                    <a:prstGeom prst="rect">
                      <a:avLst/>
                    </a:prstGeom>
                    <a:noFill/>
                    <a:ln>
                      <a:noFill/>
                    </a:ln>
                  </pic:spPr>
                </pic:pic>
              </a:graphicData>
            </a:graphic>
          </wp:inline>
        </w:drawing>
      </w:r>
    </w:p>
    <w:p w14:paraId="30311B52">
      <w:pPr>
        <w:widowControl w:val="0"/>
        <w:numPr>
          <w:ilvl w:val="0"/>
          <w:numId w:val="0"/>
        </w:numPr>
        <w:autoSpaceDE w:val="0"/>
        <w:autoSpaceDN w:val="0"/>
        <w:adjustRightInd w:val="0"/>
        <w:spacing w:line="300" w:lineRule="auto"/>
        <w:jc w:val="left"/>
      </w:pPr>
    </w:p>
    <w:p w14:paraId="24C6E58E">
      <w:pPr>
        <w:ind w:firstLine="0"/>
      </w:pPr>
      <w:r>
        <w:rPr>
          <w:rFonts w:ascii="Times New Roman" w:hAnsi="Times New Roman" w:eastAsia="Times New Roman"/>
          <w:sz w:val="24"/>
          <w:szCs w:val="24"/>
        </w:rPr>
        <w:t>Istio has been successfully downloaded and extracted from the official repository, and the required control-plane and sidecar images are being pulled locally to support the later service mesh deployment.</w:t>
      </w:r>
    </w:p>
    <w:p w14:paraId="38B6DED7">
      <w:pPr>
        <w:widowControl w:val="0"/>
        <w:numPr>
          <w:ilvl w:val="0"/>
          <w:numId w:val="0"/>
        </w:numPr>
        <w:autoSpaceDE w:val="0"/>
        <w:autoSpaceDN w:val="0"/>
        <w:adjustRightInd w:val="0"/>
        <w:spacing w:line="300" w:lineRule="auto"/>
        <w:jc w:val="left"/>
      </w:pPr>
      <w:r>
        <w:drawing>
          <wp:inline distT="0" distB="0" distL="114300" distR="114300">
            <wp:extent cx="5269865" cy="2645410"/>
            <wp:effectExtent l="0" t="0" r="635" b="889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5"/>
                    <a:stretch>
                      <a:fillRect/>
                    </a:stretch>
                  </pic:blipFill>
                  <pic:spPr>
                    <a:xfrm>
                      <a:off x="0" y="0"/>
                      <a:ext cx="5269865" cy="2645410"/>
                    </a:xfrm>
                    <a:prstGeom prst="rect">
                      <a:avLst/>
                    </a:prstGeom>
                    <a:noFill/>
                    <a:ln>
                      <a:noFill/>
                    </a:ln>
                  </pic:spPr>
                </pic:pic>
              </a:graphicData>
            </a:graphic>
          </wp:inline>
        </w:drawing>
      </w:r>
    </w:p>
    <w:p w14:paraId="471BE20E">
      <w:pPr>
        <w:widowControl w:val="0"/>
        <w:numPr>
          <w:ilvl w:val="0"/>
          <w:numId w:val="0"/>
        </w:numPr>
        <w:autoSpaceDE w:val="0"/>
        <w:autoSpaceDN w:val="0"/>
        <w:adjustRightInd w:val="0"/>
        <w:spacing w:line="300" w:lineRule="auto"/>
        <w:jc w:val="left"/>
      </w:pPr>
    </w:p>
    <w:p w14:paraId="72D3FDB0">
      <w:pPr>
        <w:ind w:firstLine="0"/>
      </w:pPr>
      <w:r>
        <w:rPr>
          <w:rFonts w:ascii="Times New Roman" w:hAnsi="Times New Roman" w:eastAsia="Times New Roman"/>
          <w:sz w:val="24"/>
          <w:szCs w:val="24"/>
        </w:rPr>
        <w:t>The required Istio images have been loaded into the local Kubernetes cluster, which ensures that the cluster can start Istio components without repeatedly downloading images during the experiment.</w:t>
      </w:r>
    </w:p>
    <w:p w14:paraId="6FBEF72C">
      <w:pPr>
        <w:widowControl w:val="0"/>
        <w:numPr>
          <w:ilvl w:val="0"/>
          <w:numId w:val="0"/>
        </w:numPr>
        <w:autoSpaceDE w:val="0"/>
        <w:autoSpaceDN w:val="0"/>
        <w:adjustRightInd w:val="0"/>
        <w:spacing w:line="300" w:lineRule="auto"/>
        <w:jc w:val="left"/>
      </w:pPr>
      <w:r>
        <w:drawing>
          <wp:inline distT="0" distB="0" distL="114300" distR="114300">
            <wp:extent cx="5270500" cy="813435"/>
            <wp:effectExtent l="0" t="0" r="0" b="1206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6"/>
                    <a:stretch>
                      <a:fillRect/>
                    </a:stretch>
                  </pic:blipFill>
                  <pic:spPr>
                    <a:xfrm>
                      <a:off x="0" y="0"/>
                      <a:ext cx="5270500" cy="813435"/>
                    </a:xfrm>
                    <a:prstGeom prst="rect">
                      <a:avLst/>
                    </a:prstGeom>
                    <a:noFill/>
                    <a:ln>
                      <a:noFill/>
                    </a:ln>
                  </pic:spPr>
                </pic:pic>
              </a:graphicData>
            </a:graphic>
          </wp:inline>
        </w:drawing>
      </w:r>
    </w:p>
    <w:p w14:paraId="2E3E9518">
      <w:pPr>
        <w:widowControl w:val="0"/>
        <w:numPr>
          <w:ilvl w:val="0"/>
          <w:numId w:val="0"/>
        </w:numPr>
        <w:autoSpaceDE w:val="0"/>
        <w:autoSpaceDN w:val="0"/>
        <w:adjustRightInd w:val="0"/>
        <w:spacing w:line="300" w:lineRule="auto"/>
        <w:jc w:val="left"/>
      </w:pPr>
    </w:p>
    <w:p w14:paraId="3D912F92">
      <w:pPr>
        <w:ind w:firstLine="0"/>
      </w:pPr>
      <w:r>
        <w:rPr>
          <w:rFonts w:ascii="Times New Roman" w:hAnsi="Times New Roman" w:eastAsia="Times New Roman"/>
          <w:sz w:val="24"/>
          <w:szCs w:val="24"/>
        </w:rPr>
        <w:t>The Istio control-plane pod has been restarted and verified in the istio-system namespace, showing that the core service mesh component is running normally after the image and environment preparation.</w:t>
      </w:r>
    </w:p>
    <w:p w14:paraId="3C94D4C4">
      <w:pPr>
        <w:widowControl w:val="0"/>
        <w:numPr>
          <w:ilvl w:val="0"/>
          <w:numId w:val="0"/>
        </w:numPr>
        <w:autoSpaceDE w:val="0"/>
        <w:autoSpaceDN w:val="0"/>
        <w:adjustRightInd w:val="0"/>
        <w:spacing w:line="300" w:lineRule="auto"/>
        <w:jc w:val="left"/>
      </w:pPr>
      <w:r>
        <w:drawing>
          <wp:inline distT="0" distB="0" distL="114300" distR="114300">
            <wp:extent cx="5270500" cy="953770"/>
            <wp:effectExtent l="0" t="0" r="0" b="11430"/>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7"/>
                    <a:stretch>
                      <a:fillRect/>
                    </a:stretch>
                  </pic:blipFill>
                  <pic:spPr>
                    <a:xfrm>
                      <a:off x="0" y="0"/>
                      <a:ext cx="5270500" cy="953770"/>
                    </a:xfrm>
                    <a:prstGeom prst="rect">
                      <a:avLst/>
                    </a:prstGeom>
                    <a:noFill/>
                    <a:ln>
                      <a:noFill/>
                    </a:ln>
                  </pic:spPr>
                </pic:pic>
              </a:graphicData>
            </a:graphic>
          </wp:inline>
        </w:drawing>
      </w:r>
    </w:p>
    <w:p w14:paraId="51E13207">
      <w:pPr>
        <w:widowControl w:val="0"/>
        <w:numPr>
          <w:ilvl w:val="0"/>
          <w:numId w:val="0"/>
        </w:numPr>
        <w:autoSpaceDE w:val="0"/>
        <w:autoSpaceDN w:val="0"/>
        <w:adjustRightInd w:val="0"/>
        <w:spacing w:line="300" w:lineRule="auto"/>
        <w:jc w:val="left"/>
      </w:pPr>
    </w:p>
    <w:p w14:paraId="5639EF37">
      <w:pPr>
        <w:ind w:firstLine="0"/>
      </w:pPr>
      <w:r>
        <w:rPr>
          <w:rFonts w:ascii="Times New Roman" w:hAnsi="Times New Roman" w:eastAsia="Times New Roman"/>
          <w:sz w:val="24"/>
          <w:szCs w:val="24"/>
        </w:rPr>
        <w:t>The default namespace has been labeled for automatic Istio sidecar injection, so new application pods created in this namespace can join the service mesh and be managed by Envoy proxies.</w:t>
      </w:r>
    </w:p>
    <w:p w14:paraId="101CD2CC">
      <w:pPr>
        <w:widowControl w:val="0"/>
        <w:numPr>
          <w:ilvl w:val="0"/>
          <w:numId w:val="0"/>
        </w:numPr>
        <w:autoSpaceDE w:val="0"/>
        <w:autoSpaceDN w:val="0"/>
        <w:adjustRightInd w:val="0"/>
        <w:spacing w:line="300" w:lineRule="auto"/>
        <w:jc w:val="left"/>
      </w:pPr>
      <w:r>
        <w:drawing>
          <wp:inline distT="0" distB="0" distL="114300" distR="114300">
            <wp:extent cx="5270500" cy="829310"/>
            <wp:effectExtent l="0" t="0" r="0" b="8890"/>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8"/>
                    <a:stretch>
                      <a:fillRect/>
                    </a:stretch>
                  </pic:blipFill>
                  <pic:spPr>
                    <a:xfrm>
                      <a:off x="0" y="0"/>
                      <a:ext cx="5270500" cy="829310"/>
                    </a:xfrm>
                    <a:prstGeom prst="rect">
                      <a:avLst/>
                    </a:prstGeom>
                    <a:noFill/>
                    <a:ln>
                      <a:noFill/>
                    </a:ln>
                  </pic:spPr>
                </pic:pic>
              </a:graphicData>
            </a:graphic>
          </wp:inline>
        </w:drawing>
      </w:r>
    </w:p>
    <w:p w14:paraId="0BA9D2A2">
      <w:pPr>
        <w:widowControl w:val="0"/>
        <w:numPr>
          <w:ilvl w:val="0"/>
          <w:numId w:val="0"/>
        </w:numPr>
        <w:autoSpaceDE w:val="0"/>
        <w:autoSpaceDN w:val="0"/>
        <w:adjustRightInd w:val="0"/>
        <w:spacing w:line="300" w:lineRule="auto"/>
        <w:jc w:val="left"/>
      </w:pPr>
    </w:p>
    <w:p w14:paraId="46727F64">
      <w:pPr>
        <w:ind w:firstLine="0"/>
      </w:pPr>
      <w:r>
        <w:rPr>
          <w:rFonts w:ascii="Times New Roman" w:hAnsi="Times New Roman" w:eastAsia="Times New Roman"/>
          <w:sz w:val="24"/>
          <w:szCs w:val="24"/>
        </w:rPr>
        <w:t>The Bookinfo application is now reachable through the browser, and the product page displays book details and review information, confirming that the sample microservices application has been deployed and exposed successfully.</w:t>
      </w:r>
    </w:p>
    <w:p w14:paraId="7F86BE92">
      <w:pPr>
        <w:widowControl w:val="0"/>
        <w:numPr>
          <w:ilvl w:val="0"/>
          <w:numId w:val="0"/>
        </w:numPr>
        <w:autoSpaceDE w:val="0"/>
        <w:autoSpaceDN w:val="0"/>
        <w:adjustRightInd w:val="0"/>
        <w:spacing w:line="300" w:lineRule="auto"/>
        <w:jc w:val="left"/>
      </w:pPr>
      <w:r>
        <w:drawing>
          <wp:inline distT="0" distB="0" distL="114300" distR="114300">
            <wp:extent cx="5271770" cy="2920365"/>
            <wp:effectExtent l="0" t="0" r="11430" b="635"/>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9"/>
                    <a:stretch>
                      <a:fillRect/>
                    </a:stretch>
                  </pic:blipFill>
                  <pic:spPr>
                    <a:xfrm>
                      <a:off x="0" y="0"/>
                      <a:ext cx="5271770" cy="2920365"/>
                    </a:xfrm>
                    <a:prstGeom prst="rect">
                      <a:avLst/>
                    </a:prstGeom>
                    <a:noFill/>
                    <a:ln>
                      <a:noFill/>
                    </a:ln>
                  </pic:spPr>
                </pic:pic>
              </a:graphicData>
            </a:graphic>
          </wp:inline>
        </w:drawing>
      </w:r>
    </w:p>
    <w:p w14:paraId="76A87C3F">
      <w:pPr>
        <w:widowControl w:val="0"/>
        <w:numPr>
          <w:ilvl w:val="0"/>
          <w:numId w:val="0"/>
        </w:numPr>
        <w:autoSpaceDE w:val="0"/>
        <w:autoSpaceDN w:val="0"/>
        <w:adjustRightInd w:val="0"/>
        <w:spacing w:line="300" w:lineRule="auto"/>
        <w:jc w:val="left"/>
      </w:pPr>
    </w:p>
    <w:p w14:paraId="4CE4B475">
      <w:pPr>
        <w:ind w:firstLine="0"/>
      </w:pPr>
      <w:r>
        <w:rPr>
          <w:rFonts w:ascii="Times New Roman" w:hAnsi="Times New Roman" w:eastAsia="Times New Roman"/>
          <w:sz w:val="24"/>
          <w:szCs w:val="24"/>
        </w:rPr>
        <w:t>The initial VirtualService configuration has been applied to route all Bookinfo service traffic to version v1, providing a stable baseline before testing more specific request-routing rules.</w:t>
      </w:r>
    </w:p>
    <w:p w14:paraId="3A49E5D6">
      <w:pPr>
        <w:widowControl w:val="0"/>
        <w:numPr>
          <w:ilvl w:val="0"/>
          <w:numId w:val="0"/>
        </w:numPr>
        <w:autoSpaceDE w:val="0"/>
        <w:autoSpaceDN w:val="0"/>
        <w:adjustRightInd w:val="0"/>
        <w:spacing w:line="300" w:lineRule="auto"/>
        <w:jc w:val="left"/>
      </w:pPr>
      <w:r>
        <w:drawing>
          <wp:inline distT="0" distB="0" distL="114300" distR="114300">
            <wp:extent cx="5266690" cy="736600"/>
            <wp:effectExtent l="0" t="0" r="3810" b="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10"/>
                    <a:stretch>
                      <a:fillRect/>
                    </a:stretch>
                  </pic:blipFill>
                  <pic:spPr>
                    <a:xfrm>
                      <a:off x="0" y="0"/>
                      <a:ext cx="5266690" cy="736600"/>
                    </a:xfrm>
                    <a:prstGeom prst="rect">
                      <a:avLst/>
                    </a:prstGeom>
                    <a:noFill/>
                    <a:ln>
                      <a:noFill/>
                    </a:ln>
                  </pic:spPr>
                </pic:pic>
              </a:graphicData>
            </a:graphic>
          </wp:inline>
        </w:drawing>
      </w:r>
    </w:p>
    <w:p w14:paraId="5D2C71F3">
      <w:pPr>
        <w:widowControl w:val="0"/>
        <w:numPr>
          <w:ilvl w:val="0"/>
          <w:numId w:val="0"/>
        </w:numPr>
        <w:autoSpaceDE w:val="0"/>
        <w:autoSpaceDN w:val="0"/>
        <w:adjustRightInd w:val="0"/>
        <w:spacing w:line="300" w:lineRule="auto"/>
        <w:jc w:val="left"/>
      </w:pPr>
    </w:p>
    <w:p w14:paraId="2DE05EE3">
      <w:pPr>
        <w:ind w:firstLine="0"/>
      </w:pPr>
      <w:r>
        <w:rPr>
          <w:rFonts w:ascii="Times New Roman" w:hAnsi="Times New Roman" w:eastAsia="Times New Roman"/>
          <w:sz w:val="24"/>
          <w:szCs w:val="24"/>
        </w:rPr>
        <w:t>The review section is displayed without star ratings, which matches the expected behavior after directing reviews traffic to version v1.</w:t>
      </w:r>
    </w:p>
    <w:p w14:paraId="6E13F326">
      <w:pPr>
        <w:widowControl w:val="0"/>
        <w:numPr>
          <w:ilvl w:val="0"/>
          <w:numId w:val="0"/>
        </w:numPr>
        <w:autoSpaceDE w:val="0"/>
        <w:autoSpaceDN w:val="0"/>
        <w:adjustRightInd w:val="0"/>
        <w:spacing w:line="300" w:lineRule="auto"/>
        <w:jc w:val="left"/>
      </w:pPr>
      <w:r>
        <w:drawing>
          <wp:inline distT="0" distB="0" distL="114300" distR="114300">
            <wp:extent cx="5273040" cy="1303655"/>
            <wp:effectExtent l="0" t="0" r="10160" b="4445"/>
            <wp:docPr id="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8"/>
                    <pic:cNvPicPr>
                      <a:picLocks noChangeAspect="1"/>
                    </pic:cNvPicPr>
                  </pic:nvPicPr>
                  <pic:blipFill>
                    <a:blip r:embed="rId11"/>
                    <a:stretch>
                      <a:fillRect/>
                    </a:stretch>
                  </pic:blipFill>
                  <pic:spPr>
                    <a:xfrm>
                      <a:off x="0" y="0"/>
                      <a:ext cx="5273040" cy="1303655"/>
                    </a:xfrm>
                    <a:prstGeom prst="rect">
                      <a:avLst/>
                    </a:prstGeom>
                    <a:noFill/>
                    <a:ln>
                      <a:noFill/>
                    </a:ln>
                  </pic:spPr>
                </pic:pic>
              </a:graphicData>
            </a:graphic>
          </wp:inline>
        </w:drawing>
      </w:r>
    </w:p>
    <w:p w14:paraId="4680F940">
      <w:pPr>
        <w:widowControl w:val="0"/>
        <w:numPr>
          <w:ilvl w:val="0"/>
          <w:numId w:val="0"/>
        </w:numPr>
        <w:autoSpaceDE w:val="0"/>
        <w:autoSpaceDN w:val="0"/>
        <w:adjustRightInd w:val="0"/>
        <w:spacing w:line="300" w:lineRule="auto"/>
        <w:jc w:val="left"/>
      </w:pPr>
    </w:p>
    <w:p w14:paraId="300A36A0">
      <w:pPr>
        <w:ind w:firstLine="0"/>
      </w:pPr>
      <w:r>
        <w:rPr>
          <w:rFonts w:ascii="Times New Roman" w:hAnsi="Times New Roman" w:eastAsia="Times New Roman"/>
          <w:sz w:val="24"/>
          <w:szCs w:val="24"/>
        </w:rPr>
        <w:t>The user-based routing rule has been applied for the reviews service, allowing requests from the specified test user to be directed to a different service version.</w:t>
      </w:r>
    </w:p>
    <w:p w14:paraId="23ECABBC">
      <w:pPr>
        <w:widowControl w:val="0"/>
        <w:numPr>
          <w:ilvl w:val="0"/>
          <w:numId w:val="0"/>
        </w:numPr>
        <w:autoSpaceDE w:val="0"/>
        <w:autoSpaceDN w:val="0"/>
        <w:adjustRightInd w:val="0"/>
        <w:spacing w:line="300" w:lineRule="auto"/>
        <w:jc w:val="left"/>
      </w:pPr>
      <w:r>
        <w:drawing>
          <wp:inline distT="0" distB="0" distL="114300" distR="114300">
            <wp:extent cx="5270500" cy="397510"/>
            <wp:effectExtent l="0" t="0" r="0" b="8890"/>
            <wp:docPr id="2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0"/>
                    <pic:cNvPicPr>
                      <a:picLocks noChangeAspect="1"/>
                    </pic:cNvPicPr>
                  </pic:nvPicPr>
                  <pic:blipFill>
                    <a:blip r:embed="rId12"/>
                    <a:stretch>
                      <a:fillRect/>
                    </a:stretch>
                  </pic:blipFill>
                  <pic:spPr>
                    <a:xfrm>
                      <a:off x="0" y="0"/>
                      <a:ext cx="5270500" cy="397510"/>
                    </a:xfrm>
                    <a:prstGeom prst="rect">
                      <a:avLst/>
                    </a:prstGeom>
                    <a:noFill/>
                    <a:ln>
                      <a:noFill/>
                    </a:ln>
                  </pic:spPr>
                </pic:pic>
              </a:graphicData>
            </a:graphic>
          </wp:inline>
        </w:drawing>
      </w:r>
    </w:p>
    <w:p w14:paraId="25DADF71">
      <w:pPr>
        <w:ind w:firstLine="0"/>
      </w:pPr>
      <w:r>
        <w:rPr>
          <w:rFonts w:ascii="Times New Roman" w:hAnsi="Times New Roman" w:eastAsia="Times New Roman"/>
          <w:sz w:val="24"/>
          <w:szCs w:val="24"/>
        </w:rPr>
        <w:t>The review section now shows black star ratings after the routing rule takes effect, indicating that the request has reached reviews version v2 under the configured user condition.</w:t>
      </w:r>
    </w:p>
    <w:p w14:paraId="5E000B46">
      <w:pPr>
        <w:widowControl w:val="0"/>
        <w:numPr>
          <w:ilvl w:val="0"/>
          <w:numId w:val="0"/>
        </w:numPr>
        <w:autoSpaceDE w:val="0"/>
        <w:autoSpaceDN w:val="0"/>
        <w:adjustRightInd w:val="0"/>
        <w:spacing w:line="300" w:lineRule="auto"/>
        <w:jc w:val="left"/>
      </w:pPr>
      <w:r>
        <w:drawing>
          <wp:inline distT="0" distB="0" distL="114300" distR="114300">
            <wp:extent cx="5266055" cy="1255395"/>
            <wp:effectExtent l="0" t="0" r="4445" b="1905"/>
            <wp:docPr id="1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9"/>
                    <pic:cNvPicPr>
                      <a:picLocks noChangeAspect="1"/>
                    </pic:cNvPicPr>
                  </pic:nvPicPr>
                  <pic:blipFill>
                    <a:blip r:embed="rId13"/>
                    <a:stretch>
                      <a:fillRect/>
                    </a:stretch>
                  </pic:blipFill>
                  <pic:spPr>
                    <a:xfrm>
                      <a:off x="0" y="0"/>
                      <a:ext cx="5266055" cy="1255395"/>
                    </a:xfrm>
                    <a:prstGeom prst="rect">
                      <a:avLst/>
                    </a:prstGeom>
                    <a:noFill/>
                    <a:ln>
                      <a:noFill/>
                    </a:ln>
                  </pic:spPr>
                </pic:pic>
              </a:graphicData>
            </a:graphic>
          </wp:inline>
        </w:drawing>
      </w:r>
    </w:p>
    <w:p w14:paraId="69A376A0">
      <w:pPr>
        <w:widowControl w:val="0"/>
        <w:numPr>
          <w:ilvl w:val="0"/>
          <w:numId w:val="0"/>
        </w:numPr>
        <w:autoSpaceDE w:val="0"/>
        <w:autoSpaceDN w:val="0"/>
        <w:adjustRightInd w:val="0"/>
        <w:spacing w:line="300" w:lineRule="auto"/>
        <w:jc w:val="left"/>
      </w:pPr>
    </w:p>
    <w:p w14:paraId="6395902C">
      <w:pPr>
        <w:ind w:firstLine="0"/>
      </w:pPr>
      <w:r>
        <w:rPr>
          <w:rFonts w:ascii="Times New Roman" w:hAnsi="Times New Roman" w:eastAsia="Times New Roman"/>
          <w:sz w:val="24"/>
          <w:szCs w:val="24"/>
        </w:rPr>
        <w:t>The traffic-shifting rules have been updated for the reviews service, first splitting traffic between versions and then moving traffic toward version v3.</w:t>
      </w:r>
    </w:p>
    <w:p w14:paraId="755D9A57">
      <w:pPr>
        <w:widowControl w:val="0"/>
        <w:numPr>
          <w:ilvl w:val="0"/>
          <w:numId w:val="0"/>
        </w:numPr>
        <w:autoSpaceDE w:val="0"/>
        <w:autoSpaceDN w:val="0"/>
        <w:adjustRightInd w:val="0"/>
        <w:spacing w:line="300" w:lineRule="auto"/>
        <w:jc w:val="left"/>
      </w:pPr>
      <w:r>
        <w:drawing>
          <wp:inline distT="0" distB="0" distL="114300" distR="114300">
            <wp:extent cx="5266690" cy="1553845"/>
            <wp:effectExtent l="0" t="0" r="3810" b="8255"/>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14"/>
                    <a:stretch>
                      <a:fillRect/>
                    </a:stretch>
                  </pic:blipFill>
                  <pic:spPr>
                    <a:xfrm>
                      <a:off x="0" y="0"/>
                      <a:ext cx="5266690" cy="1553845"/>
                    </a:xfrm>
                    <a:prstGeom prst="rect">
                      <a:avLst/>
                    </a:prstGeom>
                    <a:noFill/>
                    <a:ln>
                      <a:noFill/>
                    </a:ln>
                  </pic:spPr>
                </pic:pic>
              </a:graphicData>
            </a:graphic>
          </wp:inline>
        </w:drawing>
      </w:r>
    </w:p>
    <w:p w14:paraId="7547AFBA">
      <w:pPr>
        <w:ind w:firstLine="0"/>
      </w:pPr>
      <w:r>
        <w:rPr>
          <w:rFonts w:ascii="Times New Roman" w:hAnsi="Times New Roman" w:eastAsia="Times New Roman"/>
          <w:sz w:val="24"/>
          <w:szCs w:val="24"/>
        </w:rPr>
        <w:t>The review section shows red star ratings, demonstrating that traffic has been shifted to reviews version v3 and the new service version is being served.</w:t>
      </w:r>
    </w:p>
    <w:p w14:paraId="0C8B27E4">
      <w:pPr>
        <w:widowControl w:val="0"/>
        <w:numPr>
          <w:ilvl w:val="0"/>
          <w:numId w:val="0"/>
        </w:numPr>
        <w:autoSpaceDE w:val="0"/>
        <w:autoSpaceDN w:val="0"/>
        <w:adjustRightInd w:val="0"/>
        <w:spacing w:line="300" w:lineRule="auto"/>
        <w:jc w:val="left"/>
      </w:pPr>
      <w:r>
        <w:drawing>
          <wp:inline distT="0" distB="0" distL="114300" distR="114300">
            <wp:extent cx="5259705" cy="1238250"/>
            <wp:effectExtent l="0" t="0" r="10795" b="6350"/>
            <wp:docPr id="2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pic:cNvPicPr>
                      <a:picLocks noChangeAspect="1"/>
                    </pic:cNvPicPr>
                  </pic:nvPicPr>
                  <pic:blipFill>
                    <a:blip r:embed="rId15"/>
                    <a:stretch>
                      <a:fillRect/>
                    </a:stretch>
                  </pic:blipFill>
                  <pic:spPr>
                    <a:xfrm>
                      <a:off x="0" y="0"/>
                      <a:ext cx="5259705" cy="1238250"/>
                    </a:xfrm>
                    <a:prstGeom prst="rect">
                      <a:avLst/>
                    </a:prstGeom>
                    <a:noFill/>
                    <a:ln>
                      <a:noFill/>
                    </a:ln>
                  </pic:spPr>
                </pic:pic>
              </a:graphicData>
            </a:graphic>
          </wp:inline>
        </w:drawing>
      </w:r>
    </w:p>
    <w:p w14:paraId="22C7C36B">
      <w:pPr>
        <w:widowControl w:val="0"/>
        <w:numPr>
          <w:ilvl w:val="0"/>
          <w:numId w:val="0"/>
        </w:numPr>
        <w:autoSpaceDE w:val="0"/>
        <w:autoSpaceDN w:val="0"/>
        <w:adjustRightInd w:val="0"/>
        <w:spacing w:line="300" w:lineRule="auto"/>
        <w:jc w:val="left"/>
      </w:pPr>
    </w:p>
    <w:p w14:paraId="4EAFE27A">
      <w:pPr>
        <w:ind w:firstLine="0"/>
      </w:pPr>
      <w:r>
        <w:rPr>
          <w:rFonts w:ascii="Times New Roman" w:hAnsi="Times New Roman" w:eastAsia="Times New Roman"/>
          <w:sz w:val="24"/>
          <w:szCs w:val="24"/>
        </w:rPr>
        <w:t>The fault-injection configuration has been applied to the ratings service, introducing controlled delay and failure behavior for the selected request path.</w:t>
      </w:r>
    </w:p>
    <w:p w14:paraId="31F637BC">
      <w:pPr>
        <w:widowControl w:val="0"/>
        <w:numPr>
          <w:ilvl w:val="0"/>
          <w:numId w:val="0"/>
        </w:numPr>
        <w:autoSpaceDE w:val="0"/>
        <w:autoSpaceDN w:val="0"/>
        <w:adjustRightInd w:val="0"/>
        <w:spacing w:line="300" w:lineRule="auto"/>
        <w:jc w:val="left"/>
      </w:pPr>
      <w:r>
        <w:drawing>
          <wp:inline distT="0" distB="0" distL="114300" distR="114300">
            <wp:extent cx="5270500" cy="1428115"/>
            <wp:effectExtent l="0" t="0" r="0" b="6985"/>
            <wp:docPr id="2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pic:cNvPicPr>
                      <a:picLocks noChangeAspect="1"/>
                    </pic:cNvPicPr>
                  </pic:nvPicPr>
                  <pic:blipFill>
                    <a:blip r:embed="rId16"/>
                    <a:stretch>
                      <a:fillRect/>
                    </a:stretch>
                  </pic:blipFill>
                  <pic:spPr>
                    <a:xfrm>
                      <a:off x="0" y="0"/>
                      <a:ext cx="5270500" cy="1428115"/>
                    </a:xfrm>
                    <a:prstGeom prst="rect">
                      <a:avLst/>
                    </a:prstGeom>
                    <a:noFill/>
                    <a:ln>
                      <a:noFill/>
                    </a:ln>
                  </pic:spPr>
                </pic:pic>
              </a:graphicData>
            </a:graphic>
          </wp:inline>
        </w:drawing>
      </w:r>
    </w:p>
    <w:p w14:paraId="59226552">
      <w:pPr>
        <w:ind w:firstLine="0"/>
      </w:pPr>
      <w:r>
        <w:rPr>
          <w:rFonts w:ascii="Times New Roman" w:hAnsi="Times New Roman" w:eastAsia="Times New Roman"/>
          <w:sz w:val="24"/>
          <w:szCs w:val="24"/>
        </w:rPr>
        <w:t>The product page reports an error when fetching reviews, showing how the application behaves when the downstream ratings service is affected by injected faults.</w:t>
      </w:r>
    </w:p>
    <w:p w14:paraId="76C7484E">
      <w:pPr>
        <w:widowControl w:val="0"/>
        <w:numPr>
          <w:ilvl w:val="0"/>
          <w:numId w:val="0"/>
        </w:numPr>
        <w:autoSpaceDE w:val="0"/>
        <w:autoSpaceDN w:val="0"/>
        <w:adjustRightInd w:val="0"/>
        <w:spacing w:line="300" w:lineRule="auto"/>
        <w:jc w:val="left"/>
      </w:pPr>
      <w:r>
        <w:drawing>
          <wp:inline distT="0" distB="0" distL="114300" distR="114300">
            <wp:extent cx="5268595" cy="487045"/>
            <wp:effectExtent l="0" t="0" r="1905" b="8255"/>
            <wp:docPr id="2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3"/>
                    <pic:cNvPicPr>
                      <a:picLocks noChangeAspect="1"/>
                    </pic:cNvPicPr>
                  </pic:nvPicPr>
                  <pic:blipFill>
                    <a:blip r:embed="rId17"/>
                    <a:stretch>
                      <a:fillRect/>
                    </a:stretch>
                  </pic:blipFill>
                  <pic:spPr>
                    <a:xfrm>
                      <a:off x="0" y="0"/>
                      <a:ext cx="5268595" cy="487045"/>
                    </a:xfrm>
                    <a:prstGeom prst="rect">
                      <a:avLst/>
                    </a:prstGeom>
                    <a:noFill/>
                    <a:ln>
                      <a:noFill/>
                    </a:ln>
                  </pic:spPr>
                </pic:pic>
              </a:graphicData>
            </a:graphic>
          </wp:inline>
        </w:drawing>
      </w:r>
    </w:p>
    <w:p w14:paraId="2ECEE43E">
      <w:pPr>
        <w:ind w:firstLine="0"/>
      </w:pPr>
      <w:r>
        <w:rPr>
          <w:rFonts w:ascii="Times New Roman" w:hAnsi="Times New Roman" w:eastAsia="Times New Roman"/>
          <w:sz w:val="24"/>
          <w:szCs w:val="24"/>
        </w:rPr>
        <w:t>The final routing adjustment restores the reviews service configuration after the fault-injection test, preparing the application for continued validation or cleanup.</w:t>
      </w:r>
    </w:p>
    <w:p w14:paraId="60DA199A">
      <w:pPr>
        <w:widowControl w:val="0"/>
        <w:numPr>
          <w:ilvl w:val="0"/>
          <w:numId w:val="0"/>
        </w:numPr>
        <w:autoSpaceDE w:val="0"/>
        <w:autoSpaceDN w:val="0"/>
        <w:adjustRightInd w:val="0"/>
        <w:spacing w:line="300" w:lineRule="auto"/>
        <w:jc w:val="left"/>
        <w:rPr>
          <w:rFonts w:hint="default"/>
        </w:rPr>
      </w:pPr>
      <w:r>
        <w:drawing>
          <wp:inline distT="0" distB="0" distL="114300" distR="114300">
            <wp:extent cx="5262880" cy="1280160"/>
            <wp:effectExtent l="0" t="0" r="7620" b="2540"/>
            <wp:docPr id="2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5"/>
                    <pic:cNvPicPr>
                      <a:picLocks noChangeAspect="1"/>
                    </pic:cNvPicPr>
                  </pic:nvPicPr>
                  <pic:blipFill>
                    <a:blip r:embed="rId18"/>
                    <a:stretch>
                      <a:fillRect/>
                    </a:stretch>
                  </pic:blipFill>
                  <pic:spPr>
                    <a:xfrm>
                      <a:off x="0" y="0"/>
                      <a:ext cx="5262880" cy="1280160"/>
                    </a:xfrm>
                    <a:prstGeom prst="rect">
                      <a:avLst/>
                    </a:prstGeom>
                    <a:noFill/>
                    <a:ln>
                      <a:noFill/>
                    </a:ln>
                  </pic:spPr>
                </pic:pic>
              </a:graphicData>
            </a:graphic>
          </wp:inline>
        </w:drawing>
      </w:r>
    </w:p>
    <w:p w14:paraId="2C571B58">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四、Reflection</w:t>
      </w:r>
    </w:p>
    <w:p w14:paraId="658AFE6C">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r>
        <w:rPr>
          <w:rFonts w:hint="eastAsia" w:eastAsia="黑体" w:cs="Times New Roman"/>
          <w:b w:val="0"/>
          <w:bCs/>
          <w:kern w:val="0"/>
          <w:sz w:val="24"/>
          <w:szCs w:val="24"/>
          <w:lang w:val="en-US" w:eastAsia="zh-CN"/>
        </w:rPr>
        <w:t>1. Through this experiment, I gained valuable hands-on experience in managing traffic and ensuring the resilience of a microservices architecture using Istio. By implementing traffic shifting, I learned how to smoothly transition between different versions of services, which is essential for canary deployments and reducing risks in production environments. The request routing task helped me understand how to direct traffic based on specific conditions, such as headers or version labels, which is crucial for enabling more flexible and dynamic application behaviors. Additionally, fault injection allowed me to simulate real-world failures, providing insights into how Istio</w:t>
      </w:r>
      <w:r>
        <w:rPr>
          <w:rFonts w:hint="default" w:eastAsia="黑体" w:cs="Times New Roman"/>
          <w:b w:val="0"/>
          <w:bCs/>
          <w:kern w:val="0"/>
          <w:sz w:val="24"/>
          <w:szCs w:val="24"/>
          <w:lang w:val="en-US" w:eastAsia="zh-CN"/>
        </w:rPr>
        <w:t>’</w:t>
      </w:r>
      <w:r>
        <w:rPr>
          <w:rFonts w:hint="eastAsia" w:eastAsia="黑体" w:cs="Times New Roman"/>
          <w:b w:val="0"/>
          <w:bCs/>
          <w:kern w:val="0"/>
          <w:sz w:val="24"/>
          <w:szCs w:val="24"/>
          <w:lang w:val="en-US" w:eastAsia="zh-CN"/>
        </w:rPr>
        <w:t>s failure recovery mechanisms work and how they can be leveraged to improve system resilience.</w:t>
      </w:r>
    </w:p>
    <w:p w14:paraId="1931121B">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2. Configuring circuit breaking was another key takeaway, as it taught me how to prevent cascading failures by quickly failing requests to unhealthy service instances. This helps maintain the stability of the system, especially during heavy load or network disruptions. Furthermore, I explore Istio</w:t>
      </w:r>
      <w:r>
        <w:rPr>
          <w:rFonts w:hint="default" w:eastAsia="黑体" w:cs="Times New Roman"/>
          <w:b w:val="0"/>
          <w:bCs/>
          <w:kern w:val="0"/>
          <w:sz w:val="24"/>
          <w:szCs w:val="24"/>
          <w:lang w:val="en-US" w:eastAsia="zh-CN"/>
        </w:rPr>
        <w:t>’</w:t>
      </w:r>
      <w:r>
        <w:rPr>
          <w:rFonts w:hint="eastAsia" w:eastAsia="黑体" w:cs="Times New Roman"/>
          <w:b w:val="0"/>
          <w:bCs/>
          <w:kern w:val="0"/>
          <w:sz w:val="24"/>
          <w:szCs w:val="24"/>
          <w:lang w:val="en-US" w:eastAsia="zh-CN"/>
        </w:rPr>
        <w:t xml:space="preserve">s observability tools, which provided a deeper understanding of traffic patterns and system health through real-time metrics. </w:t>
      </w:r>
    </w:p>
    <w:p w14:paraId="495896AC">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3. The load balancing configurations demonstrated how Istio efficiently distributes traffic across multiple service instances, ensuring high availability and fault tolerance. Overall, this experiment gave me a comprehensive understanding of how Istio can be used to manage, secure, and optimize traffic in a microservices architecture. </w:t>
      </w:r>
    </w:p>
    <w:p w14:paraId="7AADE4AB">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4. This experiment also highlighted the importance of observability in a microservices environment. By integrating Istio's telemetry features, I gained firsthand experience in monitoring the traffic flow and understanding service performance through metrics such as request count, latency, and error rates. </w:t>
      </w:r>
    </w:p>
    <w:p w14:paraId="3FFD1198">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5. Additionally, configuring security with Istio helped me appreciate the critical role of service-to-service authentication and encryption in modern architectures. This step emphasized the growing need for robust security measures in cloud-native environments, where services often interact over shared networks. </w:t>
      </w:r>
    </w:p>
    <w:p w14:paraId="69D4217E">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p>
    <w:p w14:paraId="4809967E">
      <w:pPr>
        <w:numPr>
          <w:ilvl w:val="0"/>
          <w:numId w:val="0"/>
        </w:numPr>
        <w:autoSpaceDE w:val="0"/>
        <w:autoSpaceDN w:val="0"/>
        <w:adjustRightInd w:val="0"/>
        <w:spacing w:line="300" w:lineRule="auto"/>
        <w:jc w:val="center"/>
        <w:rPr>
          <w:rFonts w:hint="eastAsia" w:ascii="Times New Roman" w:eastAsia="宋体"/>
          <w:b/>
          <w:bCs/>
          <w:sz w:val="28"/>
          <w:lang w:val="en-US" w:eastAsia="zh-CN"/>
        </w:rPr>
      </w:pPr>
      <w:r>
        <w:rPr>
          <w:rFonts w:hint="eastAsia"/>
          <w:b/>
          <w:bCs/>
          <w:sz w:val="28"/>
        </w:rPr>
        <w:t>附录</w:t>
      </w:r>
      <w:r>
        <w:rPr>
          <w:rFonts w:hint="eastAsia" w:ascii="Times New Roman" w:eastAsia="宋体"/>
          <w:b/>
          <w:bCs/>
          <w:sz w:val="28"/>
          <w:lang w:val="en-US" w:eastAsia="zh-CN"/>
        </w:rPr>
        <w:t xml:space="preserve"> 程序命令代码</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D3113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8DEC495">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1：工具检查</w:t>
            </w:r>
          </w:p>
        </w:tc>
      </w:tr>
      <w:tr w14:paraId="23F2450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616D61E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version --client</w:t>
            </w:r>
          </w:p>
          <w:p w14:paraId="707DEE8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cluster-info</w:t>
            </w:r>
          </w:p>
          <w:p w14:paraId="3FDB742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istioctl version</w:t>
            </w:r>
          </w:p>
        </w:tc>
      </w:tr>
    </w:tbl>
    <w:p w14:paraId="00DC61DA">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626DCA3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077E49D">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2：Istio安装、命名空间注入</w:t>
            </w:r>
          </w:p>
        </w:tc>
      </w:tr>
      <w:tr w14:paraId="3A31050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6DF5CDE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istioctl install --set profile=demo -y</w:t>
            </w:r>
          </w:p>
          <w:p w14:paraId="687C423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label namespace default istio-injection=enabled</w:t>
            </w:r>
          </w:p>
          <w:p w14:paraId="15922F7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pods -n istio-system</w:t>
            </w:r>
          </w:p>
          <w:p w14:paraId="416B975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svc -n istio-system</w:t>
            </w:r>
          </w:p>
          <w:p w14:paraId="01FFAC3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describe pod -n istio-system -l app=istiod</w:t>
            </w:r>
          </w:p>
          <w:p w14:paraId="2DC21BA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describe pod -n default -l app=details</w:t>
            </w:r>
          </w:p>
        </w:tc>
      </w:tr>
    </w:tbl>
    <w:p w14:paraId="51F7EF5B">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8F95595">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46C70967">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3：Bookinfo基础部署</w:t>
            </w:r>
          </w:p>
        </w:tc>
      </w:tr>
      <w:tr w14:paraId="006FBA2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1F1D227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samples/bookinfo/platform/kube/bookinfo.yaml</w:t>
            </w:r>
          </w:p>
          <w:p w14:paraId="46AB6E66">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pods</w:t>
            </w:r>
          </w:p>
          <w:p w14:paraId="18794FE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services</w:t>
            </w:r>
          </w:p>
          <w:p w14:paraId="609BF67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pods -w</w:t>
            </w:r>
          </w:p>
          <w:p w14:paraId="20DE7BF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samples/bookinfo/networking/destination-rule-all.yaml</w:t>
            </w:r>
          </w:p>
          <w:p w14:paraId="42CE1F87">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destinationrules</w:t>
            </w:r>
          </w:p>
          <w:p w14:paraId="240875C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destinationrules -o yaml</w:t>
            </w:r>
          </w:p>
          <w:p w14:paraId="568A274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samples/bookinfo/networking/bookinfo-gateway.yaml</w:t>
            </w:r>
          </w:p>
          <w:p w14:paraId="3A253BF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gateway</w:t>
            </w:r>
          </w:p>
          <w:p w14:paraId="03CB455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virtualservice</w:t>
            </w:r>
          </w:p>
          <w:p w14:paraId="296A5A96">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svc -n istio-system</w:t>
            </w:r>
          </w:p>
        </w:tc>
      </w:tr>
    </w:tbl>
    <w:p w14:paraId="167A440B">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3888387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5C77CB20">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4：WSL、kind场景访问方式</w:t>
            </w:r>
          </w:p>
        </w:tc>
      </w:tr>
      <w:tr w14:paraId="3D6744D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1A98C70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port-forward svc/istio-ingressgateway -n istio-system 8080:80</w:t>
            </w:r>
          </w:p>
          <w:p w14:paraId="485765F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浏览器访问：http://localhost:8080/productpage</w:t>
            </w:r>
          </w:p>
        </w:tc>
      </w:tr>
    </w:tbl>
    <w:p w14:paraId="21A5FD70">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7BF6DED1">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6C397CF8">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cs="Times New Roman"/>
                <w:sz w:val="24"/>
                <w:szCs w:val="24"/>
                <w:vertAlign w:val="baseline"/>
                <w:lang w:val="en-US" w:eastAsia="zh-CN"/>
              </w:rPr>
              <w:t>5</w:t>
            </w:r>
            <w:r>
              <w:rPr>
                <w:rFonts w:hint="eastAsia" w:ascii="Times New Roman" w:hAnsi="Times New Roman" w:cs="Times New Roman"/>
                <w:sz w:val="24"/>
                <w:szCs w:val="24"/>
                <w:vertAlign w:val="baseline"/>
                <w:lang w:val="en-US" w:eastAsia="zh-CN"/>
              </w:rPr>
              <w:t>：Request Routing请求路由</w:t>
            </w:r>
          </w:p>
        </w:tc>
      </w:tr>
      <w:tr w14:paraId="66D1641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4C3F0F0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samples/bookinfo/networking/virtual-service-all-v1.yaml</w:t>
            </w:r>
          </w:p>
          <w:p w14:paraId="07B12AC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virtualservices -o yaml</w:t>
            </w:r>
          </w:p>
          <w:p w14:paraId="2D1BE0B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destinationrules -o yaml</w:t>
            </w:r>
          </w:p>
          <w:p w14:paraId="51D1822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samples/bookinfo/networking/virtual-service-reviews-test-v2.yaml</w:t>
            </w:r>
          </w:p>
          <w:p w14:paraId="6F12F40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virtualservice reviews -o yaml</w:t>
            </w:r>
          </w:p>
          <w:p w14:paraId="531DA91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samples/bookinfo/networking/virtual-service-reviews-50-v3.yaml</w:t>
            </w:r>
          </w:p>
          <w:p w14:paraId="0F823DC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virtualservice reviews -o yaml</w:t>
            </w:r>
          </w:p>
          <w:p w14:paraId="59F1944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samples/bookinfo/networking/virtual-service-reviews-v3.yaml</w:t>
            </w:r>
          </w:p>
          <w:p w14:paraId="06C968C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virtualservice reviews -o yaml</w:t>
            </w:r>
          </w:p>
        </w:tc>
      </w:tr>
    </w:tbl>
    <w:p w14:paraId="6E71435F">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373E6DC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57FED241">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cs="Times New Roman"/>
                <w:sz w:val="24"/>
                <w:szCs w:val="24"/>
                <w:vertAlign w:val="baseline"/>
                <w:lang w:val="en-US" w:eastAsia="zh-CN"/>
              </w:rPr>
              <w:t>6</w:t>
            </w:r>
            <w:r>
              <w:rPr>
                <w:rFonts w:hint="eastAsia" w:ascii="Times New Roman" w:hAnsi="Times New Roman" w:cs="Times New Roman"/>
                <w:sz w:val="24"/>
                <w:szCs w:val="24"/>
                <w:vertAlign w:val="baseline"/>
                <w:lang w:val="en-US" w:eastAsia="zh-CN"/>
              </w:rPr>
              <w:t>：Fault Injection故障注入</w:t>
            </w:r>
          </w:p>
        </w:tc>
      </w:tr>
      <w:tr w14:paraId="28EA7B0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0901FCA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samples/bookinfo/networking/virtual-service-all-v1.yaml</w:t>
            </w:r>
          </w:p>
          <w:p w14:paraId="5BFB6FF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samples/bookinfo/networking/virtual-service-reviews-test-v2.yaml</w:t>
            </w:r>
          </w:p>
          <w:p w14:paraId="14A5170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virtualservice reviews -o yaml</w:t>
            </w:r>
          </w:p>
          <w:p w14:paraId="05055AD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samples/bookinfo/networking/virtual-service-ratings-test-delay.yaml</w:t>
            </w:r>
          </w:p>
          <w:p w14:paraId="324675F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virtualservice ratings -o yaml</w:t>
            </w:r>
          </w:p>
          <w:p w14:paraId="35B4194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samples/bookinfo/networking/virtual-service-ratings-test-abort.yaml</w:t>
            </w:r>
          </w:p>
          <w:p w14:paraId="1E863133">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virtualservice ratings -o yaml</w:t>
            </w:r>
          </w:p>
        </w:tc>
      </w:tr>
    </w:tbl>
    <w:p w14:paraId="48597647">
      <w:pPr>
        <w:numPr>
          <w:ilvl w:val="0"/>
          <w:numId w:val="0"/>
        </w:numPr>
        <w:autoSpaceDE w:val="0"/>
        <w:autoSpaceDN w:val="0"/>
        <w:adjustRightInd w:val="0"/>
        <w:spacing w:line="300" w:lineRule="auto"/>
        <w:jc w:val="left"/>
        <w:rPr>
          <w:rFonts w:hint="default" w:ascii="Times New Roman" w:eastAsia="宋体"/>
          <w:b/>
          <w:bCs/>
          <w:sz w:val="28"/>
          <w:lang w:val="en-US" w:eastAsia="zh-CN"/>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35B4A85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41E7DE8C">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cs="Times New Roman"/>
                <w:sz w:val="24"/>
                <w:szCs w:val="24"/>
                <w:vertAlign w:val="baseline"/>
                <w:lang w:val="en-US" w:eastAsia="zh-CN"/>
              </w:rPr>
              <w:t>7</w:t>
            </w:r>
            <w:r>
              <w:rPr>
                <w:rFonts w:hint="eastAsia" w:ascii="Times New Roman" w:hAnsi="Times New Roman" w:cs="Times New Roman"/>
                <w:sz w:val="24"/>
                <w:szCs w:val="24"/>
                <w:vertAlign w:val="baseline"/>
                <w:lang w:val="en-US" w:eastAsia="zh-CN"/>
              </w:rPr>
              <w:t>：Circuit Breaking熔断</w:t>
            </w:r>
          </w:p>
        </w:tc>
      </w:tr>
      <w:tr w14:paraId="6E0E2C1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2F45663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samples/httpbin/httpbin.yaml</w:t>
            </w:r>
          </w:p>
          <w:p w14:paraId="33E1A5C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pods -l app=httpbin</w:t>
            </w:r>
          </w:p>
          <w:p w14:paraId="368156A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svc httpbin</w:t>
            </w:r>
          </w:p>
          <w:p w14:paraId="2B4743B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apply -f samples/httpbin/sample-client/fortio-deploy.yaml</w:t>
            </w:r>
          </w:p>
          <w:p w14:paraId="686CDE9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get pods -l app=fortio</w:t>
            </w:r>
          </w:p>
          <w:p w14:paraId="2878E79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export FORTIO_POD=$(kubectl get pods -l app=fortio -o 'jsonpath={.items[0].metadata.name}')</w:t>
            </w:r>
          </w:p>
          <w:p w14:paraId="0BF83DE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exec "$FORTIO_POD" -c fortio -- /usr/bin/fortio curl -quiet http://httpbin:8000/get</w:t>
            </w:r>
          </w:p>
          <w:p w14:paraId="0D2CF49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exec "$FORTIO_POD" -c fortio -- /usr/bin/fortio load -c 2 -qps 0 -n 20 -loglevel Warning http://httpbin:8000/get</w:t>
            </w:r>
          </w:p>
          <w:p w14:paraId="7F079EF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kubectl exec "$FORTIO_POD" -c fortio -- /usr/bin/fortio load -c 3 -qps 0 -n 30 -loglevel Warning </w:t>
            </w:r>
            <w:r>
              <w:rPr>
                <w:rFonts w:hint="eastAsia"/>
                <w:sz w:val="28"/>
                <w:vertAlign w:val="baseline"/>
              </w:rPr>
              <w:fldChar w:fldCharType="begin"/>
            </w:r>
            <w:r>
              <w:rPr>
                <w:rFonts w:hint="eastAsia"/>
                <w:sz w:val="28"/>
                <w:vertAlign w:val="baseline"/>
              </w:rPr>
              <w:instrText xml:space="preserve"> HYPERLINK "http://httpbin:8000/get" </w:instrText>
            </w:r>
            <w:r>
              <w:rPr>
                <w:rFonts w:hint="eastAsia"/>
                <w:sz w:val="28"/>
                <w:vertAlign w:val="baseline"/>
              </w:rPr>
              <w:fldChar w:fldCharType="separate"/>
            </w:r>
            <w:r>
              <w:rPr>
                <w:rFonts w:hint="eastAsia"/>
                <w:sz w:val="28"/>
                <w:vertAlign w:val="baseline"/>
              </w:rPr>
              <w:t>http://httpbin:8000/get</w:t>
            </w:r>
            <w:r>
              <w:rPr>
                <w:rFonts w:hint="eastAsia"/>
                <w:sz w:val="28"/>
                <w:vertAlign w:val="baseline"/>
              </w:rPr>
              <w:fldChar w:fldCharType="end"/>
            </w:r>
          </w:p>
          <w:p w14:paraId="2E959DB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kubectl exec "$FORTIO_POD" -c istio-proxy -- pilot-agent request GET stats | grep httpbin | grep pending</w:t>
            </w:r>
          </w:p>
        </w:tc>
      </w:tr>
    </w:tbl>
    <w:p w14:paraId="4CBF8AD4">
      <w:pPr>
        <w:numPr>
          <w:ilvl w:val="0"/>
          <w:numId w:val="0"/>
        </w:numPr>
        <w:autoSpaceDE w:val="0"/>
        <w:autoSpaceDN w:val="0"/>
        <w:adjustRightInd w:val="0"/>
        <w:spacing w:line="300" w:lineRule="auto"/>
        <w:jc w:val="left"/>
        <w:rPr>
          <w:rFonts w:hint="default" w:ascii="Times New Roman" w:eastAsia="宋体"/>
          <w:b/>
          <w:bCs/>
          <w:sz w:val="28"/>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1DA5"/>
    <w:multiLevelType w:val="singleLevel"/>
    <w:tmpl w:val="9FBA1DA5"/>
    <w:lvl w:ilvl="0" w:tentative="0">
      <w:start w:val="3"/>
      <w:numFmt w:val="chineseCounting"/>
      <w:suff w:val="nothing"/>
      <w:lvlText w:val="%1、"/>
      <w:lvlJc w:val="left"/>
      <w:rPr>
        <w:rFonts w:hint="eastAsia"/>
      </w:rPr>
    </w:lvl>
  </w:abstractNum>
  <w:abstractNum w:abstractNumId="1">
    <w:nsid w:val="FAB4AE5E"/>
    <w:multiLevelType w:val="singleLevel"/>
    <w:tmpl w:val="FAB4AE5E"/>
    <w:lvl w:ilvl="0" w:tentative="0">
      <w:start w:val="2"/>
      <w:numFmt w:val="chineseCounting"/>
      <w:suff w:val="nothing"/>
      <w:lvlText w:val="%1、"/>
      <w:lvlJc w:val="left"/>
      <w:rPr>
        <w:rFonts w:hint="eastAsia"/>
      </w:rPr>
    </w:lvl>
  </w:abstractNum>
  <w:abstractNum w:abstractNumId="2">
    <w:nsid w:val="FD5FCBD1"/>
    <w:multiLevelType w:val="singleLevel"/>
    <w:tmpl w:val="FD5FCBD1"/>
    <w:lvl w:ilvl="0" w:tentative="0">
      <w:start w:val="1"/>
      <w:numFmt w:val="decimal"/>
      <w:lvlText w:val="(%1)"/>
      <w:lvlJc w:val="left"/>
      <w:pPr>
        <w:ind w:left="425" w:hanging="425"/>
      </w:pPr>
      <w:rPr>
        <w:rFonts w:hint="default"/>
      </w:rPr>
    </w:lvl>
  </w:abstractNum>
  <w:abstractNum w:abstractNumId="3">
    <w:nsid w:val="5BEB0DCD"/>
    <w:multiLevelType w:val="singleLevel"/>
    <w:tmpl w:val="5BEB0DCD"/>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38ABC"/>
    <w:rsid w:val="00002352"/>
    <w:rsid w:val="00006D73"/>
    <w:rsid w:val="00022D34"/>
    <w:rsid w:val="0007075C"/>
    <w:rsid w:val="00073CF1"/>
    <w:rsid w:val="00080767"/>
    <w:rsid w:val="00080E9F"/>
    <w:rsid w:val="00094F22"/>
    <w:rsid w:val="00097395"/>
    <w:rsid w:val="001141DD"/>
    <w:rsid w:val="00135410"/>
    <w:rsid w:val="00156FBD"/>
    <w:rsid w:val="001C7634"/>
    <w:rsid w:val="002108B1"/>
    <w:rsid w:val="0023056B"/>
    <w:rsid w:val="00247BC7"/>
    <w:rsid w:val="00274E15"/>
    <w:rsid w:val="00291CEF"/>
    <w:rsid w:val="002974CA"/>
    <w:rsid w:val="002A3E19"/>
    <w:rsid w:val="002C5A6A"/>
    <w:rsid w:val="002D634B"/>
    <w:rsid w:val="002F376E"/>
    <w:rsid w:val="00373199"/>
    <w:rsid w:val="00396D7C"/>
    <w:rsid w:val="003A58C6"/>
    <w:rsid w:val="003D2396"/>
    <w:rsid w:val="00404A01"/>
    <w:rsid w:val="00426C69"/>
    <w:rsid w:val="0045606C"/>
    <w:rsid w:val="004704CF"/>
    <w:rsid w:val="00485F00"/>
    <w:rsid w:val="00496887"/>
    <w:rsid w:val="004E6309"/>
    <w:rsid w:val="004E70C6"/>
    <w:rsid w:val="005062C6"/>
    <w:rsid w:val="0056706B"/>
    <w:rsid w:val="00587E88"/>
    <w:rsid w:val="005A2A32"/>
    <w:rsid w:val="005A6540"/>
    <w:rsid w:val="005A6DEF"/>
    <w:rsid w:val="005D7931"/>
    <w:rsid w:val="005E6E6D"/>
    <w:rsid w:val="005F49C1"/>
    <w:rsid w:val="005F5282"/>
    <w:rsid w:val="00637398"/>
    <w:rsid w:val="00656474"/>
    <w:rsid w:val="00683CB7"/>
    <w:rsid w:val="00690212"/>
    <w:rsid w:val="006B0465"/>
    <w:rsid w:val="006E2014"/>
    <w:rsid w:val="006E4E01"/>
    <w:rsid w:val="00700686"/>
    <w:rsid w:val="00712DFA"/>
    <w:rsid w:val="00713CAC"/>
    <w:rsid w:val="00724ACE"/>
    <w:rsid w:val="00730340"/>
    <w:rsid w:val="007A13C3"/>
    <w:rsid w:val="00867A6F"/>
    <w:rsid w:val="008919A7"/>
    <w:rsid w:val="00894BCB"/>
    <w:rsid w:val="008F2D05"/>
    <w:rsid w:val="00912D51"/>
    <w:rsid w:val="00980816"/>
    <w:rsid w:val="009A68F7"/>
    <w:rsid w:val="009D041F"/>
    <w:rsid w:val="009D0D0E"/>
    <w:rsid w:val="00A11A0A"/>
    <w:rsid w:val="00A2758F"/>
    <w:rsid w:val="00A33556"/>
    <w:rsid w:val="00A44CC0"/>
    <w:rsid w:val="00A67ECB"/>
    <w:rsid w:val="00A90B2F"/>
    <w:rsid w:val="00A934C2"/>
    <w:rsid w:val="00B36BA3"/>
    <w:rsid w:val="00B4413D"/>
    <w:rsid w:val="00B87EB0"/>
    <w:rsid w:val="00BE5B05"/>
    <w:rsid w:val="00C150F9"/>
    <w:rsid w:val="00C2378D"/>
    <w:rsid w:val="00CC0FFF"/>
    <w:rsid w:val="00D4279E"/>
    <w:rsid w:val="00D661DF"/>
    <w:rsid w:val="00DE4CCC"/>
    <w:rsid w:val="00DF7E04"/>
    <w:rsid w:val="00E008EB"/>
    <w:rsid w:val="00E3768B"/>
    <w:rsid w:val="00E65CBA"/>
    <w:rsid w:val="00E91E10"/>
    <w:rsid w:val="00EB22FA"/>
    <w:rsid w:val="00EF0E44"/>
    <w:rsid w:val="00F126DB"/>
    <w:rsid w:val="00F14B9F"/>
    <w:rsid w:val="00F84070"/>
    <w:rsid w:val="00F84A67"/>
    <w:rsid w:val="00FF30CE"/>
    <w:rsid w:val="00FF3405"/>
    <w:rsid w:val="073477C5"/>
    <w:rsid w:val="0F5600DD"/>
    <w:rsid w:val="10C52736"/>
    <w:rsid w:val="145C66D9"/>
    <w:rsid w:val="17A565E8"/>
    <w:rsid w:val="1AB16453"/>
    <w:rsid w:val="1B0E083C"/>
    <w:rsid w:val="1C180F75"/>
    <w:rsid w:val="20B93F92"/>
    <w:rsid w:val="28A056CD"/>
    <w:rsid w:val="28FE0406"/>
    <w:rsid w:val="30CA37A4"/>
    <w:rsid w:val="311F619F"/>
    <w:rsid w:val="33684F28"/>
    <w:rsid w:val="33730E1C"/>
    <w:rsid w:val="35FC1D42"/>
    <w:rsid w:val="36E0137F"/>
    <w:rsid w:val="3DCA3D01"/>
    <w:rsid w:val="3FE66657"/>
    <w:rsid w:val="4069476C"/>
    <w:rsid w:val="40921320"/>
    <w:rsid w:val="45BF4DF6"/>
    <w:rsid w:val="45D45A3F"/>
    <w:rsid w:val="51BC6BCC"/>
    <w:rsid w:val="55000F39"/>
    <w:rsid w:val="5B8F292E"/>
    <w:rsid w:val="5F9A19CF"/>
    <w:rsid w:val="65124163"/>
    <w:rsid w:val="67381B1B"/>
    <w:rsid w:val="67490067"/>
    <w:rsid w:val="74EA1EF7"/>
    <w:rsid w:val="77F38ABC"/>
    <w:rsid w:val="79013A79"/>
    <w:rsid w:val="79AC0634"/>
    <w:rsid w:val="7A420984"/>
    <w:rsid w:val="7FAB60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11">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22"/>
    <w:qFormat/>
    <w:uiPriority w:val="0"/>
    <w:rPr>
      <w:sz w:val="18"/>
      <w:szCs w:val="18"/>
    </w:rPr>
  </w:style>
  <w:style w:type="paragraph" w:styleId="5">
    <w:name w:val="footer"/>
    <w:basedOn w:val="1"/>
    <w:link w:val="18"/>
    <w:qFormat/>
    <w:uiPriority w:val="0"/>
    <w:pPr>
      <w:tabs>
        <w:tab w:val="center" w:pos="4153"/>
        <w:tab w:val="right" w:pos="8306"/>
      </w:tabs>
      <w:snapToGrid w:val="0"/>
      <w:jc w:val="left"/>
    </w:pPr>
    <w:rPr>
      <w:sz w:val="18"/>
      <w:szCs w:val="18"/>
    </w:rPr>
  </w:style>
  <w:style w:type="paragraph" w:styleId="6">
    <w:name w:val="header"/>
    <w:basedOn w:val="1"/>
    <w:link w:val="17"/>
    <w:qFormat/>
    <w:uiPriority w:val="0"/>
    <w:pPr>
      <w:pBdr>
        <w:bottom w:val="single" w:color="auto" w:sz="6" w:space="1"/>
      </w:pBdr>
      <w:tabs>
        <w:tab w:val="center" w:pos="4153"/>
        <w:tab w:val="right" w:pos="8306"/>
      </w:tabs>
      <w:snapToGrid w:val="0"/>
      <w:jc w:val="center"/>
    </w:pPr>
    <w:rPr>
      <w:sz w:val="18"/>
      <w:szCs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 w:type="character" w:styleId="13">
    <w:name w:val="FollowedHyperlink"/>
    <w:basedOn w:val="11"/>
    <w:qFormat/>
    <w:uiPriority w:val="0"/>
    <w:rPr>
      <w:color w:val="954F72" w:themeColor="followedHyperlink"/>
      <w:u w:val="single"/>
      <w14:textFill>
        <w14:solidFill>
          <w14:schemeClr w14:val="folHlink"/>
        </w14:solidFill>
      </w14:textFill>
    </w:rPr>
  </w:style>
  <w:style w:type="character" w:styleId="14">
    <w:name w:val="Emphasis"/>
    <w:basedOn w:val="11"/>
    <w:qFormat/>
    <w:uiPriority w:val="0"/>
    <w:rPr>
      <w:i/>
    </w:rPr>
  </w:style>
  <w:style w:type="character" w:styleId="15">
    <w:name w:val="Hyperlink"/>
    <w:basedOn w:val="11"/>
    <w:qFormat/>
    <w:uiPriority w:val="0"/>
    <w:rPr>
      <w:color w:val="0563C1" w:themeColor="hyperlink"/>
      <w:u w:val="single"/>
      <w14:textFill>
        <w14:solidFill>
          <w14:schemeClr w14:val="hlink"/>
        </w14:solidFill>
      </w14:textFill>
    </w:rPr>
  </w:style>
  <w:style w:type="character" w:styleId="16">
    <w:name w:val="HTML Code"/>
    <w:basedOn w:val="11"/>
    <w:qFormat/>
    <w:uiPriority w:val="0"/>
    <w:rPr>
      <w:rFonts w:ascii="Courier New" w:hAnsi="Courier New"/>
      <w:sz w:val="20"/>
    </w:rPr>
  </w:style>
  <w:style w:type="character" w:customStyle="1" w:styleId="17">
    <w:name w:val="页眉 字符"/>
    <w:basedOn w:val="11"/>
    <w:link w:val="6"/>
    <w:qFormat/>
    <w:uiPriority w:val="0"/>
    <w:rPr>
      <w:kern w:val="2"/>
      <w:sz w:val="18"/>
      <w:szCs w:val="18"/>
    </w:rPr>
  </w:style>
  <w:style w:type="character" w:customStyle="1" w:styleId="18">
    <w:name w:val="页脚 字符"/>
    <w:basedOn w:val="11"/>
    <w:link w:val="5"/>
    <w:qFormat/>
    <w:uiPriority w:val="0"/>
    <w:rPr>
      <w:kern w:val="2"/>
      <w:sz w:val="18"/>
      <w:szCs w:val="18"/>
    </w:rPr>
  </w:style>
  <w:style w:type="paragraph" w:customStyle="1" w:styleId="19">
    <w:name w:val="reader-word-layer reader-word-s1-21"/>
    <w:basedOn w:val="1"/>
    <w:qFormat/>
    <w:uiPriority w:val="0"/>
    <w:pPr>
      <w:widowControl/>
      <w:spacing w:before="100" w:beforeAutospacing="1" w:after="100" w:afterAutospacing="1"/>
      <w:jc w:val="left"/>
    </w:pPr>
    <w:rPr>
      <w:rFonts w:ascii="宋体" w:hAnsi="宋体" w:cs="宋体"/>
      <w:kern w:val="0"/>
      <w:sz w:val="24"/>
    </w:rPr>
  </w:style>
  <w:style w:type="paragraph" w:customStyle="1" w:styleId="20">
    <w:name w:val="reader-word-layer reader-word-s1-30"/>
    <w:basedOn w:val="1"/>
    <w:qFormat/>
    <w:uiPriority w:val="0"/>
    <w:pPr>
      <w:widowControl/>
      <w:spacing w:before="100" w:beforeAutospacing="1" w:after="100" w:afterAutospacing="1"/>
      <w:jc w:val="left"/>
    </w:pPr>
    <w:rPr>
      <w:rFonts w:ascii="宋体" w:hAnsi="宋体" w:cs="宋体"/>
      <w:kern w:val="0"/>
      <w:sz w:val="24"/>
    </w:rPr>
  </w:style>
  <w:style w:type="paragraph" w:styleId="21">
    <w:name w:val="List Paragraph"/>
    <w:basedOn w:val="1"/>
    <w:qFormat/>
    <w:uiPriority w:val="99"/>
    <w:pPr>
      <w:ind w:firstLine="420" w:firstLineChars="200"/>
    </w:pPr>
  </w:style>
  <w:style w:type="character" w:customStyle="1" w:styleId="22">
    <w:name w:val="批注框文本 字符"/>
    <w:basedOn w:val="11"/>
    <w:link w:val="4"/>
    <w:qFormat/>
    <w:uiPriority w:val="0"/>
    <w:rPr>
      <w:kern w:val="2"/>
      <w:sz w:val="18"/>
      <w:szCs w:val="18"/>
    </w:rPr>
  </w:style>
  <w:style w:type="character" w:customStyle="1" w:styleId="2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1695</Words>
  <Characters>10593</Characters>
  <Lines>11</Lines>
  <Paragraphs>3</Paragraphs>
  <TotalTime>8</TotalTime>
  <ScaleCrop>false</ScaleCrop>
  <LinksUpToDate>false</LinksUpToDate>
  <CharactersWithSpaces>12191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2021-03-31T00:57:00Z</dcterms:created>
  <dc:creator>apple</dc:creator>
  <cp:lastModifiedBy>nxdxwj</cp:lastModifiedBy>
  <dcterms:modified xsi:type="dcterms:W3CDTF">2026-04-30T02:25:49Z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eyJoZGlkIjoiNzk0Y2Y4YjczMzE0ZmMwNDllZTRlNTAwYTQzZGZiMzEiLCJ1c2VySWQiOiIxNTA5NDIxMjYxIn0=</vt:lpwstr>
  </property>
  <property fmtid="{D5CDD505-2E9C-101B-9397-08002B2CF9AE}" pid="4" name="ICV">
    <vt:lpwstr>7254019B42A54E3E99188D508A4298F8_12</vt:lpwstr>
  </property>
</Properties>
</file>