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E1784AE">
      <w:pPr>
        <w:jc w:val="center"/>
        <w:rPr>
          <w:rFonts w:hint="default" w:ascii="Times New Roman" w:hAnsi="Times New Roman" w:eastAsia="黑体" w:cs="Times New Roman"/>
          <w:sz w:val="44"/>
          <w:szCs w:val="44"/>
        </w:rPr>
      </w:pPr>
      <w:r>
        <w:rPr>
          <w:rFonts w:hint="default" w:ascii="Times New Roman" w:hAnsi="Times New Roman" w:eastAsia="黑体" w:cs="Times New Roman"/>
          <w:sz w:val="44"/>
          <w:szCs w:val="44"/>
        </w:rPr>
        <w:t xml:space="preserve">  Laboratory report of Nanjing University of Information Science and Technology</w:t>
      </w:r>
    </w:p>
    <w:p w14:paraId="2749EC24">
      <w:pPr>
        <w:jc w:val="center"/>
        <w:rPr>
          <w:rFonts w:hint="default" w:ascii="Times New Roman" w:hAnsi="Times New Roman" w:eastAsia="黑体" w:cs="Times New Roman"/>
          <w:sz w:val="44"/>
          <w:szCs w:val="44"/>
        </w:rPr>
      </w:pPr>
    </w:p>
    <w:p w14:paraId="00178264">
      <w:pPr>
        <w:jc w:val="center"/>
        <w:rPr>
          <w:rFonts w:hint="default" w:ascii="Times New Roman" w:hAnsi="Times New Roman" w:cs="Times New Roman"/>
          <w:szCs w:val="21"/>
          <w:u w:val="single"/>
        </w:rPr>
      </w:pPr>
      <w:r>
        <w:rPr>
          <w:rFonts w:hint="default" w:ascii="Times New Roman" w:hAnsi="Times New Roman" w:cs="Times New Roman"/>
          <w:szCs w:val="21"/>
        </w:rPr>
        <w:t xml:space="preserve">Experiment Title </w:t>
      </w:r>
      <w:r>
        <w:rPr>
          <w:rFonts w:hint="default" w:ascii="Times New Roman" w:hAnsi="Times New Roman" w:cs="Times New Roman"/>
          <w:szCs w:val="21"/>
          <w:u w:val="single"/>
        </w:rPr>
        <w:t xml:space="preserve"> </w:t>
      </w:r>
      <w:r>
        <w:rPr>
          <w:rFonts w:hint="eastAsia" w:cs="Times New Roman"/>
          <w:szCs w:val="21"/>
          <w:u w:val="single"/>
          <w:lang w:val="en-US" w:eastAsia="zh-CN"/>
        </w:rPr>
        <w:t>Cloud Computing</w:t>
      </w:r>
    </w:p>
    <w:p w14:paraId="59F4EE41">
      <w:pPr>
        <w:jc w:val="center"/>
        <w:rPr>
          <w:rFonts w:hint="default" w:ascii="Times New Roman" w:hAnsi="Times New Roman" w:cs="Times New Roman"/>
          <w:szCs w:val="21"/>
        </w:rPr>
      </w:pPr>
      <w:r>
        <w:rPr>
          <w:rFonts w:hint="default" w:ascii="Times New Roman" w:hAnsi="Times New Roman" w:cs="Times New Roman"/>
          <w:szCs w:val="21"/>
        </w:rPr>
        <w:t>Data</w:t>
      </w:r>
      <w:r>
        <w:rPr>
          <w:rFonts w:hint="default" w:ascii="Times New Roman" w:hAnsi="Times New Roman" w:cs="Times New Roman"/>
          <w:szCs w:val="21"/>
          <w:u w:val="single"/>
        </w:rPr>
        <w:t xml:space="preserve">     </w:t>
      </w:r>
      <w:r>
        <w:rPr>
          <w:rFonts w:hint="eastAsia" w:cs="Times New Roman"/>
          <w:szCs w:val="21"/>
          <w:u w:val="single"/>
          <w:lang w:val="en-US" w:eastAsia="zh-CN"/>
        </w:rPr>
        <w:t>2026/4/16</w:t>
      </w:r>
      <w:r>
        <w:rPr>
          <w:rFonts w:hint="default" w:ascii="Times New Roman" w:hAnsi="Times New Roman" w:cs="Times New Roman"/>
          <w:szCs w:val="21"/>
          <w:u w:val="single"/>
        </w:rPr>
        <w:t xml:space="preserve">          </w:t>
      </w:r>
      <w:r>
        <w:rPr>
          <w:rFonts w:hint="default" w:ascii="Times New Roman" w:hAnsi="Times New Roman" w:cs="Times New Roman"/>
          <w:szCs w:val="21"/>
        </w:rPr>
        <w:t xml:space="preserve"> Class </w:t>
      </w:r>
      <w:r>
        <w:rPr>
          <w:rFonts w:hint="default" w:ascii="Times New Roman" w:hAnsi="Times New Roman" w:cs="Times New Roman"/>
          <w:szCs w:val="21"/>
          <w:u w:val="single"/>
        </w:rPr>
        <w:t xml:space="preserve">   </w:t>
      </w:r>
      <w:r>
        <w:rPr>
          <w:rFonts w:hint="eastAsia" w:cs="Times New Roman"/>
          <w:szCs w:val="21"/>
          <w:u w:val="single"/>
          <w:lang w:val="en-US" w:eastAsia="zh-CN"/>
        </w:rPr>
        <w:t>AI 1</w:t>
      </w:r>
      <w:r>
        <w:rPr>
          <w:rFonts w:hint="default" w:ascii="Times New Roman" w:hAnsi="Times New Roman" w:cs="Times New Roman"/>
          <w:szCs w:val="21"/>
          <w:u w:val="single"/>
        </w:rPr>
        <w:t xml:space="preserve">     </w:t>
      </w:r>
      <w:r>
        <w:rPr>
          <w:rFonts w:hint="default" w:ascii="Times New Roman" w:hAnsi="Times New Roman" w:cs="Times New Roman"/>
          <w:color w:val="FFFFFF" w:themeColor="background1"/>
          <w:szCs w:val="21"/>
          <w:u w:val="single"/>
          <w14:textFill>
            <w14:solidFill>
              <w14:schemeClr w14:val="bg1"/>
            </w14:solidFill>
          </w14:textFill>
        </w:rPr>
        <w:t>2</w:t>
      </w:r>
      <w:r>
        <w:rPr>
          <w:rFonts w:hint="default" w:ascii="Times New Roman" w:hAnsi="Times New Roman" w:cs="Times New Roman"/>
          <w:szCs w:val="21"/>
        </w:rPr>
        <w:t xml:space="preserve">     </w:t>
      </w:r>
      <w:r>
        <w:rPr>
          <w:rFonts w:hint="default" w:ascii="Times New Roman" w:hAnsi="Times New Roman" w:cs="Times New Roman"/>
          <w:szCs w:val="21"/>
          <w:u w:val="single"/>
        </w:rPr>
        <w:t xml:space="preserve"> </w:t>
      </w:r>
      <w:r>
        <w:rPr>
          <w:rFonts w:hint="default" w:ascii="Times New Roman" w:hAnsi="Times New Roman" w:cs="Times New Roman"/>
          <w:szCs w:val="21"/>
        </w:rPr>
        <w:t xml:space="preserve">  </w:t>
      </w:r>
      <w:r>
        <w:rPr>
          <w:rFonts w:hint="default" w:ascii="Times New Roman" w:hAnsi="Times New Roman" w:cs="Times New Roman"/>
          <w:szCs w:val="21"/>
          <w:u w:val="single"/>
        </w:rPr>
        <w:t xml:space="preserve">                         </w:t>
      </w:r>
      <w:r>
        <w:rPr>
          <w:rFonts w:hint="default" w:ascii="Times New Roman" w:hAnsi="Times New Roman" w:cs="Times New Roman"/>
          <w:szCs w:val="21"/>
        </w:rPr>
        <w:t>Name</w:t>
      </w:r>
      <w:r>
        <w:rPr>
          <w:rFonts w:hint="default" w:ascii="Times New Roman" w:hAnsi="Times New Roman" w:cs="Times New Roman"/>
          <w:szCs w:val="21"/>
          <w:u w:val="single"/>
        </w:rPr>
        <w:t xml:space="preserve">      </w:t>
      </w:r>
      <w:r>
        <w:rPr>
          <w:rFonts w:hint="eastAsia" w:cs="Times New Roman"/>
          <w:szCs w:val="21"/>
          <w:u w:val="single"/>
          <w:lang w:val="en-US" w:eastAsia="zh-CN"/>
        </w:rPr>
        <w:t>Weijie Xu</w:t>
      </w:r>
      <w:r>
        <w:rPr>
          <w:rFonts w:hint="default" w:ascii="Times New Roman" w:hAnsi="Times New Roman" w:cs="Times New Roman"/>
          <w:szCs w:val="21"/>
          <w:u w:val="single"/>
        </w:rPr>
        <w:t xml:space="preserve">       </w:t>
      </w:r>
      <w:r>
        <w:rPr>
          <w:rFonts w:hint="default" w:ascii="Times New Roman" w:hAnsi="Times New Roman" w:cs="Times New Roman"/>
          <w:szCs w:val="21"/>
        </w:rPr>
        <w:t>ID</w:t>
      </w:r>
      <w:r>
        <w:rPr>
          <w:rFonts w:hint="default" w:ascii="Times New Roman" w:hAnsi="Times New Roman" w:cs="Times New Roman"/>
          <w:szCs w:val="21"/>
          <w:u w:val="single"/>
        </w:rPr>
        <w:t xml:space="preserve">     </w:t>
      </w:r>
      <w:r>
        <w:rPr>
          <w:rFonts w:hint="eastAsia" w:cs="Times New Roman"/>
          <w:szCs w:val="21"/>
          <w:u w:val="single"/>
          <w:lang w:val="en-US" w:eastAsia="zh-CN"/>
        </w:rPr>
        <w:t>202383910029</w:t>
      </w:r>
      <w:r>
        <w:rPr>
          <w:rFonts w:hint="default" w:ascii="Times New Roman" w:hAnsi="Times New Roman" w:cs="Times New Roman"/>
          <w:szCs w:val="21"/>
          <w:u w:val="single"/>
        </w:rPr>
        <w:t xml:space="preserve">       </w:t>
      </w:r>
      <w:r>
        <w:rPr>
          <w:rFonts w:hint="default" w:ascii="Times New Roman" w:hAnsi="Times New Roman" w:cs="Times New Roman"/>
          <w:color w:val="FFFFFF" w:themeColor="background1"/>
          <w:szCs w:val="21"/>
          <w:u w:val="single"/>
          <w14:textFill>
            <w14:solidFill>
              <w14:schemeClr w14:val="bg1"/>
            </w14:solidFill>
          </w14:textFill>
        </w:rPr>
        <w:t>2</w:t>
      </w:r>
    </w:p>
    <w:p w14:paraId="246510E7">
      <w:pPr>
        <w:rPr>
          <w:rFonts w:hint="default" w:ascii="Times New Roman" w:hAnsi="Times New Roman" w:cs="Times New Roman"/>
        </w:rPr>
      </w:pPr>
      <w:r>
        <w:rPr>
          <w:rFonts w:hint="default" w:ascii="Times New Roman" w:hAnsi="Times New Roman" w:cs="Times New Roman"/>
        </w:rPr>
        <w:t xml:space="preserve"> </w:t>
      </w:r>
    </w:p>
    <w:p w14:paraId="544626DD">
      <w:pPr>
        <w:autoSpaceDE w:val="0"/>
        <w:autoSpaceDN w:val="0"/>
        <w:adjustRightInd w:val="0"/>
        <w:spacing w:line="300" w:lineRule="auto"/>
        <w:jc w:val="left"/>
        <w:rPr>
          <w:rFonts w:hint="default" w:ascii="Times New Roman" w:hAnsi="Times New Roman" w:eastAsia="黑体" w:cs="Times New Roman"/>
          <w:b/>
          <w:kern w:val="0"/>
          <w:sz w:val="28"/>
          <w:szCs w:val="28"/>
        </w:rPr>
      </w:pPr>
      <w:r>
        <w:rPr>
          <w:rFonts w:hint="default" w:ascii="Times New Roman" w:hAnsi="Times New Roman" w:eastAsia="黑体" w:cs="Times New Roman"/>
          <w:b/>
          <w:kern w:val="0"/>
          <w:sz w:val="28"/>
          <w:szCs w:val="28"/>
        </w:rPr>
        <w:t>一、Experimental purpose</w:t>
      </w:r>
    </w:p>
    <w:p w14:paraId="4BFD61AD">
      <w:pPr>
        <w:pStyle w:val="17"/>
        <w:numPr>
          <w:ilvl w:val="0"/>
          <w:numId w:val="1"/>
        </w:numPr>
        <w:shd w:val="clear" w:color="auto" w:fill="FFFFFF"/>
        <w:spacing w:before="0" w:beforeAutospacing="0" w:after="0" w:afterAutospacing="0"/>
        <w:ind w:left="425" w:leftChars="0" w:hanging="425" w:firstLineChars="0"/>
        <w:jc w:val="both"/>
        <w:rPr>
          <w:rFonts w:hint="default" w:ascii="Times New Roman" w:hAnsi="Times New Roman" w:cs="Times New Roman"/>
          <w:sz w:val="24"/>
          <w:szCs w:val="24"/>
          <w:lang w:val="en-US" w:eastAsia="zh-CN"/>
        </w:rPr>
      </w:pPr>
      <w:r>
        <w:rPr>
          <w:rFonts w:hint="eastAsia" w:ascii="Times New Roman" w:hAnsi="Times New Roman" w:cs="Times New Roman"/>
          <w:sz w:val="24"/>
          <w:szCs w:val="24"/>
          <w:lang w:val="en-US" w:eastAsia="zh-CN"/>
        </w:rPr>
        <w:t>To understand the fundamental architecture and workflow of Istio service mesh.This includes gaining insight into the overall structure of Istio, particularly the interaction between the control plane and the data plane, as well as how sidecar proxies enable transparent communication between services.</w:t>
      </w:r>
    </w:p>
    <w:p w14:paraId="7C11E263">
      <w:pPr>
        <w:pStyle w:val="17"/>
        <w:numPr>
          <w:ilvl w:val="0"/>
          <w:numId w:val="1"/>
        </w:numPr>
        <w:shd w:val="clear" w:color="auto" w:fill="FFFFFF"/>
        <w:spacing w:before="0" w:beforeAutospacing="0" w:after="0" w:afterAutospacing="0"/>
        <w:ind w:left="425" w:leftChars="0" w:hanging="425" w:firstLineChars="0"/>
        <w:jc w:val="both"/>
        <w:rPr>
          <w:rFonts w:hint="default" w:ascii="Times New Roman" w:hAnsi="Times New Roman" w:cs="Times New Roman"/>
          <w:sz w:val="24"/>
          <w:szCs w:val="24"/>
          <w:lang w:val="en-US" w:eastAsia="zh-CN"/>
        </w:rPr>
      </w:pPr>
      <w:r>
        <w:rPr>
          <w:rFonts w:hint="eastAsia" w:ascii="Times New Roman" w:hAnsi="Times New Roman" w:cs="Times New Roman"/>
          <w:sz w:val="24"/>
          <w:szCs w:val="24"/>
          <w:lang w:val="en-US" w:eastAsia="zh-CN"/>
        </w:rPr>
        <w:t>To learn the installation and configuration process of Istio in a Kubernetes cluster.This involves performing a complete deployment of Istio using standard tools such as istioctl, and configuring the cluster environment to support service mesh functionalities.</w:t>
      </w:r>
    </w:p>
    <w:p w14:paraId="32003333">
      <w:pPr>
        <w:pStyle w:val="17"/>
        <w:numPr>
          <w:ilvl w:val="0"/>
          <w:numId w:val="1"/>
        </w:numPr>
        <w:shd w:val="clear" w:color="auto" w:fill="FFFFFF"/>
        <w:spacing w:before="0" w:beforeAutospacing="0" w:after="0" w:afterAutospacing="0"/>
        <w:ind w:left="425" w:leftChars="0" w:hanging="425" w:firstLineChars="0"/>
        <w:jc w:val="both"/>
        <w:rPr>
          <w:rFonts w:hint="default" w:ascii="Times New Roman" w:hAnsi="Times New Roman" w:cs="Times New Roman"/>
          <w:sz w:val="24"/>
          <w:szCs w:val="24"/>
          <w:lang w:val="en-US" w:eastAsia="zh-CN"/>
        </w:rPr>
      </w:pPr>
      <w:r>
        <w:rPr>
          <w:rFonts w:hint="eastAsia" w:ascii="Times New Roman" w:hAnsi="Times New Roman" w:cs="Times New Roman"/>
          <w:sz w:val="24"/>
          <w:szCs w:val="24"/>
          <w:lang w:val="en-US" w:eastAsia="zh-CN"/>
        </w:rPr>
        <w:t>To explore automatic sidecar injection and its role in traffic interception.This step focuses on understanding how Istio automatically injects Envoy sidecar proxies into application pods, and how these proxies intercept all inbound and outbound traffic.</w:t>
      </w:r>
    </w:p>
    <w:p w14:paraId="3A07B8F8">
      <w:pPr>
        <w:pStyle w:val="17"/>
        <w:numPr>
          <w:ilvl w:val="0"/>
          <w:numId w:val="1"/>
        </w:numPr>
        <w:shd w:val="clear" w:color="auto" w:fill="FFFFFF"/>
        <w:spacing w:before="0" w:beforeAutospacing="0" w:after="0" w:afterAutospacing="0"/>
        <w:ind w:left="425" w:leftChars="0" w:hanging="425" w:firstLineChars="0"/>
        <w:jc w:val="both"/>
        <w:rPr>
          <w:rFonts w:hint="default" w:ascii="Times New Roman" w:hAnsi="Times New Roman" w:cs="Times New Roman"/>
          <w:sz w:val="24"/>
          <w:szCs w:val="24"/>
          <w:lang w:val="en-US" w:eastAsia="zh-CN"/>
        </w:rPr>
      </w:pPr>
      <w:r>
        <w:rPr>
          <w:rFonts w:hint="eastAsia" w:ascii="Times New Roman" w:hAnsi="Times New Roman" w:cs="Times New Roman"/>
          <w:sz w:val="24"/>
          <w:szCs w:val="24"/>
          <w:lang w:val="en-US" w:eastAsia="zh-CN"/>
        </w:rPr>
        <w:t>To verify internal service communication within a microservices architecture.The experiment examines how services communicate with each other inside the Kubernetes cluster under the control of Istio.</w:t>
      </w:r>
    </w:p>
    <w:p w14:paraId="2E30B4EA">
      <w:pPr>
        <w:pStyle w:val="17"/>
        <w:numPr>
          <w:ilvl w:val="0"/>
          <w:numId w:val="1"/>
        </w:numPr>
        <w:shd w:val="clear" w:color="auto" w:fill="FFFFFF"/>
        <w:spacing w:before="0" w:beforeAutospacing="0" w:after="0" w:afterAutospacing="0"/>
        <w:ind w:left="425" w:leftChars="0" w:hanging="425" w:firstLineChars="0"/>
        <w:jc w:val="both"/>
        <w:rPr>
          <w:rFonts w:hint="default" w:ascii="Times New Roman" w:hAnsi="Times New Roman" w:cs="Times New Roman"/>
          <w:sz w:val="24"/>
          <w:szCs w:val="24"/>
          <w:lang w:val="en-US" w:eastAsia="zh-CN"/>
        </w:rPr>
      </w:pPr>
      <w:r>
        <w:rPr>
          <w:rFonts w:hint="eastAsia" w:ascii="Times New Roman" w:hAnsi="Times New Roman" w:cs="Times New Roman"/>
          <w:sz w:val="24"/>
          <w:szCs w:val="24"/>
          <w:lang w:val="en-US" w:eastAsia="zh-CN"/>
        </w:rPr>
        <w:t>To implement external access using Kubernetes Gateway API. This part aims to configure and deploy a Gateway resource to expose internal services to external clients.</w:t>
      </w:r>
    </w:p>
    <w:p w14:paraId="32FCB86C">
      <w:pPr>
        <w:pStyle w:val="17"/>
        <w:numPr>
          <w:ilvl w:val="0"/>
          <w:numId w:val="1"/>
        </w:numPr>
        <w:shd w:val="clear" w:color="auto" w:fill="FFFFFF"/>
        <w:spacing w:before="0" w:beforeAutospacing="0" w:after="0" w:afterAutospacing="0"/>
        <w:ind w:left="425" w:leftChars="0" w:hanging="425" w:firstLineChars="0"/>
        <w:jc w:val="both"/>
        <w:rPr>
          <w:rFonts w:hint="default" w:ascii="Times New Roman" w:hAnsi="Times New Roman" w:cs="Times New Roman"/>
          <w:sz w:val="24"/>
          <w:szCs w:val="24"/>
        </w:rPr>
      </w:pPr>
      <w:r>
        <w:rPr>
          <w:rFonts w:hint="eastAsia" w:ascii="Times New Roman" w:hAnsi="Times New Roman" w:cs="Times New Roman"/>
          <w:sz w:val="24"/>
          <w:szCs w:val="24"/>
          <w:lang w:val="en-US" w:eastAsia="zh-CN"/>
        </w:rPr>
        <w:t>To observe and analyze service interactions using visualization tools such as Kiali. By generating traffic and inspecting the resulting service graph, this step focuses on analyzing real-time interactions between services.</w:t>
      </w:r>
    </w:p>
    <w:p w14:paraId="04BF4CAF">
      <w:pPr>
        <w:pStyle w:val="17"/>
        <w:numPr>
          <w:ilvl w:val="0"/>
          <w:numId w:val="2"/>
        </w:numPr>
        <w:shd w:val="clear" w:color="auto" w:fill="FFFFFF"/>
        <w:spacing w:before="0" w:beforeAutospacing="0" w:after="0" w:afterAutospacing="0"/>
        <w:rPr>
          <w:rFonts w:hint="default" w:ascii="Times New Roman" w:hAnsi="Times New Roman" w:eastAsia="黑体" w:cs="Times New Roman"/>
          <w:b/>
          <w:sz w:val="28"/>
          <w:szCs w:val="28"/>
        </w:rPr>
      </w:pPr>
      <w:r>
        <w:rPr>
          <w:rFonts w:hint="default" w:ascii="Times New Roman" w:hAnsi="Times New Roman" w:eastAsia="黑体" w:cs="Times New Roman"/>
          <w:b/>
          <w:sz w:val="28"/>
          <w:szCs w:val="28"/>
        </w:rPr>
        <w:t>Experiment</w:t>
      </w:r>
      <w:r>
        <w:rPr>
          <w:rFonts w:hint="eastAsia" w:ascii="Times New Roman" w:hAnsi="Times New Roman" w:eastAsia="黑体" w:cs="Times New Roman"/>
          <w:b/>
          <w:sz w:val="28"/>
          <w:szCs w:val="28"/>
          <w:lang w:val="en-US" w:eastAsia="zh-CN"/>
        </w:rPr>
        <w:t>al</w:t>
      </w:r>
      <w:r>
        <w:rPr>
          <w:rFonts w:hint="default" w:ascii="Times New Roman" w:hAnsi="Times New Roman" w:eastAsia="黑体" w:cs="Times New Roman"/>
          <w:b/>
          <w:sz w:val="28"/>
          <w:szCs w:val="28"/>
        </w:rPr>
        <w:t xml:space="preserve"> Contents</w:t>
      </w:r>
    </w:p>
    <w:p w14:paraId="36740535">
      <w:pPr>
        <w:pStyle w:val="17"/>
        <w:numPr>
          <w:ilvl w:val="0"/>
          <w:numId w:val="3"/>
        </w:numPr>
        <w:shd w:val="clear" w:color="auto" w:fill="FFFFFF"/>
        <w:spacing w:before="0" w:beforeAutospacing="0" w:after="0" w:afterAutospacing="0"/>
        <w:ind w:left="0" w:leftChars="0" w:firstLine="0" w:firstLineChars="0"/>
        <w:jc w:val="both"/>
        <w:rPr>
          <w:rFonts w:hint="default" w:ascii="Times New Roman" w:hAnsi="Times New Roman" w:eastAsia="黑体" w:cs="Times New Roman"/>
          <w:b/>
          <w:kern w:val="0"/>
          <w:sz w:val="24"/>
          <w:szCs w:val="24"/>
        </w:rPr>
      </w:pPr>
      <w:r>
        <w:rPr>
          <w:rFonts w:hint="default" w:ascii="Times New Roman" w:hAnsi="Times New Roman" w:eastAsia="黑体" w:cs="Times New Roman"/>
          <w:b/>
          <w:kern w:val="0"/>
          <w:sz w:val="24"/>
          <w:szCs w:val="24"/>
        </w:rPr>
        <w:t>Environment preparation and Kubernetes cluster verification</w:t>
      </w:r>
    </w:p>
    <w:p w14:paraId="613331F9">
      <w:pPr>
        <w:pStyle w:val="17"/>
        <w:widowControl/>
        <w:numPr>
          <w:ilvl w:val="0"/>
          <w:numId w:val="0"/>
        </w:numPr>
        <w:shd w:val="clear" w:color="auto" w:fill="FFFFFF"/>
        <w:spacing w:before="0" w:beforeAutospacing="0" w:after="0" w:afterAutospacing="0"/>
        <w:jc w:val="both"/>
        <w:rPr>
          <w:rFonts w:hint="default" w:ascii="Times New Roman" w:hAnsi="Times New Roman" w:eastAsia="黑体" w:cs="Times New Roman"/>
          <w:b w:val="0"/>
          <w:bCs/>
          <w:kern w:val="0"/>
          <w:sz w:val="24"/>
          <w:szCs w:val="24"/>
        </w:rPr>
      </w:pPr>
      <w:r>
        <w:rPr>
          <w:rFonts w:hint="default" w:ascii="Times New Roman" w:hAnsi="Times New Roman" w:eastAsia="黑体" w:cs="Times New Roman"/>
          <w:b w:val="0"/>
          <w:bCs/>
          <w:kern w:val="0"/>
          <w:sz w:val="24"/>
          <w:szCs w:val="24"/>
        </w:rPr>
        <w:t>The experiment began with preparing the runtime environment and ensuring that a functional Kubernetes cluster was available. Basic commands such as kubectl cluster-info and kubectl get nodes were executed to verify cluster status, node availability, and network connectivity, providing a stable foundation for subsequent deployment.</w:t>
      </w:r>
    </w:p>
    <w:p w14:paraId="1C75708F">
      <w:pPr>
        <w:pStyle w:val="17"/>
        <w:numPr>
          <w:ilvl w:val="0"/>
          <w:numId w:val="3"/>
        </w:numPr>
        <w:shd w:val="clear" w:color="auto" w:fill="FFFFFF"/>
        <w:spacing w:before="0" w:beforeAutospacing="0" w:after="0" w:afterAutospacing="0"/>
        <w:ind w:left="0" w:leftChars="0" w:firstLine="0" w:firstLineChars="0"/>
        <w:jc w:val="both"/>
        <w:rPr>
          <w:rFonts w:hint="default" w:ascii="Times New Roman" w:hAnsi="Times New Roman" w:eastAsia="黑体" w:cs="Times New Roman"/>
          <w:b/>
          <w:kern w:val="0"/>
          <w:sz w:val="24"/>
          <w:szCs w:val="24"/>
        </w:rPr>
      </w:pPr>
      <w:r>
        <w:rPr>
          <w:rFonts w:hint="default" w:ascii="Times New Roman" w:hAnsi="Times New Roman" w:eastAsia="黑体" w:cs="Times New Roman"/>
          <w:b/>
          <w:kern w:val="0"/>
          <w:sz w:val="24"/>
          <w:szCs w:val="24"/>
        </w:rPr>
        <w:t>Istio installation and initial configuration</w:t>
      </w:r>
    </w:p>
    <w:p w14:paraId="44F01A08">
      <w:pPr>
        <w:pStyle w:val="17"/>
        <w:widowControl/>
        <w:numPr>
          <w:ilvl w:val="0"/>
          <w:numId w:val="0"/>
        </w:numPr>
        <w:shd w:val="clear" w:color="auto" w:fill="FFFFFF"/>
        <w:spacing w:before="0" w:beforeAutospacing="0" w:after="0" w:afterAutospacing="0"/>
        <w:jc w:val="both"/>
        <w:rPr>
          <w:rFonts w:hint="default" w:ascii="Times New Roman" w:hAnsi="Times New Roman" w:eastAsia="黑体" w:cs="Times New Roman"/>
          <w:b w:val="0"/>
          <w:bCs/>
          <w:kern w:val="0"/>
          <w:sz w:val="24"/>
          <w:szCs w:val="24"/>
        </w:rPr>
      </w:pPr>
      <w:r>
        <w:rPr>
          <w:rFonts w:hint="default" w:ascii="Times New Roman" w:hAnsi="Times New Roman" w:eastAsia="黑体" w:cs="Times New Roman"/>
          <w:b w:val="0"/>
          <w:bCs/>
          <w:kern w:val="0"/>
          <w:sz w:val="24"/>
          <w:szCs w:val="24"/>
        </w:rPr>
        <w:t>Istio was installed using the istioctl tool with a predefined demo configuration profile. The installation process included setting up the control plane components and verifying their operational status. In addition, the system PATH was configured to ensure that Istio command-line tools could be accessed globally.</w:t>
      </w:r>
    </w:p>
    <w:p w14:paraId="00F23658">
      <w:pPr>
        <w:pStyle w:val="17"/>
        <w:numPr>
          <w:ilvl w:val="0"/>
          <w:numId w:val="3"/>
        </w:numPr>
        <w:shd w:val="clear" w:color="auto" w:fill="FFFFFF"/>
        <w:spacing w:before="0" w:beforeAutospacing="0" w:after="0" w:afterAutospacing="0"/>
        <w:ind w:left="0" w:leftChars="0" w:firstLine="0" w:firstLineChars="0"/>
        <w:jc w:val="both"/>
        <w:rPr>
          <w:rFonts w:hint="default" w:ascii="Times New Roman" w:hAnsi="Times New Roman" w:eastAsia="黑体" w:cs="Times New Roman"/>
          <w:b/>
          <w:kern w:val="0"/>
          <w:sz w:val="24"/>
          <w:szCs w:val="24"/>
        </w:rPr>
      </w:pPr>
      <w:r>
        <w:rPr>
          <w:rFonts w:hint="default" w:ascii="Times New Roman" w:hAnsi="Times New Roman" w:eastAsia="黑体" w:cs="Times New Roman"/>
          <w:b/>
          <w:kern w:val="0"/>
          <w:sz w:val="24"/>
          <w:szCs w:val="24"/>
        </w:rPr>
        <w:t>Namespace configuration and sidecar injection setup</w:t>
      </w:r>
    </w:p>
    <w:p w14:paraId="3568D889">
      <w:pPr>
        <w:pStyle w:val="17"/>
        <w:widowControl/>
        <w:numPr>
          <w:ilvl w:val="0"/>
          <w:numId w:val="0"/>
        </w:numPr>
        <w:shd w:val="clear" w:color="auto" w:fill="FFFFFF"/>
        <w:spacing w:before="0" w:beforeAutospacing="0" w:after="0" w:afterAutospacing="0"/>
        <w:jc w:val="both"/>
        <w:rPr>
          <w:rFonts w:hint="default" w:ascii="Times New Roman" w:hAnsi="Times New Roman" w:eastAsia="黑体" w:cs="Times New Roman"/>
          <w:b w:val="0"/>
          <w:bCs/>
          <w:kern w:val="0"/>
          <w:sz w:val="24"/>
          <w:szCs w:val="24"/>
        </w:rPr>
      </w:pPr>
      <w:r>
        <w:rPr>
          <w:rFonts w:hint="default" w:ascii="Times New Roman" w:hAnsi="Times New Roman" w:eastAsia="黑体" w:cs="Times New Roman"/>
          <w:b w:val="0"/>
          <w:bCs/>
          <w:kern w:val="0"/>
          <w:sz w:val="24"/>
          <w:szCs w:val="24"/>
        </w:rPr>
        <w:t>The default namespace was labeled to enable automatic sidecar injection. This step ensured that all subsequently deployed application pods would automatically include Envoy proxies, allowing Istio to intercept and manage traffic without requiring manual modification of application code.</w:t>
      </w:r>
    </w:p>
    <w:p w14:paraId="12F92BBD">
      <w:pPr>
        <w:pStyle w:val="17"/>
        <w:numPr>
          <w:ilvl w:val="0"/>
          <w:numId w:val="3"/>
        </w:numPr>
        <w:shd w:val="clear" w:color="auto" w:fill="FFFFFF"/>
        <w:spacing w:before="0" w:beforeAutospacing="0" w:after="0" w:afterAutospacing="0"/>
        <w:ind w:left="0" w:leftChars="0" w:firstLine="0" w:firstLineChars="0"/>
        <w:jc w:val="both"/>
        <w:rPr>
          <w:rFonts w:hint="default" w:ascii="Times New Roman" w:hAnsi="Times New Roman" w:eastAsia="黑体" w:cs="Times New Roman"/>
          <w:b/>
          <w:kern w:val="0"/>
          <w:sz w:val="24"/>
          <w:szCs w:val="24"/>
        </w:rPr>
      </w:pPr>
      <w:r>
        <w:rPr>
          <w:rFonts w:hint="default" w:ascii="Times New Roman" w:hAnsi="Times New Roman" w:eastAsia="黑体" w:cs="Times New Roman"/>
          <w:b/>
          <w:kern w:val="0"/>
          <w:sz w:val="24"/>
          <w:szCs w:val="24"/>
        </w:rPr>
        <w:t>Deployment of the Bookinfo microservices application</w:t>
      </w:r>
    </w:p>
    <w:p w14:paraId="56D24D8F">
      <w:pPr>
        <w:pStyle w:val="17"/>
        <w:widowControl/>
        <w:numPr>
          <w:ilvl w:val="0"/>
          <w:numId w:val="0"/>
        </w:numPr>
        <w:shd w:val="clear" w:color="auto" w:fill="FFFFFF"/>
        <w:spacing w:before="0" w:beforeAutospacing="0" w:after="0" w:afterAutospacing="0"/>
        <w:jc w:val="both"/>
        <w:rPr>
          <w:rFonts w:hint="default" w:ascii="Times New Roman" w:hAnsi="Times New Roman" w:eastAsia="黑体" w:cs="Times New Roman"/>
          <w:b w:val="0"/>
          <w:bCs/>
          <w:kern w:val="0"/>
          <w:sz w:val="24"/>
          <w:szCs w:val="24"/>
        </w:rPr>
      </w:pPr>
      <w:r>
        <w:rPr>
          <w:rFonts w:hint="default" w:ascii="Times New Roman" w:hAnsi="Times New Roman" w:eastAsia="黑体" w:cs="Times New Roman"/>
          <w:b w:val="0"/>
          <w:bCs/>
          <w:kern w:val="0"/>
          <w:sz w:val="24"/>
          <w:szCs w:val="24"/>
        </w:rPr>
        <w:t>The Bookinfo sample application was deployed to simulate a typical microservices architecture. Multiple services such as productpage, reviews, ratings, and details were created, forming a multi-tier service structure. Pod and service statuses were monitored to ensure successful deployment and proper integration with Istio.</w:t>
      </w:r>
    </w:p>
    <w:p w14:paraId="4EABB800">
      <w:pPr>
        <w:pStyle w:val="17"/>
        <w:numPr>
          <w:ilvl w:val="0"/>
          <w:numId w:val="3"/>
        </w:numPr>
        <w:shd w:val="clear" w:color="auto" w:fill="FFFFFF"/>
        <w:spacing w:before="0" w:beforeAutospacing="0" w:after="0" w:afterAutospacing="0"/>
        <w:ind w:left="0" w:leftChars="0" w:firstLine="0" w:firstLineChars="0"/>
        <w:jc w:val="both"/>
        <w:rPr>
          <w:rFonts w:hint="default" w:ascii="Times New Roman" w:hAnsi="Times New Roman" w:eastAsia="黑体" w:cs="Times New Roman"/>
          <w:b/>
          <w:kern w:val="0"/>
          <w:sz w:val="24"/>
          <w:szCs w:val="24"/>
        </w:rPr>
      </w:pPr>
      <w:r>
        <w:rPr>
          <w:rFonts w:hint="default" w:ascii="Times New Roman" w:hAnsi="Times New Roman" w:eastAsia="黑体" w:cs="Times New Roman"/>
          <w:b/>
          <w:kern w:val="0"/>
          <w:sz w:val="24"/>
          <w:szCs w:val="24"/>
        </w:rPr>
        <w:t>Internal service communication verification</w:t>
      </w:r>
    </w:p>
    <w:p w14:paraId="63508268">
      <w:pPr>
        <w:pStyle w:val="17"/>
        <w:widowControl/>
        <w:numPr>
          <w:ilvl w:val="0"/>
          <w:numId w:val="0"/>
        </w:numPr>
        <w:shd w:val="clear" w:color="auto" w:fill="FFFFFF"/>
        <w:spacing w:before="0" w:beforeAutospacing="0" w:after="0" w:afterAutospacing="0"/>
        <w:jc w:val="both"/>
        <w:rPr>
          <w:rFonts w:hint="default" w:ascii="Times New Roman" w:hAnsi="Times New Roman" w:eastAsia="黑体" w:cs="Times New Roman"/>
          <w:b w:val="0"/>
          <w:bCs/>
          <w:kern w:val="0"/>
          <w:sz w:val="24"/>
          <w:szCs w:val="24"/>
        </w:rPr>
      </w:pPr>
      <w:r>
        <w:rPr>
          <w:rFonts w:hint="default" w:ascii="Times New Roman" w:hAnsi="Times New Roman" w:eastAsia="黑体" w:cs="Times New Roman"/>
          <w:b w:val="0"/>
          <w:bCs/>
          <w:kern w:val="0"/>
          <w:sz w:val="24"/>
          <w:szCs w:val="24"/>
        </w:rPr>
        <w:t>Service connectivity within the cluster was tested by issuing requests from one service pod to another. The response results were examined to confirm that service discovery and routing mechanisms were functioning correctly under the Istio service mesh environment.</w:t>
      </w:r>
    </w:p>
    <w:p w14:paraId="01FA93E3">
      <w:pPr>
        <w:pStyle w:val="17"/>
        <w:numPr>
          <w:ilvl w:val="0"/>
          <w:numId w:val="3"/>
        </w:numPr>
        <w:shd w:val="clear" w:color="auto" w:fill="FFFFFF"/>
        <w:spacing w:before="0" w:beforeAutospacing="0" w:after="0" w:afterAutospacing="0"/>
        <w:ind w:left="0" w:leftChars="0" w:firstLine="0" w:firstLineChars="0"/>
        <w:jc w:val="both"/>
        <w:rPr>
          <w:rFonts w:hint="default" w:ascii="Times New Roman" w:hAnsi="Times New Roman" w:eastAsia="黑体" w:cs="Times New Roman"/>
          <w:b/>
          <w:kern w:val="0"/>
          <w:sz w:val="24"/>
          <w:szCs w:val="24"/>
        </w:rPr>
      </w:pPr>
      <w:r>
        <w:rPr>
          <w:rFonts w:hint="default" w:ascii="Times New Roman" w:hAnsi="Times New Roman" w:eastAsia="黑体" w:cs="Times New Roman"/>
          <w:b/>
          <w:kern w:val="0"/>
          <w:sz w:val="24"/>
          <w:szCs w:val="24"/>
        </w:rPr>
        <w:t>Installation of Gateway API CRDs and external access configuration</w:t>
      </w:r>
    </w:p>
    <w:p w14:paraId="01EEE20C">
      <w:pPr>
        <w:pStyle w:val="17"/>
        <w:widowControl/>
        <w:numPr>
          <w:ilvl w:val="0"/>
          <w:numId w:val="0"/>
        </w:numPr>
        <w:shd w:val="clear" w:color="auto" w:fill="FFFFFF"/>
        <w:spacing w:before="0" w:beforeAutospacing="0" w:after="0" w:afterAutospacing="0"/>
        <w:jc w:val="both"/>
        <w:rPr>
          <w:rFonts w:hint="default" w:ascii="Times New Roman" w:hAnsi="Times New Roman" w:eastAsia="黑体" w:cs="Times New Roman"/>
          <w:b w:val="0"/>
          <w:bCs/>
          <w:kern w:val="0"/>
          <w:sz w:val="24"/>
          <w:szCs w:val="24"/>
        </w:rPr>
      </w:pPr>
      <w:r>
        <w:rPr>
          <w:rFonts w:hint="default" w:ascii="Times New Roman" w:hAnsi="Times New Roman" w:eastAsia="黑体" w:cs="Times New Roman"/>
          <w:b w:val="0"/>
          <w:bCs/>
          <w:kern w:val="0"/>
          <w:sz w:val="24"/>
          <w:szCs w:val="24"/>
        </w:rPr>
        <w:t>Gateway API custom resource definitions were installed to support modern ingress management. A Gateway resource was then configured to expose the Bookinfo application, enabling external access through a unified entry point and demonstrating how traffic is routed into the cluster.</w:t>
      </w:r>
    </w:p>
    <w:p w14:paraId="678A5B24">
      <w:pPr>
        <w:pStyle w:val="17"/>
        <w:numPr>
          <w:ilvl w:val="0"/>
          <w:numId w:val="3"/>
        </w:numPr>
        <w:shd w:val="clear" w:color="auto" w:fill="FFFFFF"/>
        <w:spacing w:before="0" w:beforeAutospacing="0" w:after="0" w:afterAutospacing="0"/>
        <w:ind w:left="0" w:leftChars="0" w:firstLine="0" w:firstLineChars="0"/>
        <w:jc w:val="both"/>
        <w:rPr>
          <w:rFonts w:hint="default" w:ascii="Times New Roman" w:hAnsi="Times New Roman" w:eastAsia="黑体" w:cs="Times New Roman"/>
          <w:b/>
          <w:kern w:val="0"/>
          <w:sz w:val="24"/>
          <w:szCs w:val="24"/>
        </w:rPr>
      </w:pPr>
      <w:r>
        <w:rPr>
          <w:rFonts w:hint="default" w:ascii="Times New Roman" w:hAnsi="Times New Roman" w:eastAsia="黑体" w:cs="Times New Roman"/>
          <w:b/>
          <w:kern w:val="0"/>
          <w:sz w:val="24"/>
          <w:szCs w:val="24"/>
        </w:rPr>
        <w:t>Access validation through port forwarding</w:t>
      </w:r>
    </w:p>
    <w:p w14:paraId="3F1EB1F4">
      <w:pPr>
        <w:pStyle w:val="17"/>
        <w:widowControl/>
        <w:numPr>
          <w:ilvl w:val="0"/>
          <w:numId w:val="0"/>
        </w:numPr>
        <w:shd w:val="clear" w:color="auto" w:fill="FFFFFF"/>
        <w:spacing w:before="0" w:beforeAutospacing="0" w:after="0" w:afterAutospacing="0"/>
        <w:jc w:val="both"/>
        <w:rPr>
          <w:rFonts w:hint="default" w:ascii="Times New Roman" w:hAnsi="Times New Roman" w:eastAsia="黑体" w:cs="Times New Roman"/>
          <w:b w:val="0"/>
          <w:bCs/>
          <w:kern w:val="0"/>
          <w:sz w:val="24"/>
          <w:szCs w:val="24"/>
        </w:rPr>
      </w:pPr>
      <w:r>
        <w:rPr>
          <w:rFonts w:hint="default" w:ascii="Times New Roman" w:hAnsi="Times New Roman" w:eastAsia="黑体" w:cs="Times New Roman"/>
          <w:b w:val="0"/>
          <w:bCs/>
          <w:kern w:val="0"/>
          <w:sz w:val="24"/>
          <w:szCs w:val="24"/>
        </w:rPr>
        <w:t>Port forwarding was used to map the gateway service to a local port, allowing the application to be accessed via a browser. The successful rendering of the Bookinfo interface confirmed that external traffic could reach internal services correctly through the configured gateway.</w:t>
      </w:r>
    </w:p>
    <w:p w14:paraId="71B0437E">
      <w:pPr>
        <w:pStyle w:val="17"/>
        <w:numPr>
          <w:ilvl w:val="0"/>
          <w:numId w:val="3"/>
        </w:numPr>
        <w:shd w:val="clear" w:color="auto" w:fill="FFFFFF"/>
        <w:spacing w:before="0" w:beforeAutospacing="0" w:after="0" w:afterAutospacing="0"/>
        <w:ind w:left="0" w:leftChars="0" w:firstLine="0" w:firstLineChars="0"/>
        <w:jc w:val="both"/>
        <w:rPr>
          <w:rFonts w:hint="default" w:ascii="Times New Roman" w:hAnsi="Times New Roman" w:eastAsia="黑体" w:cs="Times New Roman"/>
          <w:b/>
          <w:kern w:val="0"/>
          <w:sz w:val="24"/>
          <w:szCs w:val="24"/>
        </w:rPr>
      </w:pPr>
      <w:r>
        <w:rPr>
          <w:rFonts w:hint="default" w:ascii="Times New Roman" w:hAnsi="Times New Roman" w:eastAsia="黑体" w:cs="Times New Roman"/>
          <w:b/>
          <w:kern w:val="0"/>
          <w:sz w:val="24"/>
          <w:szCs w:val="24"/>
        </w:rPr>
        <w:t>Visualization and traffic analysis using Kiali</w:t>
      </w:r>
    </w:p>
    <w:p w14:paraId="27125E7E">
      <w:pPr>
        <w:pStyle w:val="17"/>
        <w:widowControl/>
        <w:numPr>
          <w:ilvl w:val="0"/>
          <w:numId w:val="0"/>
        </w:numPr>
        <w:shd w:val="clear" w:color="auto" w:fill="FFFFFF"/>
        <w:spacing w:before="0" w:beforeAutospacing="0" w:after="0" w:afterAutospacing="0"/>
        <w:jc w:val="both"/>
        <w:rPr>
          <w:rFonts w:hint="default" w:ascii="Times New Roman" w:hAnsi="Times New Roman" w:eastAsia="黑体" w:cs="Times New Roman"/>
          <w:b w:val="0"/>
          <w:bCs/>
          <w:kern w:val="0"/>
          <w:sz w:val="24"/>
          <w:szCs w:val="24"/>
        </w:rPr>
      </w:pPr>
      <w:r>
        <w:rPr>
          <w:rFonts w:hint="default" w:ascii="Times New Roman" w:hAnsi="Times New Roman" w:eastAsia="黑体" w:cs="Times New Roman"/>
          <w:b w:val="0"/>
          <w:bCs/>
          <w:kern w:val="0"/>
          <w:sz w:val="24"/>
          <w:szCs w:val="24"/>
        </w:rPr>
        <w:t>The Kiali dashboard was deployed and accessed to visualize service interactions. By generating multiple requests to the application, traffic flow and service dependencies were observed in real time, providing an intuitive understanding of how requests propagate within the service mesh.</w:t>
      </w:r>
    </w:p>
    <w:p w14:paraId="59D72222">
      <w:pPr>
        <w:numPr>
          <w:ilvl w:val="0"/>
          <w:numId w:val="4"/>
        </w:numPr>
        <w:autoSpaceDE w:val="0"/>
        <w:autoSpaceDN w:val="0"/>
        <w:adjustRightInd w:val="0"/>
        <w:spacing w:line="300" w:lineRule="auto"/>
        <w:jc w:val="left"/>
        <w:rPr>
          <w:rFonts w:hint="default" w:ascii="Times New Roman" w:hAnsi="Times New Roman" w:eastAsia="黑体" w:cs="Times New Roman"/>
          <w:b/>
          <w:kern w:val="0"/>
          <w:sz w:val="28"/>
          <w:szCs w:val="28"/>
        </w:rPr>
      </w:pPr>
      <w:r>
        <w:rPr>
          <w:rFonts w:hint="default" w:ascii="Times New Roman" w:hAnsi="Times New Roman" w:eastAsia="黑体" w:cs="Times New Roman"/>
          <w:b/>
          <w:kern w:val="0"/>
          <w:sz w:val="28"/>
          <w:szCs w:val="28"/>
        </w:rPr>
        <w:t>Detailed steps of the experiment</w:t>
      </w:r>
    </w:p>
    <w:p w14:paraId="6863EFBC">
      <w:pPr>
        <w:widowControl/>
        <w:numPr>
          <w:ilvl w:val="0"/>
          <w:numId w:val="0"/>
        </w:numPr>
        <w:shd w:val="clear" w:color="auto" w:fill="FFFFFF"/>
        <w:spacing w:before="0" w:beforeAutospacing="0" w:after="0" w:afterAutospacing="0"/>
        <w:ind w:left="0" w:leftChars="0" w:firstLine="0" w:firstLineChars="0"/>
        <w:jc w:val="both"/>
        <w:rPr>
          <w:rFonts w:hint="default" w:ascii="Times New Roman" w:hAnsi="Times New Roman" w:eastAsia="黑体" w:cs="Times New Roman"/>
          <w:b w:val="0"/>
          <w:bCs/>
          <w:kern w:val="0"/>
          <w:sz w:val="24"/>
          <w:szCs w:val="24"/>
          <w:lang w:val="en-US" w:eastAsia="zh-CN" w:bidi="ar-SA"/>
        </w:rPr>
      </w:pPr>
      <w:r>
        <w:rPr>
          <w:rFonts w:hint="default" w:ascii="Times New Roman" w:hAnsi="Times New Roman" w:eastAsia="黑体" w:cs="Times New Roman"/>
          <w:b w:val="0"/>
          <w:bCs/>
          <w:kern w:val="0"/>
          <w:sz w:val="24"/>
          <w:szCs w:val="24"/>
          <w:lang w:val="en-US" w:eastAsia="zh-CN" w:bidi="ar-SA"/>
        </w:rPr>
        <w:t>Minikube is started to create a local Kubernetes cluster on the machine, which sets up the control plane and necessary system components inside a Docker container. Although there is a warning about failing to access the external image registry, the cluster still starts successfully using available resources.</w:t>
      </w:r>
    </w:p>
    <w:p w14:paraId="1F11DD32">
      <w:pPr>
        <w:widowControl/>
        <w:numPr>
          <w:ilvl w:val="0"/>
          <w:numId w:val="0"/>
        </w:numPr>
        <w:shd w:val="clear" w:color="auto" w:fill="FFFFFF"/>
        <w:spacing w:before="0" w:beforeAutospacing="0" w:after="0" w:afterAutospacing="0"/>
        <w:ind w:left="0" w:leftChars="0" w:firstLine="0" w:firstLineChars="0"/>
        <w:jc w:val="both"/>
        <w:rPr>
          <w:rFonts w:hint="default" w:ascii="Times New Roman" w:hAnsi="Times New Roman" w:eastAsia="黑体" w:cs="Times New Roman"/>
          <w:b/>
          <w:kern w:val="0"/>
          <w:sz w:val="28"/>
          <w:szCs w:val="28"/>
        </w:rPr>
      </w:pPr>
      <w:r>
        <w:rPr>
          <w:rFonts w:hint="default" w:ascii="Times New Roman" w:hAnsi="Times New Roman" w:eastAsia="黑体" w:cs="Times New Roman"/>
          <w:b w:val="0"/>
          <w:bCs/>
          <w:kern w:val="0"/>
          <w:sz w:val="24"/>
          <w:szCs w:val="24"/>
          <w:lang w:val="en-US" w:eastAsia="zh-CN" w:bidi="ar-SA"/>
        </w:rPr>
        <w:t>Then, the cluster status is checked, showing that the Kubernetes control plane and CoreDNS service are running normally. This means the environment is ready for deploying applications or continuing with Istio installation.</w:t>
      </w:r>
    </w:p>
    <w:p w14:paraId="03EA2F78">
      <w:pPr>
        <w:widowControl w:val="0"/>
        <w:numPr>
          <w:ilvl w:val="0"/>
          <w:numId w:val="0"/>
        </w:numPr>
        <w:autoSpaceDE w:val="0"/>
        <w:autoSpaceDN w:val="0"/>
        <w:adjustRightInd w:val="0"/>
        <w:spacing w:line="300" w:lineRule="auto"/>
        <w:jc w:val="left"/>
      </w:pPr>
      <w:r>
        <w:drawing>
          <wp:inline distT="0" distB="0" distL="114300" distR="114300">
            <wp:extent cx="5269865" cy="2087880"/>
            <wp:effectExtent l="0" t="0" r="635" b="762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4"/>
                    <a:stretch>
                      <a:fillRect/>
                    </a:stretch>
                  </pic:blipFill>
                  <pic:spPr>
                    <a:xfrm>
                      <a:off x="0" y="0"/>
                      <a:ext cx="5269865" cy="2087880"/>
                    </a:xfrm>
                    <a:prstGeom prst="rect">
                      <a:avLst/>
                    </a:prstGeom>
                    <a:noFill/>
                    <a:ln>
                      <a:noFill/>
                    </a:ln>
                  </pic:spPr>
                </pic:pic>
              </a:graphicData>
            </a:graphic>
          </wp:inline>
        </w:drawing>
      </w:r>
      <w:r>
        <w:drawing>
          <wp:inline distT="0" distB="0" distL="114300" distR="114300">
            <wp:extent cx="5266690" cy="514985"/>
            <wp:effectExtent l="0" t="0" r="3810" b="571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5"/>
                    <a:stretch>
                      <a:fillRect/>
                    </a:stretch>
                  </pic:blipFill>
                  <pic:spPr>
                    <a:xfrm>
                      <a:off x="0" y="0"/>
                      <a:ext cx="5266690" cy="514985"/>
                    </a:xfrm>
                    <a:prstGeom prst="rect">
                      <a:avLst/>
                    </a:prstGeom>
                    <a:noFill/>
                    <a:ln>
                      <a:noFill/>
                    </a:ln>
                  </pic:spPr>
                </pic:pic>
              </a:graphicData>
            </a:graphic>
          </wp:inline>
        </w:drawing>
      </w:r>
    </w:p>
    <w:p w14:paraId="7C497826">
      <w:pPr>
        <w:widowControl w:val="0"/>
        <w:numPr>
          <w:ilvl w:val="0"/>
          <w:numId w:val="0"/>
        </w:numPr>
        <w:autoSpaceDE w:val="0"/>
        <w:autoSpaceDN w:val="0"/>
        <w:adjustRightInd w:val="0"/>
        <w:spacing w:line="300" w:lineRule="auto"/>
        <w:jc w:val="left"/>
        <w:rPr>
          <w:rFonts w:hint="eastAsia"/>
          <w:lang w:eastAsia="zh-CN"/>
        </w:rPr>
      </w:pPr>
    </w:p>
    <w:p w14:paraId="18428FEF">
      <w:pPr>
        <w:widowControl/>
        <w:numPr>
          <w:ilvl w:val="0"/>
          <w:numId w:val="0"/>
        </w:numPr>
        <w:shd w:val="clear" w:color="auto" w:fill="FFFFFF"/>
        <w:spacing w:before="0" w:beforeAutospacing="0" w:after="0" w:afterAutospacing="0"/>
        <w:ind w:left="0" w:leftChars="0" w:firstLine="0" w:firstLineChars="0"/>
        <w:jc w:val="both"/>
        <w:rPr>
          <w:rFonts w:hint="default" w:ascii="Times New Roman" w:hAnsi="Times New Roman" w:eastAsia="黑体" w:cs="Times New Roman"/>
          <w:b w:val="0"/>
          <w:bCs/>
          <w:kern w:val="0"/>
          <w:sz w:val="24"/>
          <w:szCs w:val="24"/>
          <w:lang w:val="en-US" w:eastAsia="zh-CN" w:bidi="ar-SA"/>
        </w:rPr>
      </w:pPr>
      <w:r>
        <w:rPr>
          <w:rFonts w:hint="eastAsia" w:ascii="Times New Roman" w:hAnsi="Times New Roman" w:eastAsia="黑体" w:cs="Times New Roman"/>
          <w:b w:val="0"/>
          <w:bCs/>
          <w:kern w:val="0"/>
          <w:sz w:val="24"/>
          <w:szCs w:val="24"/>
          <w:lang w:val="en-US" w:eastAsia="zh-CN" w:bidi="ar-SA"/>
        </w:rPr>
        <w:t>Istio has been successfully downloaded and extracted from the official repository. The system also indicates the location of the installed files and reminds you to add the bin directory to the environment path so that the istioctl tool can be used globally.</w:t>
      </w:r>
    </w:p>
    <w:p w14:paraId="584ECCAA">
      <w:pPr>
        <w:widowControl w:val="0"/>
        <w:numPr>
          <w:ilvl w:val="0"/>
          <w:numId w:val="0"/>
        </w:numPr>
        <w:autoSpaceDE w:val="0"/>
        <w:autoSpaceDN w:val="0"/>
        <w:adjustRightInd w:val="0"/>
        <w:spacing w:line="300" w:lineRule="auto"/>
        <w:jc w:val="left"/>
      </w:pPr>
      <w:r>
        <w:drawing>
          <wp:inline distT="0" distB="0" distL="114300" distR="114300">
            <wp:extent cx="5272405" cy="1977390"/>
            <wp:effectExtent l="0" t="0" r="10795" b="381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6"/>
                    <a:stretch>
                      <a:fillRect/>
                    </a:stretch>
                  </pic:blipFill>
                  <pic:spPr>
                    <a:xfrm>
                      <a:off x="0" y="0"/>
                      <a:ext cx="5272405" cy="1977390"/>
                    </a:xfrm>
                    <a:prstGeom prst="rect">
                      <a:avLst/>
                    </a:prstGeom>
                    <a:noFill/>
                    <a:ln>
                      <a:noFill/>
                    </a:ln>
                  </pic:spPr>
                </pic:pic>
              </a:graphicData>
            </a:graphic>
          </wp:inline>
        </w:drawing>
      </w:r>
    </w:p>
    <w:p w14:paraId="787AFC29">
      <w:pPr>
        <w:widowControl w:val="0"/>
        <w:numPr>
          <w:ilvl w:val="0"/>
          <w:numId w:val="0"/>
        </w:numPr>
        <w:autoSpaceDE w:val="0"/>
        <w:autoSpaceDN w:val="0"/>
        <w:adjustRightInd w:val="0"/>
        <w:spacing w:line="300" w:lineRule="auto"/>
        <w:jc w:val="left"/>
      </w:pPr>
    </w:p>
    <w:p w14:paraId="0DBAF531">
      <w:pPr>
        <w:widowControl/>
        <w:numPr>
          <w:ilvl w:val="0"/>
          <w:numId w:val="0"/>
        </w:numPr>
        <w:shd w:val="clear" w:color="auto" w:fill="FFFFFF"/>
        <w:spacing w:before="0" w:beforeAutospacing="0" w:after="0" w:afterAutospacing="0"/>
        <w:ind w:left="0" w:leftChars="0" w:firstLine="0" w:firstLineChars="0"/>
        <w:jc w:val="both"/>
        <w:rPr>
          <w:rFonts w:hint="eastAsia" w:ascii="Times New Roman" w:hAnsi="Times New Roman" w:eastAsia="黑体" w:cs="Times New Roman"/>
          <w:b w:val="0"/>
          <w:bCs/>
          <w:kern w:val="0"/>
          <w:sz w:val="24"/>
          <w:szCs w:val="24"/>
          <w:lang w:val="en-US" w:eastAsia="zh-CN" w:bidi="ar-SA"/>
        </w:rPr>
      </w:pPr>
      <w:r>
        <w:rPr>
          <w:rFonts w:hint="eastAsia" w:ascii="Times New Roman" w:hAnsi="Times New Roman" w:eastAsia="黑体" w:cs="Times New Roman"/>
          <w:b w:val="0"/>
          <w:bCs/>
          <w:kern w:val="0"/>
          <w:sz w:val="24"/>
          <w:szCs w:val="24"/>
          <w:lang w:val="en-US" w:eastAsia="zh-CN" w:bidi="ar-SA"/>
        </w:rPr>
        <w:t>The istioctl tool is working correctly, but Istio has not been installed in the Kubernetes cluster yet. The message indicates that there are no running Istio components in the istio-system namespace.</w:t>
      </w:r>
    </w:p>
    <w:p w14:paraId="75FF46F8">
      <w:pPr>
        <w:widowControl w:val="0"/>
        <w:numPr>
          <w:ilvl w:val="0"/>
          <w:numId w:val="0"/>
        </w:numPr>
        <w:autoSpaceDE w:val="0"/>
        <w:autoSpaceDN w:val="0"/>
        <w:adjustRightInd w:val="0"/>
        <w:spacing w:line="300" w:lineRule="auto"/>
        <w:jc w:val="left"/>
      </w:pPr>
      <w:r>
        <w:drawing>
          <wp:inline distT="0" distB="0" distL="114300" distR="114300">
            <wp:extent cx="5268595" cy="404495"/>
            <wp:effectExtent l="0" t="0" r="1905" b="1905"/>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7"/>
                    <a:stretch>
                      <a:fillRect/>
                    </a:stretch>
                  </pic:blipFill>
                  <pic:spPr>
                    <a:xfrm>
                      <a:off x="0" y="0"/>
                      <a:ext cx="5268595" cy="404495"/>
                    </a:xfrm>
                    <a:prstGeom prst="rect">
                      <a:avLst/>
                    </a:prstGeom>
                    <a:noFill/>
                    <a:ln>
                      <a:noFill/>
                    </a:ln>
                  </pic:spPr>
                </pic:pic>
              </a:graphicData>
            </a:graphic>
          </wp:inline>
        </w:drawing>
      </w:r>
    </w:p>
    <w:p w14:paraId="2D4D81CC">
      <w:pPr>
        <w:widowControl w:val="0"/>
        <w:numPr>
          <w:ilvl w:val="0"/>
          <w:numId w:val="0"/>
        </w:numPr>
        <w:autoSpaceDE w:val="0"/>
        <w:autoSpaceDN w:val="0"/>
        <w:adjustRightInd w:val="0"/>
        <w:spacing w:line="300" w:lineRule="auto"/>
        <w:jc w:val="left"/>
      </w:pPr>
    </w:p>
    <w:p w14:paraId="7D200466">
      <w:pPr>
        <w:widowControl/>
        <w:numPr>
          <w:ilvl w:val="0"/>
          <w:numId w:val="0"/>
        </w:numPr>
        <w:shd w:val="clear" w:color="auto" w:fill="FFFFFF"/>
        <w:spacing w:before="0" w:beforeAutospacing="0" w:after="0" w:afterAutospacing="0"/>
        <w:ind w:left="0" w:leftChars="0" w:firstLine="0" w:firstLineChars="0"/>
        <w:jc w:val="both"/>
        <w:rPr>
          <w:rFonts w:hint="eastAsia" w:ascii="Times New Roman" w:hAnsi="Times New Roman" w:eastAsia="黑体" w:cs="Times New Roman"/>
          <w:b w:val="0"/>
          <w:bCs/>
          <w:kern w:val="0"/>
          <w:sz w:val="24"/>
          <w:szCs w:val="24"/>
          <w:lang w:val="en-US" w:eastAsia="zh-CN" w:bidi="ar-SA"/>
        </w:rPr>
      </w:pPr>
      <w:r>
        <w:rPr>
          <w:rFonts w:hint="eastAsia" w:ascii="Times New Roman" w:hAnsi="Times New Roman" w:eastAsia="黑体" w:cs="Times New Roman"/>
          <w:b w:val="0"/>
          <w:bCs/>
          <w:kern w:val="0"/>
          <w:sz w:val="24"/>
          <w:szCs w:val="24"/>
          <w:lang w:val="en-US" w:eastAsia="zh-CN" w:bidi="ar-SA"/>
        </w:rPr>
        <w:t>Istio has been successfully installed into the Kubernetes cluster using the demo configuration. Core components such as the control plane and ingress/egress gateways are now running, which means the service mesh environment is ready for use. The warning only indicates that the version may be outdated, but it does not affect the current setup.</w:t>
      </w:r>
    </w:p>
    <w:p w14:paraId="701ECB01">
      <w:pPr>
        <w:widowControl w:val="0"/>
        <w:numPr>
          <w:ilvl w:val="0"/>
          <w:numId w:val="0"/>
        </w:numPr>
        <w:autoSpaceDE w:val="0"/>
        <w:autoSpaceDN w:val="0"/>
        <w:adjustRightInd w:val="0"/>
        <w:spacing w:line="300" w:lineRule="auto"/>
        <w:jc w:val="left"/>
      </w:pPr>
      <w:r>
        <w:drawing>
          <wp:inline distT="0" distB="0" distL="114300" distR="114300">
            <wp:extent cx="5269865" cy="1256030"/>
            <wp:effectExtent l="0" t="0" r="635" b="127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8"/>
                    <a:stretch>
                      <a:fillRect/>
                    </a:stretch>
                  </pic:blipFill>
                  <pic:spPr>
                    <a:xfrm>
                      <a:off x="0" y="0"/>
                      <a:ext cx="5269865" cy="1256030"/>
                    </a:xfrm>
                    <a:prstGeom prst="rect">
                      <a:avLst/>
                    </a:prstGeom>
                    <a:noFill/>
                    <a:ln>
                      <a:noFill/>
                    </a:ln>
                  </pic:spPr>
                </pic:pic>
              </a:graphicData>
            </a:graphic>
          </wp:inline>
        </w:drawing>
      </w:r>
    </w:p>
    <w:p w14:paraId="709362B2">
      <w:pPr>
        <w:widowControl w:val="0"/>
        <w:numPr>
          <w:ilvl w:val="0"/>
          <w:numId w:val="0"/>
        </w:numPr>
        <w:autoSpaceDE w:val="0"/>
        <w:autoSpaceDN w:val="0"/>
        <w:adjustRightInd w:val="0"/>
        <w:spacing w:line="300" w:lineRule="auto"/>
        <w:jc w:val="left"/>
      </w:pPr>
    </w:p>
    <w:p w14:paraId="7FE99177">
      <w:pPr>
        <w:widowControl/>
        <w:numPr>
          <w:ilvl w:val="0"/>
          <w:numId w:val="0"/>
        </w:numPr>
        <w:shd w:val="clear" w:color="auto" w:fill="FFFFFF"/>
        <w:spacing w:before="0" w:beforeAutospacing="0" w:after="0" w:afterAutospacing="0"/>
        <w:ind w:left="0" w:leftChars="0" w:firstLine="0" w:firstLineChars="0"/>
        <w:jc w:val="both"/>
        <w:rPr>
          <w:rFonts w:hint="eastAsia" w:ascii="Times New Roman" w:hAnsi="Times New Roman" w:eastAsia="黑体" w:cs="Times New Roman"/>
          <w:b w:val="0"/>
          <w:bCs/>
          <w:kern w:val="0"/>
          <w:sz w:val="24"/>
          <w:szCs w:val="24"/>
          <w:lang w:val="en-US" w:eastAsia="zh-CN" w:bidi="ar-SA"/>
        </w:rPr>
      </w:pPr>
      <w:r>
        <w:rPr>
          <w:rFonts w:hint="eastAsia" w:ascii="Times New Roman" w:hAnsi="Times New Roman" w:eastAsia="黑体" w:cs="Times New Roman"/>
          <w:b w:val="0"/>
          <w:bCs/>
          <w:kern w:val="0"/>
          <w:sz w:val="24"/>
          <w:szCs w:val="24"/>
          <w:lang w:val="en-US" w:eastAsia="zh-CN" w:bidi="ar-SA"/>
        </w:rPr>
        <w:t>Gateway API has been successfully installed into the Kubernetes cluster. The output shows that multiple Custom Resource Definitions, such as gateways and routes, have been created, which are required for managing traffic routing in Istio.</w:t>
      </w:r>
    </w:p>
    <w:p w14:paraId="39A941E4">
      <w:pPr>
        <w:widowControl w:val="0"/>
        <w:numPr>
          <w:ilvl w:val="0"/>
          <w:numId w:val="0"/>
        </w:numPr>
        <w:autoSpaceDE w:val="0"/>
        <w:autoSpaceDN w:val="0"/>
        <w:adjustRightInd w:val="0"/>
        <w:spacing w:line="300" w:lineRule="auto"/>
        <w:jc w:val="left"/>
      </w:pPr>
      <w:r>
        <w:drawing>
          <wp:inline distT="0" distB="0" distL="114300" distR="114300">
            <wp:extent cx="5270500" cy="2374900"/>
            <wp:effectExtent l="0" t="0" r="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pic:cNvPicPr>
                  </pic:nvPicPr>
                  <pic:blipFill>
                    <a:blip r:embed="rId9"/>
                    <a:stretch>
                      <a:fillRect/>
                    </a:stretch>
                  </pic:blipFill>
                  <pic:spPr>
                    <a:xfrm>
                      <a:off x="0" y="0"/>
                      <a:ext cx="5270500" cy="2374900"/>
                    </a:xfrm>
                    <a:prstGeom prst="rect">
                      <a:avLst/>
                    </a:prstGeom>
                    <a:noFill/>
                    <a:ln>
                      <a:noFill/>
                    </a:ln>
                  </pic:spPr>
                </pic:pic>
              </a:graphicData>
            </a:graphic>
          </wp:inline>
        </w:drawing>
      </w:r>
    </w:p>
    <w:p w14:paraId="6DA0B919">
      <w:pPr>
        <w:widowControl w:val="0"/>
        <w:numPr>
          <w:ilvl w:val="0"/>
          <w:numId w:val="0"/>
        </w:numPr>
        <w:autoSpaceDE w:val="0"/>
        <w:autoSpaceDN w:val="0"/>
        <w:adjustRightInd w:val="0"/>
        <w:spacing w:line="300" w:lineRule="auto"/>
        <w:jc w:val="left"/>
      </w:pPr>
    </w:p>
    <w:p w14:paraId="7B474C8B">
      <w:pPr>
        <w:widowControl/>
        <w:numPr>
          <w:ilvl w:val="0"/>
          <w:numId w:val="0"/>
        </w:numPr>
        <w:shd w:val="clear" w:color="auto" w:fill="FFFFFF"/>
        <w:spacing w:before="0" w:beforeAutospacing="0" w:after="0" w:afterAutospacing="0"/>
        <w:ind w:left="0" w:leftChars="0" w:firstLine="0" w:firstLineChars="0"/>
        <w:jc w:val="both"/>
        <w:rPr>
          <w:rFonts w:hint="eastAsia" w:ascii="Times New Roman" w:hAnsi="Times New Roman" w:eastAsia="黑体" w:cs="Times New Roman"/>
          <w:b w:val="0"/>
          <w:bCs/>
          <w:kern w:val="0"/>
          <w:sz w:val="24"/>
          <w:szCs w:val="24"/>
          <w:lang w:val="en-US" w:eastAsia="zh-CN" w:bidi="ar-SA"/>
        </w:rPr>
      </w:pPr>
      <w:r>
        <w:rPr>
          <w:rFonts w:hint="eastAsia" w:ascii="Times New Roman" w:hAnsi="Times New Roman" w:eastAsia="黑体" w:cs="Times New Roman"/>
          <w:b w:val="0"/>
          <w:bCs/>
          <w:kern w:val="0"/>
          <w:sz w:val="24"/>
          <w:szCs w:val="24"/>
          <w:lang w:val="en-US" w:eastAsia="zh-CN" w:bidi="ar-SA"/>
        </w:rPr>
        <w:t>The Bookinfo microservices application has been successfully deployed into the Kubernetes cluster. Multiple services, deployments, and service accounts are created, indicating that all components of the application are now running and ready for further testing and access.</w:t>
      </w:r>
    </w:p>
    <w:p w14:paraId="329C77A4">
      <w:pPr>
        <w:widowControl w:val="0"/>
        <w:numPr>
          <w:ilvl w:val="0"/>
          <w:numId w:val="0"/>
        </w:numPr>
        <w:autoSpaceDE w:val="0"/>
        <w:autoSpaceDN w:val="0"/>
        <w:adjustRightInd w:val="0"/>
        <w:spacing w:line="300" w:lineRule="auto"/>
        <w:jc w:val="left"/>
      </w:pPr>
      <w:r>
        <w:drawing>
          <wp:inline distT="0" distB="0" distL="114300" distR="114300">
            <wp:extent cx="5269230" cy="2135505"/>
            <wp:effectExtent l="0" t="0" r="1270" b="10795"/>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pic:cNvPicPr>
                  </pic:nvPicPr>
                  <pic:blipFill>
                    <a:blip r:embed="rId10"/>
                    <a:stretch>
                      <a:fillRect/>
                    </a:stretch>
                  </pic:blipFill>
                  <pic:spPr>
                    <a:xfrm>
                      <a:off x="0" y="0"/>
                      <a:ext cx="5269230" cy="2135505"/>
                    </a:xfrm>
                    <a:prstGeom prst="rect">
                      <a:avLst/>
                    </a:prstGeom>
                    <a:noFill/>
                    <a:ln>
                      <a:noFill/>
                    </a:ln>
                  </pic:spPr>
                </pic:pic>
              </a:graphicData>
            </a:graphic>
          </wp:inline>
        </w:drawing>
      </w:r>
    </w:p>
    <w:p w14:paraId="3424C045">
      <w:pPr>
        <w:widowControl w:val="0"/>
        <w:numPr>
          <w:ilvl w:val="0"/>
          <w:numId w:val="0"/>
        </w:numPr>
        <w:autoSpaceDE w:val="0"/>
        <w:autoSpaceDN w:val="0"/>
        <w:adjustRightInd w:val="0"/>
        <w:spacing w:line="300" w:lineRule="auto"/>
        <w:jc w:val="left"/>
      </w:pPr>
    </w:p>
    <w:p w14:paraId="293FDB5A">
      <w:pPr>
        <w:widowControl/>
        <w:numPr>
          <w:ilvl w:val="0"/>
          <w:numId w:val="0"/>
        </w:numPr>
        <w:shd w:val="clear" w:color="auto" w:fill="FFFFFF"/>
        <w:spacing w:before="0" w:beforeAutospacing="0" w:after="0" w:afterAutospacing="0"/>
        <w:ind w:left="0" w:leftChars="0" w:firstLine="0" w:firstLineChars="0"/>
        <w:jc w:val="both"/>
        <w:rPr>
          <w:rFonts w:hint="eastAsia" w:ascii="Times New Roman" w:hAnsi="Times New Roman" w:eastAsia="黑体" w:cs="Times New Roman"/>
          <w:b w:val="0"/>
          <w:bCs/>
          <w:kern w:val="0"/>
          <w:sz w:val="24"/>
          <w:szCs w:val="24"/>
          <w:lang w:val="en-US" w:eastAsia="zh-CN" w:bidi="ar-SA"/>
        </w:rPr>
      </w:pPr>
      <w:r>
        <w:rPr>
          <w:rFonts w:hint="eastAsia" w:ascii="Times New Roman" w:hAnsi="Times New Roman" w:eastAsia="黑体" w:cs="Times New Roman"/>
          <w:b w:val="0"/>
          <w:bCs/>
          <w:kern w:val="0"/>
          <w:sz w:val="24"/>
          <w:szCs w:val="24"/>
          <w:lang w:val="en-US" w:eastAsia="zh-CN" w:bidi="ar-SA"/>
        </w:rPr>
        <w:t>The services have been created successfully, but most pods are still in the “ContainerCreating” state, which means they are starting up and pulling images. Only one pod is already running, indicating the deployment is in progress.</w:t>
      </w:r>
    </w:p>
    <w:p w14:paraId="4A7C8D0A">
      <w:pPr>
        <w:widowControl w:val="0"/>
        <w:numPr>
          <w:ilvl w:val="0"/>
          <w:numId w:val="0"/>
        </w:numPr>
        <w:autoSpaceDE w:val="0"/>
        <w:autoSpaceDN w:val="0"/>
        <w:adjustRightInd w:val="0"/>
        <w:spacing w:line="300" w:lineRule="auto"/>
        <w:jc w:val="left"/>
      </w:pPr>
      <w:r>
        <w:drawing>
          <wp:inline distT="0" distB="0" distL="114300" distR="114300">
            <wp:extent cx="5271135" cy="2139315"/>
            <wp:effectExtent l="0" t="0" r="12065" b="6985"/>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11"/>
                    <a:stretch>
                      <a:fillRect/>
                    </a:stretch>
                  </pic:blipFill>
                  <pic:spPr>
                    <a:xfrm>
                      <a:off x="0" y="0"/>
                      <a:ext cx="5271135" cy="2139315"/>
                    </a:xfrm>
                    <a:prstGeom prst="rect">
                      <a:avLst/>
                    </a:prstGeom>
                    <a:noFill/>
                    <a:ln>
                      <a:noFill/>
                    </a:ln>
                  </pic:spPr>
                </pic:pic>
              </a:graphicData>
            </a:graphic>
          </wp:inline>
        </w:drawing>
      </w:r>
    </w:p>
    <w:p w14:paraId="46D41CFD">
      <w:pPr>
        <w:widowControl w:val="0"/>
        <w:numPr>
          <w:ilvl w:val="0"/>
          <w:numId w:val="0"/>
        </w:numPr>
        <w:autoSpaceDE w:val="0"/>
        <w:autoSpaceDN w:val="0"/>
        <w:adjustRightInd w:val="0"/>
        <w:spacing w:line="300" w:lineRule="auto"/>
        <w:jc w:val="left"/>
      </w:pPr>
    </w:p>
    <w:p w14:paraId="660A9B50">
      <w:pPr>
        <w:widowControl/>
        <w:numPr>
          <w:ilvl w:val="0"/>
          <w:numId w:val="0"/>
        </w:numPr>
        <w:shd w:val="clear" w:color="auto" w:fill="FFFFFF"/>
        <w:spacing w:before="0" w:beforeAutospacing="0" w:after="0" w:afterAutospacing="0"/>
        <w:ind w:left="0" w:leftChars="0" w:firstLine="0" w:firstLineChars="0"/>
        <w:jc w:val="both"/>
        <w:rPr>
          <w:rFonts w:hint="eastAsia" w:ascii="Times New Roman" w:hAnsi="Times New Roman" w:eastAsia="黑体" w:cs="Times New Roman"/>
          <w:b w:val="0"/>
          <w:bCs/>
          <w:kern w:val="0"/>
          <w:sz w:val="24"/>
          <w:szCs w:val="24"/>
          <w:lang w:val="en-US" w:eastAsia="zh-CN" w:bidi="ar-SA"/>
        </w:rPr>
      </w:pPr>
      <w:r>
        <w:rPr>
          <w:rFonts w:hint="eastAsia" w:ascii="Times New Roman" w:hAnsi="Times New Roman" w:eastAsia="黑体" w:cs="Times New Roman"/>
          <w:b w:val="0"/>
          <w:bCs/>
          <w:kern w:val="0"/>
          <w:sz w:val="24"/>
          <w:szCs w:val="24"/>
          <w:lang w:val="en-US" w:eastAsia="zh-CN" w:bidi="ar-SA"/>
        </w:rPr>
        <w:t>The request to the Bookinfo application is successful, and the returned page title confirms that the service is working correctly. This indicates that the microservices can communicate with each other and the application is running as expected.</w:t>
      </w:r>
    </w:p>
    <w:p w14:paraId="281CE1C5">
      <w:pPr>
        <w:widowControl w:val="0"/>
        <w:numPr>
          <w:ilvl w:val="0"/>
          <w:numId w:val="0"/>
        </w:numPr>
        <w:autoSpaceDE w:val="0"/>
        <w:autoSpaceDN w:val="0"/>
        <w:adjustRightInd w:val="0"/>
        <w:spacing w:line="300" w:lineRule="auto"/>
        <w:jc w:val="left"/>
      </w:pPr>
      <w:r>
        <w:drawing>
          <wp:inline distT="0" distB="0" distL="114300" distR="114300">
            <wp:extent cx="5270500" cy="903605"/>
            <wp:effectExtent l="0" t="0" r="0" b="1079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pic:cNvPicPr>
                  </pic:nvPicPr>
                  <pic:blipFill>
                    <a:blip r:embed="rId12"/>
                    <a:stretch>
                      <a:fillRect/>
                    </a:stretch>
                  </pic:blipFill>
                  <pic:spPr>
                    <a:xfrm>
                      <a:off x="0" y="0"/>
                      <a:ext cx="5270500" cy="903605"/>
                    </a:xfrm>
                    <a:prstGeom prst="rect">
                      <a:avLst/>
                    </a:prstGeom>
                    <a:noFill/>
                    <a:ln>
                      <a:noFill/>
                    </a:ln>
                  </pic:spPr>
                </pic:pic>
              </a:graphicData>
            </a:graphic>
          </wp:inline>
        </w:drawing>
      </w:r>
    </w:p>
    <w:p w14:paraId="0C27DFF0">
      <w:pPr>
        <w:widowControl w:val="0"/>
        <w:numPr>
          <w:ilvl w:val="0"/>
          <w:numId w:val="0"/>
        </w:numPr>
        <w:autoSpaceDE w:val="0"/>
        <w:autoSpaceDN w:val="0"/>
        <w:adjustRightInd w:val="0"/>
        <w:spacing w:line="300" w:lineRule="auto"/>
        <w:jc w:val="left"/>
      </w:pPr>
    </w:p>
    <w:p w14:paraId="34AA1B35">
      <w:pPr>
        <w:widowControl/>
        <w:numPr>
          <w:ilvl w:val="0"/>
          <w:numId w:val="0"/>
        </w:numPr>
        <w:shd w:val="clear" w:color="auto" w:fill="FFFFFF"/>
        <w:spacing w:before="0" w:beforeAutospacing="0" w:after="0" w:afterAutospacing="0"/>
        <w:ind w:left="0" w:leftChars="0" w:firstLine="0" w:firstLineChars="0"/>
        <w:jc w:val="both"/>
        <w:rPr>
          <w:rFonts w:hint="eastAsia" w:ascii="Times New Roman" w:hAnsi="Times New Roman" w:eastAsia="黑体" w:cs="Times New Roman"/>
          <w:b w:val="0"/>
          <w:bCs/>
          <w:kern w:val="0"/>
          <w:sz w:val="24"/>
          <w:szCs w:val="24"/>
          <w:lang w:val="en-US" w:eastAsia="zh-CN" w:bidi="ar-SA"/>
        </w:rPr>
      </w:pPr>
      <w:r>
        <w:rPr>
          <w:rFonts w:hint="eastAsia" w:ascii="Times New Roman" w:hAnsi="Times New Roman" w:eastAsia="黑体" w:cs="Times New Roman"/>
          <w:b w:val="0"/>
          <w:bCs/>
          <w:kern w:val="0"/>
          <w:sz w:val="24"/>
          <w:szCs w:val="24"/>
          <w:lang w:val="en-US" w:eastAsia="zh-CN" w:bidi="ar-SA"/>
        </w:rPr>
        <w:t>The gateway configuration has been successfully applied, enabling external access to the Bookinfo application. The analysis output shows only informational warnings, mainly indicating that the namespace has not enabled automatic sidecar injection and that a service port naming convention is not fully compliant. These do not affect basic functionality but may impact advanced Istio features.</w:t>
      </w:r>
    </w:p>
    <w:p w14:paraId="04098BD9">
      <w:pPr>
        <w:widowControl w:val="0"/>
        <w:numPr>
          <w:ilvl w:val="0"/>
          <w:numId w:val="0"/>
        </w:numPr>
        <w:autoSpaceDE w:val="0"/>
        <w:autoSpaceDN w:val="0"/>
        <w:adjustRightInd w:val="0"/>
        <w:spacing w:line="300" w:lineRule="auto"/>
        <w:jc w:val="left"/>
      </w:pPr>
      <w:r>
        <w:drawing>
          <wp:inline distT="0" distB="0" distL="114300" distR="114300">
            <wp:extent cx="5266690" cy="1230630"/>
            <wp:effectExtent l="0" t="0" r="3810" b="127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pic:cNvPicPr>
                  </pic:nvPicPr>
                  <pic:blipFill>
                    <a:blip r:embed="rId13"/>
                    <a:stretch>
                      <a:fillRect/>
                    </a:stretch>
                  </pic:blipFill>
                  <pic:spPr>
                    <a:xfrm>
                      <a:off x="0" y="0"/>
                      <a:ext cx="5266690" cy="1230630"/>
                    </a:xfrm>
                    <a:prstGeom prst="rect">
                      <a:avLst/>
                    </a:prstGeom>
                    <a:noFill/>
                    <a:ln>
                      <a:noFill/>
                    </a:ln>
                  </pic:spPr>
                </pic:pic>
              </a:graphicData>
            </a:graphic>
          </wp:inline>
        </w:drawing>
      </w:r>
      <w:bookmarkStart w:id="0" w:name="_GoBack"/>
      <w:bookmarkEnd w:id="0"/>
    </w:p>
    <w:p w14:paraId="148B23F4">
      <w:pPr>
        <w:widowControl/>
        <w:numPr>
          <w:ilvl w:val="0"/>
          <w:numId w:val="0"/>
        </w:numPr>
        <w:shd w:val="clear" w:color="auto" w:fill="FFFFFF"/>
        <w:spacing w:before="0" w:beforeAutospacing="0" w:after="0" w:afterAutospacing="0"/>
        <w:ind w:left="0" w:leftChars="0" w:firstLine="0" w:firstLineChars="0"/>
        <w:jc w:val="both"/>
        <w:rPr>
          <w:rFonts w:hint="eastAsia" w:ascii="Times New Roman" w:hAnsi="Times New Roman" w:eastAsia="黑体" w:cs="Times New Roman"/>
          <w:b w:val="0"/>
          <w:bCs/>
          <w:kern w:val="0"/>
          <w:sz w:val="24"/>
          <w:szCs w:val="24"/>
          <w:lang w:val="en-US" w:eastAsia="zh-CN" w:bidi="ar-SA"/>
        </w:rPr>
      </w:pPr>
      <w:r>
        <w:rPr>
          <w:rFonts w:hint="eastAsia" w:ascii="Times New Roman" w:hAnsi="Times New Roman" w:eastAsia="黑体" w:cs="Times New Roman"/>
          <w:b w:val="0"/>
          <w:bCs/>
          <w:kern w:val="0"/>
          <w:sz w:val="24"/>
          <w:szCs w:val="24"/>
          <w:lang w:val="en-US" w:eastAsia="zh-CN" w:bidi="ar-SA"/>
        </w:rPr>
        <w:t>The Bookinfo application is successfully accessed through the browser, and the product page is displayed correctly. This confirms that the service deployment, networking configuration, and external access are all functioning as expected.</w:t>
      </w:r>
    </w:p>
    <w:p w14:paraId="6852841C">
      <w:pPr>
        <w:widowControl w:val="0"/>
        <w:numPr>
          <w:ilvl w:val="0"/>
          <w:numId w:val="0"/>
        </w:numPr>
        <w:autoSpaceDE w:val="0"/>
        <w:autoSpaceDN w:val="0"/>
        <w:adjustRightInd w:val="0"/>
        <w:spacing w:line="300" w:lineRule="auto"/>
        <w:jc w:val="left"/>
        <w:rPr>
          <w:rFonts w:hint="default"/>
        </w:rPr>
      </w:pPr>
      <w:r>
        <w:drawing>
          <wp:inline distT="0" distB="0" distL="114300" distR="114300">
            <wp:extent cx="5268595" cy="1475740"/>
            <wp:effectExtent l="0" t="0" r="1905" b="1016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pic:cNvPicPr>
                      <a:picLocks noChangeAspect="1"/>
                    </pic:cNvPicPr>
                  </pic:nvPicPr>
                  <pic:blipFill>
                    <a:blip r:embed="rId14"/>
                    <a:stretch>
                      <a:fillRect/>
                    </a:stretch>
                  </pic:blipFill>
                  <pic:spPr>
                    <a:xfrm>
                      <a:off x="0" y="0"/>
                      <a:ext cx="5268595" cy="1475740"/>
                    </a:xfrm>
                    <a:prstGeom prst="rect">
                      <a:avLst/>
                    </a:prstGeom>
                    <a:noFill/>
                    <a:ln>
                      <a:noFill/>
                    </a:ln>
                  </pic:spPr>
                </pic:pic>
              </a:graphicData>
            </a:graphic>
          </wp:inline>
        </w:drawing>
      </w:r>
    </w:p>
    <w:p w14:paraId="2C571B58">
      <w:pPr>
        <w:autoSpaceDE w:val="0"/>
        <w:autoSpaceDN w:val="0"/>
        <w:adjustRightInd w:val="0"/>
        <w:spacing w:line="300" w:lineRule="auto"/>
        <w:jc w:val="left"/>
        <w:rPr>
          <w:rFonts w:hint="default" w:ascii="Times New Roman" w:hAnsi="Times New Roman" w:eastAsia="黑体" w:cs="Times New Roman"/>
          <w:b/>
          <w:kern w:val="0"/>
          <w:sz w:val="28"/>
          <w:szCs w:val="28"/>
        </w:rPr>
      </w:pPr>
      <w:r>
        <w:rPr>
          <w:rFonts w:hint="default" w:ascii="Times New Roman" w:hAnsi="Times New Roman" w:eastAsia="黑体" w:cs="Times New Roman"/>
          <w:b/>
          <w:kern w:val="0"/>
          <w:sz w:val="28"/>
          <w:szCs w:val="28"/>
        </w:rPr>
        <w:t>四、Reflection</w:t>
      </w:r>
    </w:p>
    <w:p w14:paraId="658AFE6C">
      <w:pPr>
        <w:numPr>
          <w:ilvl w:val="0"/>
          <w:numId w:val="0"/>
        </w:numPr>
        <w:autoSpaceDE w:val="0"/>
        <w:autoSpaceDN w:val="0"/>
        <w:adjustRightInd w:val="0"/>
        <w:spacing w:line="300" w:lineRule="auto"/>
        <w:jc w:val="both"/>
        <w:rPr>
          <w:rFonts w:hint="default" w:eastAsia="黑体" w:cs="Times New Roman"/>
          <w:b w:val="0"/>
          <w:bCs/>
          <w:kern w:val="0"/>
          <w:sz w:val="24"/>
          <w:szCs w:val="24"/>
          <w:lang w:val="en-US" w:eastAsia="zh-CN"/>
        </w:rPr>
      </w:pPr>
      <w:r>
        <w:rPr>
          <w:rFonts w:hint="eastAsia" w:eastAsia="黑体" w:cs="Times New Roman"/>
          <w:b w:val="0"/>
          <w:bCs/>
          <w:kern w:val="0"/>
          <w:sz w:val="24"/>
          <w:szCs w:val="24"/>
          <w:lang w:val="en-US" w:eastAsia="zh-CN"/>
        </w:rPr>
        <w:t>1. This experiment provides a clear and practical understanding of how a service mesh operates in a Kubernetes environment. Compared with traditional microservices communication, Istio introduces an additional abstraction layer through sidecar proxies, which significantly enhances traffic control and observability. The overall workflow becomes more structured, and complex functionalities can be implemented without modifying application code.</w:t>
      </w:r>
    </w:p>
    <w:p w14:paraId="71332DE4">
      <w:pPr>
        <w:numPr>
          <w:ilvl w:val="0"/>
          <w:numId w:val="0"/>
        </w:numPr>
        <w:autoSpaceDE w:val="0"/>
        <w:autoSpaceDN w:val="0"/>
        <w:adjustRightInd w:val="0"/>
        <w:spacing w:line="300" w:lineRule="auto"/>
        <w:jc w:val="both"/>
        <w:rPr>
          <w:rFonts w:hint="default" w:eastAsia="黑体" w:cs="Times New Roman"/>
          <w:b w:val="0"/>
          <w:bCs/>
          <w:kern w:val="0"/>
          <w:sz w:val="24"/>
          <w:szCs w:val="24"/>
          <w:lang w:val="en-US" w:eastAsia="zh-CN"/>
        </w:rPr>
      </w:pPr>
      <w:r>
        <w:rPr>
          <w:rFonts w:hint="eastAsia" w:eastAsia="黑体" w:cs="Times New Roman"/>
          <w:b w:val="0"/>
          <w:bCs/>
          <w:kern w:val="0"/>
          <w:sz w:val="24"/>
          <w:szCs w:val="24"/>
          <w:lang w:val="en-US" w:eastAsia="zh-CN"/>
        </w:rPr>
        <w:t>2. The installation and configuration process highlights the importance of environment consistency and dependency management. Small issues such as missing namespace labels or incorrect configurations can directly affect the behavior of the system. This reinforces the need for careful verification at each step, especially when deploying distributed systems where errors are often not immediately visible.</w:t>
      </w:r>
    </w:p>
    <w:p w14:paraId="0A9B8F14">
      <w:pPr>
        <w:numPr>
          <w:ilvl w:val="0"/>
          <w:numId w:val="0"/>
        </w:numPr>
        <w:autoSpaceDE w:val="0"/>
        <w:autoSpaceDN w:val="0"/>
        <w:adjustRightInd w:val="0"/>
        <w:spacing w:line="300" w:lineRule="auto"/>
        <w:jc w:val="both"/>
        <w:rPr>
          <w:rFonts w:hint="default" w:eastAsia="黑体" w:cs="Times New Roman"/>
          <w:b w:val="0"/>
          <w:bCs/>
          <w:kern w:val="0"/>
          <w:sz w:val="24"/>
          <w:szCs w:val="24"/>
          <w:lang w:val="en-US" w:eastAsia="zh-CN"/>
        </w:rPr>
      </w:pPr>
      <w:r>
        <w:rPr>
          <w:rFonts w:hint="eastAsia" w:eastAsia="黑体" w:cs="Times New Roman"/>
          <w:b w:val="0"/>
          <w:bCs/>
          <w:kern w:val="0"/>
          <w:sz w:val="24"/>
          <w:szCs w:val="24"/>
          <w:lang w:val="en-US" w:eastAsia="zh-CN"/>
        </w:rPr>
        <w:t>3. The concept of sidecar injection is particularly insightful. It demonstrates how infrastructure-level capabilities can be decoupled from application logic, allowing developers to focus on business functionality while delegating concerns such as routing, monitoring, and security to the service mesh. This design reflects a more scalable and maintainable approach to modern system architecture.</w:t>
      </w:r>
    </w:p>
    <w:p w14:paraId="1B0DD8FD">
      <w:pPr>
        <w:numPr>
          <w:ilvl w:val="0"/>
          <w:numId w:val="0"/>
        </w:numPr>
        <w:autoSpaceDE w:val="0"/>
        <w:autoSpaceDN w:val="0"/>
        <w:adjustRightInd w:val="0"/>
        <w:spacing w:line="300" w:lineRule="auto"/>
        <w:jc w:val="both"/>
        <w:rPr>
          <w:rFonts w:hint="eastAsia" w:eastAsia="黑体" w:cs="Times New Roman"/>
          <w:b w:val="0"/>
          <w:bCs/>
          <w:kern w:val="0"/>
          <w:sz w:val="24"/>
          <w:szCs w:val="24"/>
          <w:lang w:val="en-US" w:eastAsia="zh-CN"/>
        </w:rPr>
      </w:pPr>
      <w:r>
        <w:rPr>
          <w:rFonts w:hint="eastAsia" w:eastAsia="黑体" w:cs="Times New Roman"/>
          <w:b w:val="0"/>
          <w:bCs/>
          <w:kern w:val="0"/>
          <w:sz w:val="24"/>
          <w:szCs w:val="24"/>
          <w:lang w:val="en-US" w:eastAsia="zh-CN"/>
        </w:rPr>
        <w:t>4. The use of Gateway API for external access reveals a more standardized and flexible method for managing ingress traffic. Compared with traditional ingress configurations, it provides clearer abstraction and better extensibility. At the same time, it also introduces additional configuration complexity, which requires a deeper understanding of Kubernetes networking concepts.</w:t>
      </w:r>
    </w:p>
    <w:p w14:paraId="438AEC90">
      <w:pPr>
        <w:numPr>
          <w:ilvl w:val="0"/>
          <w:numId w:val="0"/>
        </w:numPr>
        <w:autoSpaceDE w:val="0"/>
        <w:autoSpaceDN w:val="0"/>
        <w:adjustRightInd w:val="0"/>
        <w:spacing w:line="300" w:lineRule="auto"/>
        <w:jc w:val="both"/>
        <w:rPr>
          <w:rFonts w:hint="eastAsia" w:eastAsia="黑体" w:cs="Times New Roman"/>
          <w:b w:val="0"/>
          <w:bCs/>
          <w:kern w:val="0"/>
          <w:sz w:val="24"/>
          <w:szCs w:val="24"/>
          <w:lang w:val="en-US" w:eastAsia="zh-CN"/>
        </w:rPr>
      </w:pPr>
      <w:r>
        <w:rPr>
          <w:rFonts w:hint="eastAsia" w:eastAsia="黑体" w:cs="Times New Roman"/>
          <w:b w:val="0"/>
          <w:bCs/>
          <w:kern w:val="0"/>
          <w:sz w:val="24"/>
          <w:szCs w:val="24"/>
          <w:lang w:val="en-US" w:eastAsia="zh-CN"/>
        </w:rPr>
        <w:t>5. The visualization through Kiali offers an intuitive perspective on service interactions, making abstract traffic flows easier to understand. Observing real-time request paths and dependencies helps identify potential bottlenecks and improves system transparency. This part of the experiment emphasizes the value of observability tools in managing and optimizing microservices systems.</w:t>
      </w:r>
    </w:p>
    <w:p w14:paraId="3C245062">
      <w:pPr>
        <w:numPr>
          <w:ilvl w:val="0"/>
          <w:numId w:val="0"/>
        </w:numPr>
        <w:autoSpaceDE w:val="0"/>
        <w:autoSpaceDN w:val="0"/>
        <w:adjustRightInd w:val="0"/>
        <w:spacing w:line="300" w:lineRule="auto"/>
        <w:jc w:val="both"/>
        <w:rPr>
          <w:rFonts w:hint="eastAsia" w:eastAsia="黑体" w:cs="Times New Roman"/>
          <w:b w:val="0"/>
          <w:bCs/>
          <w:kern w:val="0"/>
          <w:sz w:val="24"/>
          <w:szCs w:val="24"/>
          <w:lang w:val="en-US" w:eastAsia="zh-CN"/>
        </w:rPr>
      </w:pPr>
    </w:p>
    <w:p w14:paraId="4809967E">
      <w:pPr>
        <w:numPr>
          <w:ilvl w:val="0"/>
          <w:numId w:val="0"/>
        </w:numPr>
        <w:autoSpaceDE w:val="0"/>
        <w:autoSpaceDN w:val="0"/>
        <w:adjustRightInd w:val="0"/>
        <w:spacing w:line="300" w:lineRule="auto"/>
        <w:jc w:val="center"/>
        <w:rPr>
          <w:rFonts w:hint="eastAsia" w:ascii="Times New Roman" w:eastAsia="宋体"/>
          <w:b/>
          <w:bCs/>
          <w:sz w:val="28"/>
          <w:lang w:val="en-US" w:eastAsia="zh-CN"/>
        </w:rPr>
      </w:pPr>
      <w:r>
        <w:rPr>
          <w:rFonts w:hint="eastAsia"/>
          <w:b/>
          <w:bCs/>
          <w:sz w:val="28"/>
        </w:rPr>
        <w:t>附录</w:t>
      </w:r>
      <w:r>
        <w:rPr>
          <w:rFonts w:hint="eastAsia" w:ascii="Times New Roman" w:eastAsia="宋体"/>
          <w:b/>
          <w:bCs/>
          <w:sz w:val="28"/>
          <w:lang w:val="en-US" w:eastAsia="zh-CN"/>
        </w:rPr>
        <w:t xml:space="preserve"> 程序命令代码</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Layout w:type="autofit"/>
        <w:tblCellMar>
          <w:top w:w="0" w:type="dxa"/>
          <w:left w:w="108" w:type="dxa"/>
          <w:bottom w:w="0" w:type="dxa"/>
          <w:right w:w="108" w:type="dxa"/>
        </w:tblCellMar>
      </w:tblPr>
      <w:tblGrid>
        <w:gridCol w:w="8522"/>
      </w:tblGrid>
      <w:tr w14:paraId="5D31138B">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108" w:type="dxa"/>
            <w:bottom w:w="0" w:type="dxa"/>
            <w:right w:w="108" w:type="dxa"/>
          </w:tblCellMar>
        </w:tblPrEx>
        <w:tc>
          <w:tcPr>
            <w:tcW w:w="8522" w:type="dxa"/>
            <w:tcBorders>
              <w:top w:val="single" w:color="auto" w:sz="8" w:space="0"/>
              <w:left w:val="single" w:color="auto" w:sz="8" w:space="0"/>
              <w:bottom w:val="single" w:color="auto" w:sz="8" w:space="0"/>
              <w:right w:val="single" w:color="auto" w:sz="8" w:space="0"/>
            </w:tcBorders>
            <w:shd w:val="clear" w:color="auto" w:fill="D7D7D7" w:themeFill="background1" w:themeFillShade="D8"/>
          </w:tcPr>
          <w:p w14:paraId="28DEC495">
            <w:pPr>
              <w:keepNext w:val="0"/>
              <w:keepLines w:val="0"/>
              <w:pageBreakBefore w:val="0"/>
              <w:widowControl w:val="0"/>
              <w:kinsoku/>
              <w:wordWrap/>
              <w:overflowPunct/>
              <w:topLinePunct w:val="0"/>
              <w:autoSpaceDE/>
              <w:autoSpaceDN/>
              <w:bidi w:val="0"/>
              <w:adjustRightInd/>
              <w:snapToGrid/>
              <w:spacing w:line="300" w:lineRule="auto"/>
              <w:ind w:left="0" w:leftChars="0" w:firstLine="0" w:firstLineChars="0"/>
              <w:textAlignment w:val="auto"/>
              <w:rPr>
                <w:rFonts w:hint="default" w:eastAsia="宋体"/>
                <w:sz w:val="28"/>
                <w:vertAlign w:val="baseline"/>
                <w:lang w:val="en-US" w:eastAsia="zh-CN"/>
              </w:rPr>
            </w:pPr>
            <w:r>
              <w:rPr>
                <w:rFonts w:hint="default" w:ascii="Times New Roman" w:hAnsi="Times New Roman" w:eastAsia="宋体" w:cs="Times New Roman"/>
                <w:sz w:val="24"/>
                <w:szCs w:val="24"/>
                <w:vertAlign w:val="baseline"/>
                <w:lang w:val="en-US" w:eastAsia="zh-CN"/>
              </w:rPr>
              <w:t>附录</w:t>
            </w:r>
            <w:r>
              <w:rPr>
                <w:rFonts w:hint="eastAsia" w:ascii="Times New Roman" w:hAnsi="Times New Roman" w:cs="Times New Roman"/>
                <w:sz w:val="24"/>
                <w:szCs w:val="24"/>
                <w:vertAlign w:val="baseline"/>
                <w:lang w:val="en-US" w:eastAsia="zh-CN"/>
              </w:rPr>
              <w:t>1：启动Minikube和Kubernetes集群</w:t>
            </w:r>
          </w:p>
        </w:tc>
      </w:tr>
      <w:tr w14:paraId="23F2450E">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108" w:type="dxa"/>
            <w:bottom w:w="0" w:type="dxa"/>
            <w:right w:w="108" w:type="dxa"/>
          </w:tblCellMar>
        </w:tblPrEx>
        <w:tc>
          <w:tcPr>
            <w:tcW w:w="8522" w:type="dxa"/>
            <w:tcBorders>
              <w:top w:val="single" w:color="auto" w:sz="8" w:space="0"/>
              <w:left w:val="single" w:color="auto" w:sz="8" w:space="0"/>
              <w:bottom w:val="single" w:color="auto" w:sz="8" w:space="0"/>
              <w:right w:val="single" w:color="auto" w:sz="8" w:space="0"/>
            </w:tcBorders>
          </w:tcPr>
          <w:p w14:paraId="04B18F5C">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szCs w:val="28"/>
                <w:vertAlign w:val="baseline"/>
              </w:rPr>
            </w:pPr>
            <w:r>
              <w:rPr>
                <w:rFonts w:hint="eastAsia"/>
                <w:sz w:val="28"/>
                <w:szCs w:val="28"/>
                <w:vertAlign w:val="baseline"/>
              </w:rPr>
              <w:t>minikube start</w:t>
            </w:r>
          </w:p>
          <w:p w14:paraId="1934A744">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kubectl cluster-info</w:t>
            </w:r>
          </w:p>
          <w:p w14:paraId="3FDB742C">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kubectl cluster-info dump</w:t>
            </w:r>
          </w:p>
        </w:tc>
      </w:tr>
    </w:tbl>
    <w:p w14:paraId="00DC61DA">
      <w:pPr>
        <w:numPr>
          <w:ilvl w:val="0"/>
          <w:numId w:val="0"/>
        </w:numPr>
        <w:autoSpaceDE w:val="0"/>
        <w:autoSpaceDN w:val="0"/>
        <w:adjustRightInd w:val="0"/>
        <w:spacing w:line="300" w:lineRule="auto"/>
        <w:jc w:val="left"/>
        <w:rPr>
          <w:rFonts w:hint="default" w:ascii="Times New Roman" w:eastAsia="宋体"/>
          <w:b/>
          <w:bCs/>
          <w:sz w:val="28"/>
          <w:lang w:val="en-US" w:eastAsia="zh-CN"/>
        </w:rPr>
      </w:pP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Layout w:type="autofit"/>
        <w:tblCellMar>
          <w:top w:w="0" w:type="dxa"/>
          <w:left w:w="108" w:type="dxa"/>
          <w:bottom w:w="0" w:type="dxa"/>
          <w:right w:w="108" w:type="dxa"/>
        </w:tblCellMar>
      </w:tblPr>
      <w:tblGrid>
        <w:gridCol w:w="8522"/>
      </w:tblGrid>
      <w:tr w14:paraId="626DCA34">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108" w:type="dxa"/>
            <w:bottom w:w="0" w:type="dxa"/>
            <w:right w:w="108" w:type="dxa"/>
          </w:tblCellMar>
        </w:tblPrEx>
        <w:tc>
          <w:tcPr>
            <w:tcW w:w="8522" w:type="dxa"/>
            <w:tcBorders>
              <w:top w:val="single" w:color="auto" w:sz="8" w:space="0"/>
              <w:left w:val="single" w:color="auto" w:sz="8" w:space="0"/>
              <w:bottom w:val="single" w:color="auto" w:sz="8" w:space="0"/>
              <w:right w:val="single" w:color="auto" w:sz="8" w:space="0"/>
            </w:tcBorders>
            <w:shd w:val="clear" w:color="auto" w:fill="D7D7D7" w:themeFill="background1" w:themeFillShade="D8"/>
          </w:tcPr>
          <w:p w14:paraId="2077E49D">
            <w:pPr>
              <w:keepNext w:val="0"/>
              <w:keepLines w:val="0"/>
              <w:pageBreakBefore w:val="0"/>
              <w:widowControl w:val="0"/>
              <w:kinsoku/>
              <w:wordWrap/>
              <w:overflowPunct/>
              <w:topLinePunct w:val="0"/>
              <w:autoSpaceDE/>
              <w:autoSpaceDN/>
              <w:bidi w:val="0"/>
              <w:adjustRightInd/>
              <w:snapToGrid/>
              <w:spacing w:line="300" w:lineRule="auto"/>
              <w:ind w:left="0" w:leftChars="0" w:firstLine="0" w:firstLineChars="0"/>
              <w:textAlignment w:val="auto"/>
              <w:rPr>
                <w:rFonts w:hint="default" w:eastAsia="宋体"/>
                <w:sz w:val="28"/>
                <w:vertAlign w:val="baseline"/>
                <w:lang w:val="en-US" w:eastAsia="zh-CN"/>
              </w:rPr>
            </w:pPr>
            <w:r>
              <w:rPr>
                <w:rFonts w:hint="default" w:ascii="Times New Roman" w:hAnsi="Times New Roman" w:eastAsia="宋体" w:cs="Times New Roman"/>
                <w:sz w:val="24"/>
                <w:szCs w:val="24"/>
                <w:vertAlign w:val="baseline"/>
                <w:lang w:val="en-US" w:eastAsia="zh-CN"/>
              </w:rPr>
              <w:t>附录</w:t>
            </w:r>
            <w:r>
              <w:rPr>
                <w:rFonts w:hint="eastAsia" w:ascii="Times New Roman" w:hAnsi="Times New Roman" w:cs="Times New Roman"/>
                <w:sz w:val="24"/>
                <w:szCs w:val="24"/>
                <w:vertAlign w:val="baseline"/>
                <w:lang w:val="en-US" w:eastAsia="zh-CN"/>
              </w:rPr>
              <w:t>2：查看kubectl版本和下载Istio</w:t>
            </w:r>
          </w:p>
        </w:tc>
      </w:tr>
      <w:tr w14:paraId="3A310508">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108" w:type="dxa"/>
            <w:bottom w:w="0" w:type="dxa"/>
            <w:right w:w="108" w:type="dxa"/>
          </w:tblCellMar>
        </w:tblPrEx>
        <w:tc>
          <w:tcPr>
            <w:tcW w:w="8522" w:type="dxa"/>
            <w:tcBorders>
              <w:top w:val="single" w:color="auto" w:sz="8" w:space="0"/>
              <w:left w:val="single" w:color="auto" w:sz="8" w:space="0"/>
              <w:bottom w:val="single" w:color="auto" w:sz="8" w:space="0"/>
              <w:right w:val="single" w:color="auto" w:sz="8" w:space="0"/>
            </w:tcBorders>
          </w:tcPr>
          <w:p w14:paraId="19C08808">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szCs w:val="28"/>
                <w:vertAlign w:val="baseline"/>
              </w:rPr>
            </w:pPr>
            <w:r>
              <w:rPr>
                <w:rFonts w:hint="eastAsia"/>
                <w:sz w:val="28"/>
                <w:szCs w:val="28"/>
                <w:vertAlign w:val="baseline"/>
              </w:rPr>
              <w:t>kubectl version</w:t>
            </w:r>
          </w:p>
          <w:p w14:paraId="1A6299C9">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curl -L https://istio.io/downloadIstio | sh</w:t>
            </w:r>
          </w:p>
          <w:p w14:paraId="6AFB2A40">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export PATH="$PATH:/home/ubuntu/cloud_lab/gitea-lab/lab04/istio-1.29.2/bin"</w:t>
            </w:r>
          </w:p>
          <w:p w14:paraId="4ACD3B6E">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istioctl version</w:t>
            </w:r>
          </w:p>
          <w:p w14:paraId="76C281B9">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istioctl install --set profile=demo -y</w:t>
            </w:r>
          </w:p>
          <w:p w14:paraId="416B9753">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kubectl apply --server-side -f "https://github.com/kubernetes-sigs/gateway-api/releases/download/v1.4.0/experimental-install.yaml"</w:t>
            </w:r>
          </w:p>
        </w:tc>
      </w:tr>
    </w:tbl>
    <w:p w14:paraId="51F7EF5B">
      <w:pPr>
        <w:numPr>
          <w:ilvl w:val="0"/>
          <w:numId w:val="0"/>
        </w:numPr>
        <w:autoSpaceDE w:val="0"/>
        <w:autoSpaceDN w:val="0"/>
        <w:adjustRightInd w:val="0"/>
        <w:spacing w:line="300" w:lineRule="auto"/>
        <w:jc w:val="left"/>
        <w:rPr>
          <w:rFonts w:hint="default" w:ascii="Times New Roman" w:eastAsia="宋体"/>
          <w:b/>
          <w:bCs/>
          <w:sz w:val="28"/>
          <w:lang w:val="en-US" w:eastAsia="zh-CN"/>
        </w:rPr>
      </w:pP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Layout w:type="autofit"/>
        <w:tblCellMar>
          <w:top w:w="0" w:type="dxa"/>
          <w:left w:w="108" w:type="dxa"/>
          <w:bottom w:w="0" w:type="dxa"/>
          <w:right w:w="108" w:type="dxa"/>
        </w:tblCellMar>
      </w:tblPr>
      <w:tblGrid>
        <w:gridCol w:w="8522"/>
      </w:tblGrid>
      <w:tr w14:paraId="58F95595">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108" w:type="dxa"/>
            <w:bottom w:w="0" w:type="dxa"/>
            <w:right w:w="108" w:type="dxa"/>
          </w:tblCellMar>
        </w:tblPrEx>
        <w:tc>
          <w:tcPr>
            <w:tcW w:w="8522" w:type="dxa"/>
            <w:tcBorders>
              <w:top w:val="single" w:color="auto" w:sz="8" w:space="0"/>
              <w:left w:val="single" w:color="auto" w:sz="8" w:space="0"/>
              <w:bottom w:val="single" w:color="auto" w:sz="8" w:space="0"/>
              <w:right w:val="single" w:color="auto" w:sz="8" w:space="0"/>
            </w:tcBorders>
            <w:shd w:val="clear" w:color="auto" w:fill="D7D7D7" w:themeFill="background1" w:themeFillShade="D8"/>
          </w:tcPr>
          <w:p w14:paraId="46C70967">
            <w:pPr>
              <w:keepNext w:val="0"/>
              <w:keepLines w:val="0"/>
              <w:pageBreakBefore w:val="0"/>
              <w:widowControl w:val="0"/>
              <w:kinsoku/>
              <w:wordWrap/>
              <w:overflowPunct/>
              <w:topLinePunct w:val="0"/>
              <w:autoSpaceDE/>
              <w:autoSpaceDN/>
              <w:bidi w:val="0"/>
              <w:adjustRightInd/>
              <w:snapToGrid/>
              <w:spacing w:line="300" w:lineRule="auto"/>
              <w:ind w:left="0" w:leftChars="0" w:firstLine="0" w:firstLineChars="0"/>
              <w:textAlignment w:val="auto"/>
              <w:rPr>
                <w:rFonts w:hint="default" w:eastAsia="宋体"/>
                <w:sz w:val="28"/>
                <w:vertAlign w:val="baseline"/>
                <w:lang w:val="en-US" w:eastAsia="zh-CN"/>
              </w:rPr>
            </w:pPr>
            <w:r>
              <w:rPr>
                <w:rFonts w:hint="default" w:ascii="Times New Roman" w:hAnsi="Times New Roman" w:eastAsia="宋体" w:cs="Times New Roman"/>
                <w:sz w:val="24"/>
                <w:szCs w:val="24"/>
                <w:vertAlign w:val="baseline"/>
                <w:lang w:val="en-US" w:eastAsia="zh-CN"/>
              </w:rPr>
              <w:t>附录</w:t>
            </w:r>
            <w:r>
              <w:rPr>
                <w:rFonts w:hint="eastAsia" w:ascii="Times New Roman" w:hAnsi="Times New Roman" w:cs="Times New Roman"/>
                <w:sz w:val="24"/>
                <w:szCs w:val="24"/>
                <w:vertAlign w:val="baseline"/>
                <w:lang w:val="en-US" w:eastAsia="zh-CN"/>
              </w:rPr>
              <w:t>3：部署Bookinfo示例应用</w:t>
            </w:r>
          </w:p>
        </w:tc>
      </w:tr>
      <w:tr w14:paraId="006FBA24">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108" w:type="dxa"/>
            <w:bottom w:w="0" w:type="dxa"/>
            <w:right w:w="108" w:type="dxa"/>
          </w:tblCellMar>
        </w:tblPrEx>
        <w:tc>
          <w:tcPr>
            <w:tcW w:w="8522" w:type="dxa"/>
            <w:tcBorders>
              <w:top w:val="single" w:color="auto" w:sz="8" w:space="0"/>
              <w:left w:val="single" w:color="auto" w:sz="8" w:space="0"/>
              <w:bottom w:val="single" w:color="auto" w:sz="8" w:space="0"/>
              <w:right w:val="single" w:color="auto" w:sz="8" w:space="0"/>
            </w:tcBorders>
          </w:tcPr>
          <w:p w14:paraId="5ADF51E9">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kubectl apply -f samples/bookinfo/platform/kube/bookinfo.yaml</w:t>
            </w:r>
          </w:p>
          <w:p w14:paraId="2A870095">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kubectl get pods</w:t>
            </w:r>
          </w:p>
          <w:p w14:paraId="45B90A7F">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kubectl get services</w:t>
            </w:r>
          </w:p>
          <w:p w14:paraId="59DACA03">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default" w:eastAsia="宋体"/>
                <w:sz w:val="28"/>
                <w:vertAlign w:val="baseline"/>
                <w:lang w:val="en-US" w:eastAsia="zh-CN"/>
              </w:rPr>
            </w:pPr>
            <w:r>
              <w:rPr>
                <w:rFonts w:hint="eastAsia"/>
                <w:sz w:val="28"/>
                <w:vertAlign w:val="baseline"/>
                <w:lang w:val="en-US" w:eastAsia="zh-CN"/>
              </w:rPr>
              <w:t>// 从PowerShell中先获取 ratings Pod 名称</w:t>
            </w:r>
          </w:p>
          <w:p w14:paraId="1B350E20">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$pod = (kubectl get pod -n default -l app=ratings --field-selector=status.phase=Running -o jsonpath="{.items[0].metadata.name}").Trim()</w:t>
            </w:r>
          </w:p>
          <w:p w14:paraId="585F380C">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lang w:val="en-US" w:eastAsia="zh-CN"/>
              </w:rPr>
            </w:pPr>
            <w:r>
              <w:rPr>
                <w:rFonts w:hint="eastAsia"/>
                <w:sz w:val="28"/>
                <w:vertAlign w:val="baseline"/>
                <w:lang w:val="en-US" w:eastAsia="zh-CN"/>
              </w:rPr>
              <w:t>// 从该 Pod 内访问productpage服务</w:t>
            </w:r>
          </w:p>
          <w:p w14:paraId="3C5141D3">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$html = kubectl exec -n default $pod -- curl -sS productpage:9080/</w:t>
            </w:r>
          </w:p>
          <w:p w14:paraId="2E42ACE9">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default" w:eastAsia="宋体"/>
                <w:sz w:val="28"/>
                <w:vertAlign w:val="baseline"/>
                <w:lang w:val="en-US" w:eastAsia="zh-CN"/>
              </w:rPr>
            </w:pPr>
            <w:r>
              <w:rPr>
                <w:rFonts w:hint="eastAsia"/>
                <w:sz w:val="28"/>
                <w:vertAlign w:val="baseline"/>
                <w:lang w:val="en-US" w:eastAsia="zh-CN"/>
              </w:rPr>
              <w:t>// 用正则提取 HTML 标题</w:t>
            </w:r>
          </w:p>
          <w:p w14:paraId="63B13097">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$m = [regex]::Match($html, '&lt;title&gt;\s*(.*?)\s*&lt;/title&gt;', 'IgnoreCase,Singleline')</w:t>
            </w:r>
          </w:p>
          <w:p w14:paraId="609BF670">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$m.Groups[1].Value</w:t>
            </w:r>
          </w:p>
        </w:tc>
      </w:tr>
    </w:tbl>
    <w:p w14:paraId="3ED63CAE">
      <w:pPr>
        <w:numPr>
          <w:ilvl w:val="0"/>
          <w:numId w:val="0"/>
        </w:numPr>
        <w:autoSpaceDE w:val="0"/>
        <w:autoSpaceDN w:val="0"/>
        <w:adjustRightInd w:val="0"/>
        <w:spacing w:line="300" w:lineRule="auto"/>
        <w:jc w:val="left"/>
        <w:rPr>
          <w:rFonts w:hint="default" w:ascii="Times New Roman" w:eastAsia="宋体"/>
          <w:b/>
          <w:bCs/>
          <w:sz w:val="28"/>
          <w:lang w:val="en-US" w:eastAsia="zh-CN"/>
        </w:rPr>
      </w:pPr>
    </w:p>
    <w:p w14:paraId="167A440B">
      <w:pPr>
        <w:numPr>
          <w:ilvl w:val="0"/>
          <w:numId w:val="0"/>
        </w:numPr>
        <w:autoSpaceDE w:val="0"/>
        <w:autoSpaceDN w:val="0"/>
        <w:adjustRightInd w:val="0"/>
        <w:spacing w:line="300" w:lineRule="auto"/>
        <w:jc w:val="left"/>
        <w:rPr>
          <w:rFonts w:hint="default" w:ascii="Times New Roman" w:eastAsia="宋体"/>
          <w:b/>
          <w:bCs/>
          <w:sz w:val="28"/>
          <w:lang w:val="en-US" w:eastAsia="zh-CN"/>
        </w:rPr>
      </w:pP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Layout w:type="autofit"/>
        <w:tblCellMar>
          <w:top w:w="0" w:type="dxa"/>
          <w:left w:w="108" w:type="dxa"/>
          <w:bottom w:w="0" w:type="dxa"/>
          <w:right w:w="108" w:type="dxa"/>
        </w:tblCellMar>
      </w:tblPr>
      <w:tblGrid>
        <w:gridCol w:w="8522"/>
      </w:tblGrid>
      <w:tr w14:paraId="38883879">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108" w:type="dxa"/>
            <w:bottom w:w="0" w:type="dxa"/>
            <w:right w:w="108" w:type="dxa"/>
          </w:tblCellMar>
        </w:tblPrEx>
        <w:tc>
          <w:tcPr>
            <w:tcW w:w="8522" w:type="dxa"/>
            <w:tcBorders>
              <w:top w:val="single" w:color="auto" w:sz="8" w:space="0"/>
              <w:left w:val="single" w:color="auto" w:sz="8" w:space="0"/>
              <w:bottom w:val="single" w:color="auto" w:sz="8" w:space="0"/>
              <w:right w:val="single" w:color="auto" w:sz="8" w:space="0"/>
            </w:tcBorders>
            <w:shd w:val="clear" w:color="auto" w:fill="D7D7D7" w:themeFill="background1" w:themeFillShade="D8"/>
          </w:tcPr>
          <w:p w14:paraId="5C77CB20">
            <w:pPr>
              <w:keepNext w:val="0"/>
              <w:keepLines w:val="0"/>
              <w:pageBreakBefore w:val="0"/>
              <w:widowControl w:val="0"/>
              <w:kinsoku/>
              <w:wordWrap/>
              <w:overflowPunct/>
              <w:topLinePunct w:val="0"/>
              <w:autoSpaceDE/>
              <w:autoSpaceDN/>
              <w:bidi w:val="0"/>
              <w:adjustRightInd/>
              <w:snapToGrid/>
              <w:spacing w:line="300" w:lineRule="auto"/>
              <w:ind w:left="0" w:leftChars="0" w:firstLine="0" w:firstLineChars="0"/>
              <w:textAlignment w:val="auto"/>
              <w:rPr>
                <w:rFonts w:hint="default" w:eastAsia="宋体"/>
                <w:sz w:val="28"/>
                <w:vertAlign w:val="baseline"/>
                <w:lang w:val="en-US" w:eastAsia="zh-CN"/>
              </w:rPr>
            </w:pPr>
            <w:r>
              <w:rPr>
                <w:rFonts w:hint="default" w:ascii="Times New Roman" w:hAnsi="Times New Roman" w:eastAsia="宋体" w:cs="Times New Roman"/>
                <w:sz w:val="24"/>
                <w:szCs w:val="24"/>
                <w:vertAlign w:val="baseline"/>
                <w:lang w:val="en-US" w:eastAsia="zh-CN"/>
              </w:rPr>
              <w:t>附录</w:t>
            </w:r>
            <w:r>
              <w:rPr>
                <w:rFonts w:hint="eastAsia" w:ascii="Times New Roman" w:hAnsi="Times New Roman" w:cs="Times New Roman"/>
                <w:sz w:val="24"/>
                <w:szCs w:val="24"/>
                <w:vertAlign w:val="baseline"/>
                <w:lang w:val="en-US" w:eastAsia="zh-CN"/>
              </w:rPr>
              <w:t>4：应用Bookinfo Gateway配置</w:t>
            </w:r>
          </w:p>
        </w:tc>
      </w:tr>
      <w:tr w14:paraId="3D6744DA">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108" w:type="dxa"/>
            <w:bottom w:w="0" w:type="dxa"/>
            <w:right w:w="108" w:type="dxa"/>
          </w:tblCellMar>
        </w:tblPrEx>
        <w:tc>
          <w:tcPr>
            <w:tcW w:w="8522" w:type="dxa"/>
            <w:tcBorders>
              <w:top w:val="single" w:color="auto" w:sz="8" w:space="0"/>
              <w:left w:val="single" w:color="auto" w:sz="8" w:space="0"/>
              <w:bottom w:val="single" w:color="auto" w:sz="8" w:space="0"/>
              <w:right w:val="single" w:color="auto" w:sz="8" w:space="0"/>
            </w:tcBorders>
          </w:tcPr>
          <w:p w14:paraId="5F3D8453">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kubectl apply -f samples/bookinfo/networking/bookinfo-gateway.yaml</w:t>
            </w:r>
          </w:p>
          <w:p w14:paraId="4E3512AD">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istioctl analyze</w:t>
            </w:r>
          </w:p>
          <w:p w14:paraId="1A98C701">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kubectl label namespace default istio-injection=enabled</w:t>
            </w:r>
          </w:p>
        </w:tc>
      </w:tr>
    </w:tbl>
    <w:p w14:paraId="21A5FD70">
      <w:pPr>
        <w:numPr>
          <w:ilvl w:val="0"/>
          <w:numId w:val="0"/>
        </w:numPr>
        <w:autoSpaceDE w:val="0"/>
        <w:autoSpaceDN w:val="0"/>
        <w:adjustRightInd w:val="0"/>
        <w:spacing w:line="300" w:lineRule="auto"/>
        <w:jc w:val="left"/>
        <w:rPr>
          <w:rFonts w:hint="default" w:ascii="Times New Roman" w:eastAsia="宋体"/>
          <w:b/>
          <w:bCs/>
          <w:sz w:val="28"/>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FBA1DA5"/>
    <w:multiLevelType w:val="singleLevel"/>
    <w:tmpl w:val="9FBA1DA5"/>
    <w:lvl w:ilvl="0" w:tentative="0">
      <w:start w:val="3"/>
      <w:numFmt w:val="chineseCounting"/>
      <w:suff w:val="nothing"/>
      <w:lvlText w:val="%1、"/>
      <w:lvlJc w:val="left"/>
      <w:rPr>
        <w:rFonts w:hint="eastAsia"/>
      </w:rPr>
    </w:lvl>
  </w:abstractNum>
  <w:abstractNum w:abstractNumId="1">
    <w:nsid w:val="D38A5088"/>
    <w:multiLevelType w:val="singleLevel"/>
    <w:tmpl w:val="D38A5088"/>
    <w:lvl w:ilvl="0" w:tentative="0">
      <w:start w:val="1"/>
      <w:numFmt w:val="bullet"/>
      <w:suff w:val="space"/>
      <w:lvlText w:val=""/>
      <w:lvlJc w:val="left"/>
      <w:pPr>
        <w:ind w:left="0" w:leftChars="0" w:firstLine="0" w:firstLineChars="0"/>
      </w:pPr>
      <w:rPr>
        <w:rFonts w:hint="default" w:ascii="Wingdings" w:hAnsi="Wingdings"/>
        <w:sz w:val="16"/>
        <w:szCs w:val="16"/>
      </w:rPr>
    </w:lvl>
  </w:abstractNum>
  <w:abstractNum w:abstractNumId="2">
    <w:nsid w:val="FAB4AE5E"/>
    <w:multiLevelType w:val="singleLevel"/>
    <w:tmpl w:val="FAB4AE5E"/>
    <w:lvl w:ilvl="0" w:tentative="0">
      <w:start w:val="2"/>
      <w:numFmt w:val="chineseCounting"/>
      <w:suff w:val="nothing"/>
      <w:lvlText w:val="%1、"/>
      <w:lvlJc w:val="left"/>
      <w:rPr>
        <w:rFonts w:hint="eastAsia"/>
      </w:rPr>
    </w:lvl>
  </w:abstractNum>
  <w:abstractNum w:abstractNumId="3">
    <w:nsid w:val="FD5FCBD1"/>
    <w:multiLevelType w:val="singleLevel"/>
    <w:tmpl w:val="FD5FCBD1"/>
    <w:lvl w:ilvl="0" w:tentative="0">
      <w:start w:val="1"/>
      <w:numFmt w:val="decimal"/>
      <w:lvlText w:val="(%1)"/>
      <w:lvlJc w:val="left"/>
      <w:pPr>
        <w:ind w:left="425" w:hanging="425"/>
      </w:pPr>
      <w:rPr>
        <w:rFonts w:hint="default"/>
      </w:rPr>
    </w:lvl>
  </w:abstractNum>
  <w:num w:numId="1">
    <w:abstractNumId w:val="3"/>
  </w:num>
  <w:num w:numId="2">
    <w:abstractNumId w:val="2"/>
  </w:num>
  <w:num w:numId="3">
    <w:abstractNumId w:val="1"/>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3"/>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7F38ABC"/>
    <w:rsid w:val="00002352"/>
    <w:rsid w:val="00006D73"/>
    <w:rsid w:val="00022D34"/>
    <w:rsid w:val="0007075C"/>
    <w:rsid w:val="00073CF1"/>
    <w:rsid w:val="00080767"/>
    <w:rsid w:val="00080E9F"/>
    <w:rsid w:val="00094F22"/>
    <w:rsid w:val="00097395"/>
    <w:rsid w:val="001141DD"/>
    <w:rsid w:val="00135410"/>
    <w:rsid w:val="00156FBD"/>
    <w:rsid w:val="001C7634"/>
    <w:rsid w:val="002108B1"/>
    <w:rsid w:val="0023056B"/>
    <w:rsid w:val="00247BC7"/>
    <w:rsid w:val="00274E15"/>
    <w:rsid w:val="00291CEF"/>
    <w:rsid w:val="002974CA"/>
    <w:rsid w:val="002A3E19"/>
    <w:rsid w:val="002C5A6A"/>
    <w:rsid w:val="002D634B"/>
    <w:rsid w:val="002F376E"/>
    <w:rsid w:val="00373199"/>
    <w:rsid w:val="00396D7C"/>
    <w:rsid w:val="003A58C6"/>
    <w:rsid w:val="003D2396"/>
    <w:rsid w:val="00404A01"/>
    <w:rsid w:val="00426C69"/>
    <w:rsid w:val="0045606C"/>
    <w:rsid w:val="004704CF"/>
    <w:rsid w:val="00485F00"/>
    <w:rsid w:val="00496887"/>
    <w:rsid w:val="004E6309"/>
    <w:rsid w:val="004E70C6"/>
    <w:rsid w:val="005062C6"/>
    <w:rsid w:val="0056706B"/>
    <w:rsid w:val="00587E88"/>
    <w:rsid w:val="005A2A32"/>
    <w:rsid w:val="005A6540"/>
    <w:rsid w:val="005A6DEF"/>
    <w:rsid w:val="005D7931"/>
    <w:rsid w:val="005E6E6D"/>
    <w:rsid w:val="005F49C1"/>
    <w:rsid w:val="005F5282"/>
    <w:rsid w:val="00637398"/>
    <w:rsid w:val="00656474"/>
    <w:rsid w:val="00683CB7"/>
    <w:rsid w:val="00690212"/>
    <w:rsid w:val="006B0465"/>
    <w:rsid w:val="006E2014"/>
    <w:rsid w:val="006E4E01"/>
    <w:rsid w:val="00700686"/>
    <w:rsid w:val="00712DFA"/>
    <w:rsid w:val="00713CAC"/>
    <w:rsid w:val="00724ACE"/>
    <w:rsid w:val="00730340"/>
    <w:rsid w:val="007A13C3"/>
    <w:rsid w:val="00867A6F"/>
    <w:rsid w:val="008919A7"/>
    <w:rsid w:val="00894BCB"/>
    <w:rsid w:val="008F2D05"/>
    <w:rsid w:val="00912D51"/>
    <w:rsid w:val="00980816"/>
    <w:rsid w:val="009A68F7"/>
    <w:rsid w:val="009D041F"/>
    <w:rsid w:val="009D0D0E"/>
    <w:rsid w:val="00A11A0A"/>
    <w:rsid w:val="00A2758F"/>
    <w:rsid w:val="00A33556"/>
    <w:rsid w:val="00A44CC0"/>
    <w:rsid w:val="00A67ECB"/>
    <w:rsid w:val="00A90B2F"/>
    <w:rsid w:val="00A934C2"/>
    <w:rsid w:val="00B36BA3"/>
    <w:rsid w:val="00B4413D"/>
    <w:rsid w:val="00B87EB0"/>
    <w:rsid w:val="00BE5B05"/>
    <w:rsid w:val="00C150F9"/>
    <w:rsid w:val="00C2378D"/>
    <w:rsid w:val="00CC0FFF"/>
    <w:rsid w:val="00D4279E"/>
    <w:rsid w:val="00D661DF"/>
    <w:rsid w:val="00DE4CCC"/>
    <w:rsid w:val="00DF7E04"/>
    <w:rsid w:val="00E008EB"/>
    <w:rsid w:val="00E3768B"/>
    <w:rsid w:val="00E65CBA"/>
    <w:rsid w:val="00E91E10"/>
    <w:rsid w:val="00EB22FA"/>
    <w:rsid w:val="00EF0E44"/>
    <w:rsid w:val="00F126DB"/>
    <w:rsid w:val="00F14B9F"/>
    <w:rsid w:val="00F84070"/>
    <w:rsid w:val="00F84A67"/>
    <w:rsid w:val="00FF30CE"/>
    <w:rsid w:val="00FF3405"/>
    <w:rsid w:val="0F5600DD"/>
    <w:rsid w:val="10C52736"/>
    <w:rsid w:val="145C66D9"/>
    <w:rsid w:val="17A565E8"/>
    <w:rsid w:val="1AB16453"/>
    <w:rsid w:val="1B0E083C"/>
    <w:rsid w:val="20B93F92"/>
    <w:rsid w:val="28A056CD"/>
    <w:rsid w:val="2F6F536D"/>
    <w:rsid w:val="30CA37A4"/>
    <w:rsid w:val="311F619F"/>
    <w:rsid w:val="33684F28"/>
    <w:rsid w:val="35FC1D42"/>
    <w:rsid w:val="36E0137F"/>
    <w:rsid w:val="3DCA3D01"/>
    <w:rsid w:val="3FE66657"/>
    <w:rsid w:val="4069476C"/>
    <w:rsid w:val="40921320"/>
    <w:rsid w:val="45BF4DF6"/>
    <w:rsid w:val="45D45A3F"/>
    <w:rsid w:val="51BC6BCC"/>
    <w:rsid w:val="55000F39"/>
    <w:rsid w:val="5B8F292E"/>
    <w:rsid w:val="65124163"/>
    <w:rsid w:val="67490067"/>
    <w:rsid w:val="74EA1EF7"/>
    <w:rsid w:val="77F38ABC"/>
    <w:rsid w:val="79013A79"/>
    <w:rsid w:val="79AC0634"/>
    <w:rsid w:val="7FAB60B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3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character" w:default="1" w:styleId="9">
    <w:name w:val="Default Paragraph Font"/>
    <w:unhideWhenUsed/>
    <w:qFormat/>
    <w:uiPriority w:val="1"/>
  </w:style>
  <w:style w:type="table" w:default="1" w:styleId="7">
    <w:name w:val="Normal Table"/>
    <w:semiHidden/>
    <w:unhideWhenUsed/>
    <w:qFormat/>
    <w:uiPriority w:val="99"/>
    <w:tblPr>
      <w:tblCellMar>
        <w:top w:w="0" w:type="dxa"/>
        <w:left w:w="108" w:type="dxa"/>
        <w:bottom w:w="0" w:type="dxa"/>
        <w:right w:w="108" w:type="dxa"/>
      </w:tblCellMar>
    </w:tblPr>
  </w:style>
  <w:style w:type="paragraph" w:styleId="2">
    <w:name w:val="Balloon Text"/>
    <w:basedOn w:val="1"/>
    <w:link w:val="20"/>
    <w:uiPriority w:val="0"/>
    <w:rPr>
      <w:sz w:val="18"/>
      <w:szCs w:val="18"/>
    </w:rPr>
  </w:style>
  <w:style w:type="paragraph" w:styleId="3">
    <w:name w:val="footer"/>
    <w:basedOn w:val="1"/>
    <w:link w:val="16"/>
    <w:qFormat/>
    <w:uiPriority w:val="0"/>
    <w:pPr>
      <w:tabs>
        <w:tab w:val="center" w:pos="4153"/>
        <w:tab w:val="right" w:pos="8306"/>
      </w:tabs>
      <w:snapToGrid w:val="0"/>
      <w:jc w:val="left"/>
    </w:pPr>
    <w:rPr>
      <w:sz w:val="18"/>
      <w:szCs w:val="18"/>
    </w:rPr>
  </w:style>
  <w:style w:type="paragraph" w:styleId="4">
    <w:name w:val="header"/>
    <w:basedOn w:val="1"/>
    <w:link w:val="15"/>
    <w:qFormat/>
    <w:uiPriority w:val="0"/>
    <w:pPr>
      <w:pBdr>
        <w:bottom w:val="single" w:color="auto" w:sz="6" w:space="1"/>
      </w:pBdr>
      <w:tabs>
        <w:tab w:val="center" w:pos="4153"/>
        <w:tab w:val="right" w:pos="8306"/>
      </w:tabs>
      <w:snapToGrid w:val="0"/>
      <w:jc w:val="center"/>
    </w:pPr>
    <w:rPr>
      <w:sz w:val="18"/>
      <w:szCs w:val="18"/>
    </w:rPr>
  </w:style>
  <w:style w:type="paragraph" w:styleId="5">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kern w:val="0"/>
      <w:sz w:val="24"/>
    </w:rPr>
  </w:style>
  <w:style w:type="paragraph" w:styleId="6">
    <w:name w:val="Normal (Web)"/>
    <w:basedOn w:val="1"/>
    <w:qFormat/>
    <w:uiPriority w:val="0"/>
    <w:pPr>
      <w:spacing w:before="0" w:beforeAutospacing="1" w:after="0" w:afterAutospacing="1"/>
      <w:ind w:left="0" w:right="0"/>
      <w:jc w:val="left"/>
    </w:pPr>
    <w:rPr>
      <w:kern w:val="0"/>
      <w:sz w:val="24"/>
      <w:lang w:val="en-US" w:eastAsia="zh-CN" w:bidi="ar"/>
    </w:rPr>
  </w:style>
  <w:style w:type="table" w:styleId="8">
    <w:name w:val="Table Grid"/>
    <w:basedOn w:val="7"/>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0">
    <w:name w:val="Strong"/>
    <w:basedOn w:val="9"/>
    <w:qFormat/>
    <w:uiPriority w:val="0"/>
    <w:rPr>
      <w:b/>
    </w:rPr>
  </w:style>
  <w:style w:type="character" w:styleId="11">
    <w:name w:val="FollowedHyperlink"/>
    <w:basedOn w:val="9"/>
    <w:qFormat/>
    <w:uiPriority w:val="0"/>
    <w:rPr>
      <w:color w:val="954F72" w:themeColor="followedHyperlink"/>
      <w:u w:val="single"/>
      <w14:textFill>
        <w14:solidFill>
          <w14:schemeClr w14:val="folHlink"/>
        </w14:solidFill>
      </w14:textFill>
    </w:rPr>
  </w:style>
  <w:style w:type="character" w:styleId="12">
    <w:name w:val="Emphasis"/>
    <w:basedOn w:val="9"/>
    <w:qFormat/>
    <w:uiPriority w:val="0"/>
    <w:rPr>
      <w:i/>
    </w:rPr>
  </w:style>
  <w:style w:type="character" w:styleId="13">
    <w:name w:val="Hyperlink"/>
    <w:basedOn w:val="9"/>
    <w:qFormat/>
    <w:uiPriority w:val="0"/>
    <w:rPr>
      <w:color w:val="0563C1" w:themeColor="hyperlink"/>
      <w:u w:val="single"/>
      <w14:textFill>
        <w14:solidFill>
          <w14:schemeClr w14:val="hlink"/>
        </w14:solidFill>
      </w14:textFill>
    </w:rPr>
  </w:style>
  <w:style w:type="character" w:styleId="14">
    <w:name w:val="HTML Code"/>
    <w:basedOn w:val="9"/>
    <w:qFormat/>
    <w:uiPriority w:val="0"/>
    <w:rPr>
      <w:rFonts w:ascii="Courier New" w:hAnsi="Courier New"/>
      <w:sz w:val="20"/>
    </w:rPr>
  </w:style>
  <w:style w:type="character" w:customStyle="1" w:styleId="15">
    <w:name w:val="页眉 字符"/>
    <w:basedOn w:val="9"/>
    <w:link w:val="4"/>
    <w:qFormat/>
    <w:uiPriority w:val="0"/>
    <w:rPr>
      <w:kern w:val="2"/>
      <w:sz w:val="18"/>
      <w:szCs w:val="18"/>
    </w:rPr>
  </w:style>
  <w:style w:type="character" w:customStyle="1" w:styleId="16">
    <w:name w:val="页脚 字符"/>
    <w:basedOn w:val="9"/>
    <w:link w:val="3"/>
    <w:qFormat/>
    <w:uiPriority w:val="0"/>
    <w:rPr>
      <w:kern w:val="2"/>
      <w:sz w:val="18"/>
      <w:szCs w:val="18"/>
    </w:rPr>
  </w:style>
  <w:style w:type="paragraph" w:customStyle="1" w:styleId="17">
    <w:name w:val="reader-word-layer reader-word-s1-21"/>
    <w:basedOn w:val="1"/>
    <w:qFormat/>
    <w:uiPriority w:val="0"/>
    <w:pPr>
      <w:widowControl/>
      <w:spacing w:before="100" w:beforeAutospacing="1" w:after="100" w:afterAutospacing="1"/>
      <w:jc w:val="left"/>
    </w:pPr>
    <w:rPr>
      <w:rFonts w:ascii="宋体" w:hAnsi="宋体" w:cs="宋体"/>
      <w:kern w:val="0"/>
      <w:sz w:val="24"/>
    </w:rPr>
  </w:style>
  <w:style w:type="paragraph" w:customStyle="1" w:styleId="18">
    <w:name w:val="reader-word-layer reader-word-s1-30"/>
    <w:basedOn w:val="1"/>
    <w:qFormat/>
    <w:uiPriority w:val="0"/>
    <w:pPr>
      <w:widowControl/>
      <w:spacing w:before="100" w:beforeAutospacing="1" w:after="100" w:afterAutospacing="1"/>
      <w:jc w:val="left"/>
    </w:pPr>
    <w:rPr>
      <w:rFonts w:ascii="宋体" w:hAnsi="宋体" w:cs="宋体"/>
      <w:kern w:val="0"/>
      <w:sz w:val="24"/>
    </w:rPr>
  </w:style>
  <w:style w:type="paragraph" w:styleId="19">
    <w:name w:val="List Paragraph"/>
    <w:basedOn w:val="1"/>
    <w:qFormat/>
    <w:uiPriority w:val="99"/>
    <w:pPr>
      <w:ind w:firstLine="420" w:firstLineChars="200"/>
    </w:pPr>
  </w:style>
  <w:style w:type="character" w:customStyle="1" w:styleId="20">
    <w:name w:val="批注框文本 字符"/>
    <w:basedOn w:val="9"/>
    <w:link w:val="2"/>
    <w:qFormat/>
    <w:uiPriority w:val="0"/>
    <w:rPr>
      <w:kern w:val="2"/>
      <w:sz w:val="18"/>
      <w:szCs w:val="18"/>
    </w:rPr>
  </w:style>
  <w:style w:type="character" w:customStyle="1" w:styleId="21">
    <w:name w:val="Unresolved Mention"/>
    <w:basedOn w:val="9"/>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8</Pages>
  <Words>1478</Words>
  <Characters>9128</Characters>
  <Lines>11</Lines>
  <Paragraphs>3</Paragraphs>
  <TotalTime>15</TotalTime>
  <ScaleCrop>false</ScaleCrop>
  <LinksUpToDate>false</LinksUpToDate>
  <CharactersWithSpaces>10543</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2021-03-31T00:57:00Z</dcterms:created>
  <dc:creator>apple</dc:creator>
  <cp:lastModifiedBy>nxdxwj</cp:lastModifiedBy>
  <dcterms:modified xsi:type="dcterms:W3CDTF">2026-04-27T14:13:46Z</dcterms:modified>
  <cp:revision>79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KSOTemplateDocerSaveRecord">
    <vt:lpwstr>eyJoZGlkIjoiNzk0Y2Y4YjczMzE0ZmMwNDllZTRlNTAwYTQzZGZiMzEiLCJ1c2VySWQiOiIxNTA5NDIxMjYxIn0=</vt:lpwstr>
  </property>
  <property fmtid="{D5CDD505-2E9C-101B-9397-08002B2CF9AE}" pid="4" name="ICV">
    <vt:lpwstr>7254019B42A54E3E99188D508A4298F8_12</vt:lpwstr>
  </property>
</Properties>
</file>