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1784AE">
      <w:pPr>
        <w:jc w:val="center"/>
        <w:rPr>
          <w:rFonts w:hint="default" w:ascii="Times New Roman" w:hAnsi="Times New Roman" w:eastAsia="黑体" w:cs="Times New Roman"/>
          <w:sz w:val="44"/>
          <w:szCs w:val="44"/>
        </w:rPr>
      </w:pPr>
      <w:r>
        <w:rPr>
          <w:rFonts w:hint="default" w:ascii="Times New Roman" w:hAnsi="Times New Roman" w:eastAsia="黑体" w:cs="Times New Roman"/>
          <w:sz w:val="44"/>
          <w:szCs w:val="44"/>
        </w:rPr>
        <w:t xml:space="preserve">  Laboratory report of Nanjing University of Information Science and Technology</w:t>
      </w:r>
    </w:p>
    <w:p w14:paraId="2749EC24">
      <w:pPr>
        <w:jc w:val="center"/>
        <w:rPr>
          <w:rFonts w:hint="default" w:ascii="Times New Roman" w:hAnsi="Times New Roman" w:eastAsia="黑体" w:cs="Times New Roman"/>
          <w:sz w:val="44"/>
          <w:szCs w:val="44"/>
        </w:rPr>
      </w:pPr>
    </w:p>
    <w:p w14:paraId="00178264">
      <w:pPr>
        <w:jc w:val="center"/>
        <w:rPr>
          <w:rFonts w:hint="default" w:ascii="Times New Roman" w:hAnsi="Times New Roman" w:cs="Times New Roman"/>
          <w:szCs w:val="21"/>
          <w:u w:val="single"/>
        </w:rPr>
      </w:pPr>
      <w:r>
        <w:rPr>
          <w:rFonts w:hint="default" w:ascii="Times New Roman" w:hAnsi="Times New Roman" w:cs="Times New Roman"/>
          <w:szCs w:val="21"/>
        </w:rPr>
        <w:t xml:space="preserve">Experiment Title </w:t>
      </w:r>
      <w:r>
        <w:rPr>
          <w:rFonts w:hint="default" w:ascii="Times New Roman" w:hAnsi="Times New Roman" w:cs="Times New Roman"/>
          <w:szCs w:val="21"/>
          <w:u w:val="single"/>
        </w:rPr>
        <w:t xml:space="preserve"> </w:t>
      </w:r>
      <w:r>
        <w:rPr>
          <w:rFonts w:hint="eastAsia" w:cs="Times New Roman"/>
          <w:szCs w:val="21"/>
          <w:u w:val="single"/>
          <w:lang w:val="en-US" w:eastAsia="zh-CN"/>
        </w:rPr>
        <w:t>Cloud Computing</w:t>
      </w:r>
    </w:p>
    <w:p w14:paraId="59F4EE41">
      <w:pPr>
        <w:jc w:val="center"/>
        <w:rPr>
          <w:rFonts w:hint="default" w:ascii="Times New Roman" w:hAnsi="Times New Roman" w:cs="Times New Roman"/>
          <w:szCs w:val="21"/>
        </w:rPr>
      </w:pPr>
      <w:r>
        <w:rPr>
          <w:rFonts w:hint="default" w:ascii="Times New Roman" w:hAnsi="Times New Roman" w:cs="Times New Roman"/>
          <w:szCs w:val="21"/>
        </w:rPr>
        <w:t>Data</w:t>
      </w:r>
      <w:r>
        <w:rPr>
          <w:rFonts w:hint="default" w:ascii="Times New Roman" w:hAnsi="Times New Roman" w:cs="Times New Roman"/>
          <w:szCs w:val="21"/>
          <w:u w:val="single"/>
        </w:rPr>
        <w:t xml:space="preserve">     </w:t>
      </w:r>
      <w:r>
        <w:rPr>
          <w:rFonts w:hint="eastAsia" w:cs="Times New Roman"/>
          <w:szCs w:val="21"/>
          <w:u w:val="single"/>
          <w:lang w:val="en-US" w:eastAsia="zh-CN"/>
        </w:rPr>
        <w:t>2026/4/27</w:t>
      </w:r>
      <w:r>
        <w:rPr>
          <w:rFonts w:hint="default" w:ascii="Times New Roman" w:hAnsi="Times New Roman" w:cs="Times New Roman"/>
          <w:szCs w:val="21"/>
          <w:u w:val="single"/>
        </w:rPr>
        <w:t xml:space="preserve">          </w:t>
      </w:r>
      <w:r>
        <w:rPr>
          <w:rFonts w:hint="default" w:ascii="Times New Roman" w:hAnsi="Times New Roman" w:cs="Times New Roman"/>
          <w:szCs w:val="21"/>
        </w:rPr>
        <w:t xml:space="preserve"> Class </w:t>
      </w:r>
      <w:r>
        <w:rPr>
          <w:rFonts w:hint="default" w:ascii="Times New Roman" w:hAnsi="Times New Roman" w:cs="Times New Roman"/>
          <w:szCs w:val="21"/>
          <w:u w:val="single"/>
        </w:rPr>
        <w:t xml:space="preserve">   </w:t>
      </w:r>
      <w:r>
        <w:rPr>
          <w:rFonts w:hint="eastAsia" w:cs="Times New Roman"/>
          <w:szCs w:val="21"/>
          <w:u w:val="single"/>
          <w:lang w:val="en-US" w:eastAsia="zh-CN"/>
        </w:rPr>
        <w:t>AI 1</w:t>
      </w:r>
      <w:r>
        <w:rPr>
          <w:rFonts w:hint="default" w:ascii="Times New Roman" w:hAnsi="Times New Roman" w:cs="Times New Roman"/>
          <w:szCs w:val="21"/>
          <w:u w:val="single"/>
        </w:rPr>
        <w:t xml:space="preserve">     </w:t>
      </w:r>
      <w:r>
        <w:rPr>
          <w:rFonts w:hint="default" w:ascii="Times New Roman" w:hAnsi="Times New Roman" w:cs="Times New Roman"/>
          <w:color w:val="FFFFFF" w:themeColor="background1"/>
          <w:szCs w:val="21"/>
          <w:u w:val="single"/>
          <w14:textFill>
            <w14:solidFill>
              <w14:schemeClr w14:val="bg1"/>
            </w14:solidFill>
          </w14:textFill>
        </w:rPr>
        <w:t>2</w:t>
      </w:r>
      <w:r>
        <w:rPr>
          <w:rFonts w:hint="default" w:ascii="Times New Roman" w:hAnsi="Times New Roman" w:cs="Times New Roman"/>
          <w:szCs w:val="21"/>
        </w:rPr>
        <w:t xml:space="preserve">     </w:t>
      </w:r>
      <w:r>
        <w:rPr>
          <w:rFonts w:hint="default" w:ascii="Times New Roman" w:hAnsi="Times New Roman" w:cs="Times New Roman"/>
          <w:szCs w:val="21"/>
          <w:u w:val="single"/>
        </w:rPr>
        <w:t xml:space="preserve"> </w:t>
      </w:r>
      <w:r>
        <w:rPr>
          <w:rFonts w:hint="default" w:ascii="Times New Roman" w:hAnsi="Times New Roman" w:cs="Times New Roman"/>
          <w:szCs w:val="21"/>
        </w:rPr>
        <w:t xml:space="preserve">  </w:t>
      </w:r>
      <w:r>
        <w:rPr>
          <w:rFonts w:hint="default" w:ascii="Times New Roman" w:hAnsi="Times New Roman" w:cs="Times New Roman"/>
          <w:szCs w:val="21"/>
          <w:u w:val="single"/>
        </w:rPr>
        <w:t xml:space="preserve">                         </w:t>
      </w:r>
      <w:r>
        <w:rPr>
          <w:rFonts w:hint="default" w:ascii="Times New Roman" w:hAnsi="Times New Roman" w:cs="Times New Roman"/>
          <w:szCs w:val="21"/>
        </w:rPr>
        <w:t>Name</w:t>
      </w:r>
      <w:r>
        <w:rPr>
          <w:rFonts w:hint="default" w:ascii="Times New Roman" w:hAnsi="Times New Roman" w:cs="Times New Roman"/>
          <w:szCs w:val="21"/>
          <w:u w:val="single"/>
        </w:rPr>
        <w:t xml:space="preserve">      </w:t>
      </w:r>
      <w:r>
        <w:rPr>
          <w:rFonts w:hint="eastAsia" w:cs="Times New Roman"/>
          <w:szCs w:val="21"/>
          <w:u w:val="single"/>
          <w:lang w:val="en-US" w:eastAsia="zh-CN"/>
        </w:rPr>
        <w:t>Weijie Xu</w:t>
      </w:r>
      <w:r>
        <w:rPr>
          <w:rFonts w:hint="default" w:ascii="Times New Roman" w:hAnsi="Times New Roman" w:cs="Times New Roman"/>
          <w:szCs w:val="21"/>
          <w:u w:val="single"/>
        </w:rPr>
        <w:t xml:space="preserve">       </w:t>
      </w:r>
      <w:r>
        <w:rPr>
          <w:rFonts w:hint="default" w:ascii="Times New Roman" w:hAnsi="Times New Roman" w:cs="Times New Roman"/>
          <w:szCs w:val="21"/>
        </w:rPr>
        <w:t>ID</w:t>
      </w:r>
      <w:r>
        <w:rPr>
          <w:rFonts w:hint="default" w:ascii="Times New Roman" w:hAnsi="Times New Roman" w:cs="Times New Roman"/>
          <w:szCs w:val="21"/>
          <w:u w:val="single"/>
        </w:rPr>
        <w:t xml:space="preserve">     </w:t>
      </w:r>
      <w:r>
        <w:rPr>
          <w:rFonts w:hint="eastAsia" w:cs="Times New Roman"/>
          <w:szCs w:val="21"/>
          <w:u w:val="single"/>
          <w:lang w:val="en-US" w:eastAsia="zh-CN"/>
        </w:rPr>
        <w:t>202383910029</w:t>
      </w:r>
      <w:r>
        <w:rPr>
          <w:rFonts w:hint="default" w:ascii="Times New Roman" w:hAnsi="Times New Roman" w:cs="Times New Roman"/>
          <w:szCs w:val="21"/>
          <w:u w:val="single"/>
        </w:rPr>
        <w:t xml:space="preserve">       </w:t>
      </w:r>
      <w:r>
        <w:rPr>
          <w:rFonts w:hint="default" w:ascii="Times New Roman" w:hAnsi="Times New Roman" w:cs="Times New Roman"/>
          <w:color w:val="FFFFFF" w:themeColor="background1"/>
          <w:szCs w:val="21"/>
          <w:u w:val="single"/>
          <w14:textFill>
            <w14:solidFill>
              <w14:schemeClr w14:val="bg1"/>
            </w14:solidFill>
          </w14:textFill>
        </w:rPr>
        <w:t>2</w:t>
      </w:r>
    </w:p>
    <w:p w14:paraId="246510E7">
      <w:pPr>
        <w:rPr>
          <w:rFonts w:hint="default" w:ascii="Times New Roman" w:hAnsi="Times New Roman" w:cs="Times New Roman"/>
        </w:rPr>
      </w:pPr>
      <w:r>
        <w:rPr>
          <w:rFonts w:hint="default" w:ascii="Times New Roman" w:hAnsi="Times New Roman" w:cs="Times New Roman"/>
        </w:rPr>
        <w:t xml:space="preserve"> </w:t>
      </w:r>
    </w:p>
    <w:p w14:paraId="544626DD">
      <w:pPr>
        <w:autoSpaceDE w:val="0"/>
        <w:autoSpaceDN w:val="0"/>
        <w:adjustRightInd w:val="0"/>
        <w:spacing w:line="300" w:lineRule="auto"/>
        <w:jc w:val="left"/>
        <w:rPr>
          <w:rFonts w:hint="default" w:ascii="Times New Roman" w:hAnsi="Times New Roman" w:eastAsia="黑体" w:cs="Times New Roman"/>
          <w:b/>
          <w:kern w:val="0"/>
          <w:sz w:val="28"/>
          <w:szCs w:val="28"/>
        </w:rPr>
      </w:pPr>
      <w:r>
        <w:rPr>
          <w:rFonts w:hint="default" w:ascii="Times New Roman" w:hAnsi="Times New Roman" w:eastAsia="黑体" w:cs="Times New Roman"/>
          <w:b/>
          <w:kern w:val="0"/>
          <w:sz w:val="28"/>
          <w:szCs w:val="28"/>
        </w:rPr>
        <w:t>一、Experimental purpose</w:t>
      </w:r>
    </w:p>
    <w:p w14:paraId="4BFD61AD">
      <w:pPr>
        <w:pStyle w:val="19"/>
        <w:numPr>
          <w:ilvl w:val="0"/>
          <w:numId w:val="1"/>
        </w:numPr>
        <w:shd w:val="clear" w:color="auto" w:fill="FFFFFF"/>
        <w:spacing w:before="0" w:beforeAutospacing="0" w:after="0" w:afterAutospacing="0"/>
        <w:ind w:left="425" w:leftChars="0" w:hanging="425"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understand and practice controlled traffic shifting, this experiment enables you to learn how to gradually shift traffic between different versions of a microservice in a Kubernetes service mesh using Istio.</w:t>
      </w:r>
    </w:p>
    <w:p w14:paraId="7C11E263">
      <w:pPr>
        <w:pStyle w:val="19"/>
        <w:numPr>
          <w:ilvl w:val="0"/>
          <w:numId w:val="1"/>
        </w:numPr>
        <w:shd w:val="clear" w:color="auto" w:fill="FFFFFF"/>
        <w:spacing w:before="0" w:beforeAutospacing="0" w:after="0" w:afterAutospacing="0"/>
        <w:ind w:left="425" w:leftChars="0" w:hanging="425"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master dynamic request routing techniques, you will practice applying Istio routing rules to direct incoming service requests to different versions of a microservice based on criteria such as version labels or custom request headers.</w:t>
      </w:r>
    </w:p>
    <w:p w14:paraId="32003333">
      <w:pPr>
        <w:pStyle w:val="19"/>
        <w:numPr>
          <w:ilvl w:val="0"/>
          <w:numId w:val="1"/>
        </w:numPr>
        <w:shd w:val="clear" w:color="auto" w:fill="FFFFFF"/>
        <w:spacing w:before="0" w:beforeAutospacing="0" w:after="0" w:afterAutospacing="0"/>
        <w:ind w:left="425" w:leftChars="0" w:hanging="425"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evaluate system resiliency via fault injection, this part of the lab teaches you to intentionally inject faults like delays and aborts into service calls at the application layer. The purpose is to assess the robustness of microservices and test how the application logic and Istio’s failure recovery mechanisms handle situations where upstream services are slow or respond with errors.</w:t>
      </w:r>
    </w:p>
    <w:p w14:paraId="3A07B8F8">
      <w:pPr>
        <w:pStyle w:val="19"/>
        <w:numPr>
          <w:ilvl w:val="0"/>
          <w:numId w:val="1"/>
        </w:numPr>
        <w:shd w:val="clear" w:color="auto" w:fill="FFFFFF"/>
        <w:spacing w:before="0" w:beforeAutospacing="0" w:after="0" w:afterAutospacing="0"/>
        <w:ind w:left="425" w:leftChars="0" w:hanging="425"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implement and assess circuit breaking for resilience, you will configure circuit breaker settings using Istio destination rules to limit connection pools and detect outlier failures. The goal is to observe how circuit breaking prevents cascading failures by quickly failing requests to unhealthy service instances.</w:t>
      </w:r>
    </w:p>
    <w:p w14:paraId="2E30B4EA">
      <w:pPr>
        <w:pStyle w:val="19"/>
        <w:numPr>
          <w:ilvl w:val="0"/>
          <w:numId w:val="1"/>
        </w:numPr>
        <w:shd w:val="clear" w:color="auto" w:fill="FFFFFF"/>
        <w:spacing w:before="0" w:beforeAutospacing="0" w:after="0" w:afterAutospacing="0"/>
        <w:ind w:left="425" w:leftChars="0" w:hanging="425"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gain hands-on experience with Istio’s traffic management capabilities, you will work on implementing traffic shifting strategies in a live environment. This involves directing specific subsets of requests to new service versions while monitoring performance and behavior</w:t>
      </w:r>
      <w:r>
        <w:rPr>
          <w:rFonts w:hint="eastAsia" w:ascii="Times New Roman" w:hAnsi="Times New Roman" w:cs="Times New Roman"/>
          <w:sz w:val="24"/>
          <w:szCs w:val="24"/>
          <w:lang w:val="en-US" w:eastAsia="zh-CN"/>
        </w:rPr>
        <w:t>.</w:t>
      </w:r>
    </w:p>
    <w:p w14:paraId="32FCB86C">
      <w:pPr>
        <w:pStyle w:val="19"/>
        <w:numPr>
          <w:ilvl w:val="0"/>
          <w:numId w:val="1"/>
        </w:numPr>
        <w:shd w:val="clear" w:color="auto" w:fill="FFFFFF"/>
        <w:spacing w:before="0" w:beforeAutospacing="0" w:after="0" w:afterAutospacing="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test and fine-tune Istio’s request routing capabilities, you will set up routing configurations to route traffic based on various criteria such as geographic location or request headers. This task demonstrates the flexibility of Istio's routing features, enabling the creation of dynamic, policy-driven routing solutions for complex service architectures.</w:t>
      </w:r>
    </w:p>
    <w:p w14:paraId="0A8C1323">
      <w:pPr>
        <w:pStyle w:val="19"/>
        <w:numPr>
          <w:ilvl w:val="0"/>
          <w:numId w:val="1"/>
        </w:numPr>
        <w:shd w:val="clear" w:color="auto" w:fill="FFFFFF"/>
        <w:spacing w:before="0" w:beforeAutospacing="0" w:after="0" w:afterAutospacing="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assess the overall resilience of your system, you will integrate fault injection and circuit breaking into your traffic management strategies. This will allow you to observe the system's response to failures and ensure that Istio’s traffic management tools can handle real-world disruptions.</w:t>
      </w:r>
    </w:p>
    <w:p w14:paraId="04BF4CAF">
      <w:pPr>
        <w:pStyle w:val="19"/>
        <w:numPr>
          <w:ilvl w:val="0"/>
          <w:numId w:val="2"/>
        </w:numPr>
        <w:shd w:val="clear" w:color="auto" w:fill="FFFFFF"/>
        <w:spacing w:before="0" w:beforeAutospacing="0" w:after="0" w:afterAutospacing="0"/>
        <w:rPr>
          <w:rFonts w:hint="default" w:ascii="Times New Roman" w:hAnsi="Times New Roman" w:eastAsia="黑体" w:cs="Times New Roman"/>
          <w:b/>
          <w:sz w:val="28"/>
          <w:szCs w:val="28"/>
        </w:rPr>
      </w:pPr>
      <w:r>
        <w:rPr>
          <w:rFonts w:hint="default" w:ascii="Times New Roman" w:hAnsi="Times New Roman" w:eastAsia="黑体" w:cs="Times New Roman"/>
          <w:b/>
          <w:sz w:val="28"/>
          <w:szCs w:val="28"/>
        </w:rPr>
        <w:t>Experiment</w:t>
      </w:r>
      <w:r>
        <w:rPr>
          <w:rFonts w:hint="eastAsia" w:ascii="Times New Roman" w:hAnsi="Times New Roman" w:eastAsia="黑体" w:cs="Times New Roman"/>
          <w:b/>
          <w:sz w:val="28"/>
          <w:szCs w:val="28"/>
          <w:lang w:val="en-US" w:eastAsia="zh-CN"/>
        </w:rPr>
        <w:t>al</w:t>
      </w:r>
      <w:r>
        <w:rPr>
          <w:rFonts w:hint="default" w:ascii="Times New Roman" w:hAnsi="Times New Roman" w:eastAsia="黑体" w:cs="Times New Roman"/>
          <w:b/>
          <w:sz w:val="28"/>
          <w:szCs w:val="28"/>
        </w:rPr>
        <w:t xml:space="preserve"> Contents</w:t>
      </w:r>
    </w:p>
    <w:p w14:paraId="53080BB9">
      <w:pPr>
        <w:pStyle w:val="19"/>
        <w:widowControl/>
        <w:numPr>
          <w:ilvl w:val="0"/>
          <w:numId w:val="0"/>
        </w:numPr>
        <w:shd w:val="clear" w:color="auto" w:fill="FFFFFF"/>
        <w:spacing w:before="0" w:beforeAutospacing="0" w:after="0" w:afterAutospacing="0"/>
        <w:ind w:firstLine="420" w:firstLineChars="0"/>
        <w:jc w:val="both"/>
        <w:rPr>
          <w:rFonts w:hint="default" w:ascii="Times New Roman" w:hAnsi="Times New Roman" w:eastAsia="黑体" w:cs="Times New Roman"/>
          <w:b w:val="0"/>
          <w:bCs/>
          <w:kern w:val="0"/>
          <w:sz w:val="24"/>
          <w:szCs w:val="24"/>
        </w:rPr>
      </w:pPr>
      <w:r>
        <w:rPr>
          <w:rFonts w:hint="default" w:ascii="Times New Roman" w:hAnsi="Times New Roman" w:eastAsia="黑体" w:cs="Times New Roman"/>
          <w:b w:val="0"/>
          <w:bCs/>
          <w:kern w:val="0"/>
          <w:sz w:val="24"/>
          <w:szCs w:val="24"/>
        </w:rPr>
        <w:t>The contents of this experiment involve a series of tasks aimed at exploring Istio’s traffic management capabilities in a microservices architecture. These tasks are designed to provide practical experience in traffic shifting, request routing, fault injection, and circuit breaking, all critical components in managing the traffic and resilience of distributed systems. The experiment will be conducted step-by-step, with each step requiring the configuration and testing of different Istio features to control, monitor, and troubleshoot service-to-service communication.</w:t>
      </w:r>
    </w:p>
    <w:p w14:paraId="36740535">
      <w:pPr>
        <w:pStyle w:val="19"/>
        <w:numPr>
          <w:ilvl w:val="0"/>
          <w:numId w:val="3"/>
        </w:numPr>
        <w:shd w:val="clear" w:color="auto" w:fill="FFFFFF"/>
        <w:spacing w:before="0" w:beforeAutospacing="0" w:after="0" w:afterAutospacing="0"/>
        <w:ind w:left="425" w:leftChars="0" w:hanging="425" w:firstLineChars="0"/>
        <w:jc w:val="both"/>
        <w:rPr>
          <w:rFonts w:hint="default" w:ascii="Times New Roman" w:hAnsi="Times New Roman" w:eastAsia="黑体" w:cs="Times New Roman"/>
          <w:b/>
          <w:kern w:val="0"/>
          <w:sz w:val="24"/>
          <w:szCs w:val="24"/>
        </w:rPr>
      </w:pPr>
      <w:r>
        <w:rPr>
          <w:rFonts w:hint="default" w:ascii="Times New Roman" w:hAnsi="Times New Roman" w:eastAsia="宋体" w:cs="Times New Roman"/>
          <w:b/>
          <w:bCs/>
          <w:sz w:val="24"/>
          <w:szCs w:val="24"/>
        </w:rPr>
        <w:t>Traffic Shifting</w:t>
      </w:r>
    </w:p>
    <w:p w14:paraId="613331F9">
      <w:pPr>
        <w:pStyle w:val="19"/>
        <w:keepNext w:val="0"/>
        <w:keepLines w:val="0"/>
        <w:pageBreakBefore w:val="0"/>
        <w:widowControl/>
        <w:numPr>
          <w:ilvl w:val="0"/>
          <w:numId w:val="0"/>
        </w:numPr>
        <w:shd w:val="clear" w:color="auto" w:fill="FFFFFF"/>
        <w:kinsoku/>
        <w:wordWrap/>
        <w:overflowPunct/>
        <w:topLinePunct w:val="0"/>
        <w:autoSpaceDE/>
        <w:autoSpaceDN/>
        <w:bidi w:val="0"/>
        <w:adjustRightInd/>
        <w:snapToGrid/>
        <w:spacing w:before="0" w:beforeAutospacing="0" w:after="0" w:afterAutospacing="0"/>
        <w:ind w:firstLine="0" w:firstLineChars="0"/>
        <w:jc w:val="both"/>
        <w:textAlignment w:val="auto"/>
        <w:rPr>
          <w:rFonts w:hint="default" w:ascii="Times New Roman" w:hAnsi="Times New Roman" w:eastAsia="黑体" w:cs="Times New Roman"/>
          <w:b w:val="0"/>
          <w:bCs/>
          <w:kern w:val="0"/>
          <w:sz w:val="24"/>
          <w:szCs w:val="24"/>
        </w:rPr>
      </w:pPr>
      <w:r>
        <w:rPr>
          <w:rFonts w:hint="default" w:ascii="Times New Roman" w:hAnsi="Times New Roman" w:eastAsia="黑体" w:cs="Times New Roman"/>
          <w:b w:val="0"/>
          <w:bCs/>
          <w:kern w:val="0"/>
          <w:sz w:val="24"/>
          <w:szCs w:val="24"/>
        </w:rPr>
        <w:t>In this task, I will configure Istio’s traffic shifting functionality to manage deployments of different versions of a microservice. By using weighted routing rules, I will gradually shift traffic from one version of a service to another, observing the effects and ensuring smooth migration while minimizing risk.</w:t>
      </w:r>
    </w:p>
    <w:p w14:paraId="1C75708F">
      <w:pPr>
        <w:pStyle w:val="19"/>
        <w:numPr>
          <w:ilvl w:val="0"/>
          <w:numId w:val="3"/>
        </w:numPr>
        <w:shd w:val="clear" w:color="auto" w:fill="FFFFFF"/>
        <w:spacing w:before="0" w:beforeAutospacing="0" w:after="0" w:afterAutospacing="0"/>
        <w:ind w:left="425" w:leftChars="0" w:hanging="425" w:firstLineChars="0"/>
        <w:jc w:val="both"/>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Request Routing</w:t>
      </w:r>
    </w:p>
    <w:p w14:paraId="44F01A08">
      <w:pPr>
        <w:pStyle w:val="19"/>
        <w:widowControl/>
        <w:numPr>
          <w:ilvl w:val="0"/>
          <w:numId w:val="0"/>
        </w:numPr>
        <w:shd w:val="clear" w:color="auto" w:fill="FFFFFF"/>
        <w:spacing w:before="0" w:beforeAutospacing="0" w:after="0" w:afterAutospacing="0"/>
        <w:jc w:val="both"/>
        <w:rPr>
          <w:rFonts w:hint="default" w:ascii="Times New Roman" w:hAnsi="Times New Roman" w:eastAsia="黑体" w:cs="Times New Roman"/>
          <w:b w:val="0"/>
          <w:bCs/>
          <w:kern w:val="0"/>
          <w:sz w:val="24"/>
          <w:szCs w:val="24"/>
        </w:rPr>
      </w:pPr>
      <w:r>
        <w:rPr>
          <w:rFonts w:hint="default" w:ascii="Times New Roman" w:hAnsi="Times New Roman" w:eastAsia="黑体" w:cs="Times New Roman"/>
          <w:b w:val="0"/>
          <w:bCs/>
          <w:kern w:val="0"/>
          <w:sz w:val="24"/>
          <w:szCs w:val="24"/>
        </w:rPr>
        <w:t>This part of the experiment focuses on setting up Istio’s routing capabilities to control the flow of traffic based on specific conditions such as request headers or service versions. This will allow me to dynamically control the routing of requests within the service mesh, providing insights into the flexibility of Istio’s traffic management features.</w:t>
      </w:r>
    </w:p>
    <w:p w14:paraId="00F23658">
      <w:pPr>
        <w:pStyle w:val="19"/>
        <w:numPr>
          <w:ilvl w:val="0"/>
          <w:numId w:val="3"/>
        </w:numPr>
        <w:shd w:val="clear" w:color="auto" w:fill="FFFFFF"/>
        <w:spacing w:before="0" w:beforeAutospacing="0" w:after="0" w:afterAutospacing="0"/>
        <w:ind w:left="425" w:leftChars="0" w:hanging="425" w:firstLineChars="0"/>
        <w:jc w:val="both"/>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Fault Injection</w:t>
      </w:r>
    </w:p>
    <w:p w14:paraId="3568D889">
      <w:pPr>
        <w:pStyle w:val="19"/>
        <w:widowControl/>
        <w:numPr>
          <w:ilvl w:val="0"/>
          <w:numId w:val="0"/>
        </w:numPr>
        <w:shd w:val="clear" w:color="auto" w:fill="FFFFFF"/>
        <w:spacing w:before="0" w:beforeAutospacing="0" w:after="0" w:afterAutospacing="0"/>
        <w:jc w:val="both"/>
        <w:rPr>
          <w:rFonts w:hint="default" w:ascii="Times New Roman" w:hAnsi="Times New Roman" w:eastAsia="黑体" w:cs="Times New Roman"/>
          <w:b w:val="0"/>
          <w:bCs/>
          <w:kern w:val="0"/>
          <w:sz w:val="24"/>
          <w:szCs w:val="24"/>
        </w:rPr>
      </w:pPr>
      <w:r>
        <w:rPr>
          <w:rFonts w:hint="default" w:ascii="Times New Roman" w:hAnsi="Times New Roman" w:eastAsia="黑体" w:cs="Times New Roman"/>
          <w:b w:val="0"/>
          <w:bCs/>
          <w:kern w:val="0"/>
          <w:sz w:val="24"/>
          <w:szCs w:val="24"/>
        </w:rPr>
        <w:t>I will practice injecting faults such as delays, aborts, or errors into the service communication to simulate real-world issues like network latency or failure. By configuring Istio’s fault injection features, I will test the resilience of my microservices and ensure that the system can handle disruptions effectively.</w:t>
      </w:r>
    </w:p>
    <w:p w14:paraId="12F92BBD">
      <w:pPr>
        <w:pStyle w:val="19"/>
        <w:numPr>
          <w:ilvl w:val="0"/>
          <w:numId w:val="3"/>
        </w:numPr>
        <w:shd w:val="clear" w:color="auto" w:fill="FFFFFF"/>
        <w:spacing w:before="0" w:beforeAutospacing="0" w:after="0" w:afterAutospacing="0"/>
        <w:ind w:left="425" w:leftChars="0" w:hanging="425" w:firstLineChars="0"/>
        <w:jc w:val="both"/>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Circuit Breaking</w:t>
      </w:r>
    </w:p>
    <w:p w14:paraId="56D24D8F">
      <w:pPr>
        <w:pStyle w:val="19"/>
        <w:widowControl/>
        <w:numPr>
          <w:ilvl w:val="0"/>
          <w:numId w:val="0"/>
        </w:numPr>
        <w:shd w:val="clear" w:color="auto" w:fill="FFFFFF"/>
        <w:spacing w:before="0" w:beforeAutospacing="0" w:after="0" w:afterAutospacing="0"/>
        <w:jc w:val="both"/>
        <w:rPr>
          <w:rFonts w:hint="default" w:ascii="Times New Roman" w:hAnsi="Times New Roman" w:eastAsia="黑体" w:cs="Times New Roman"/>
          <w:b w:val="0"/>
          <w:bCs/>
          <w:kern w:val="0"/>
          <w:sz w:val="24"/>
          <w:szCs w:val="24"/>
        </w:rPr>
      </w:pPr>
      <w:r>
        <w:rPr>
          <w:rFonts w:hint="default" w:ascii="Times New Roman" w:hAnsi="Times New Roman" w:eastAsia="黑体" w:cs="Times New Roman"/>
          <w:b w:val="0"/>
          <w:bCs/>
          <w:kern w:val="0"/>
          <w:sz w:val="24"/>
          <w:szCs w:val="24"/>
        </w:rPr>
        <w:t>The Bookinfo sample application was deployed to simulate a typical microservices architecture. Multiple services such as productpage, reviews, ratings, and details were created, forming a multi-tier service structure. Pod and service statuses were monitored to ensure successful deployment and proper integration with Istio.</w:t>
      </w:r>
    </w:p>
    <w:p w14:paraId="4EABB800">
      <w:pPr>
        <w:pStyle w:val="19"/>
        <w:numPr>
          <w:ilvl w:val="0"/>
          <w:numId w:val="3"/>
        </w:numPr>
        <w:shd w:val="clear" w:color="auto" w:fill="FFFFFF"/>
        <w:spacing w:before="0" w:beforeAutospacing="0" w:after="0" w:afterAutospacing="0"/>
        <w:ind w:left="425" w:leftChars="0" w:hanging="425" w:firstLineChars="0"/>
        <w:jc w:val="both"/>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Observability and Metrics Collection</w:t>
      </w:r>
    </w:p>
    <w:p w14:paraId="63508268">
      <w:pPr>
        <w:pStyle w:val="19"/>
        <w:widowControl/>
        <w:numPr>
          <w:ilvl w:val="0"/>
          <w:numId w:val="0"/>
        </w:numPr>
        <w:shd w:val="clear" w:color="auto" w:fill="FFFFFF"/>
        <w:spacing w:before="0" w:beforeAutospacing="0" w:after="0" w:afterAutospacing="0"/>
        <w:jc w:val="both"/>
        <w:rPr>
          <w:rFonts w:hint="default" w:ascii="Times New Roman" w:hAnsi="Times New Roman" w:eastAsia="黑体" w:cs="Times New Roman"/>
          <w:b w:val="0"/>
          <w:bCs/>
          <w:kern w:val="0"/>
          <w:sz w:val="24"/>
          <w:szCs w:val="24"/>
        </w:rPr>
      </w:pPr>
      <w:r>
        <w:rPr>
          <w:rFonts w:hint="default" w:ascii="Times New Roman" w:hAnsi="Times New Roman" w:eastAsia="黑体" w:cs="Times New Roman"/>
          <w:b w:val="0"/>
          <w:bCs/>
          <w:kern w:val="0"/>
          <w:sz w:val="24"/>
          <w:szCs w:val="24"/>
        </w:rPr>
        <w:t>I will integrate Istio's observability tools to monitor traffic, service performance, and health within the service mesh. By configuring Istio’s telemetry features, I will collect metrics on request counts, latencies, and errors. This will enable me to visualize the impact of traffic management strategies on service performance and make data-driven decisions for further optimization.</w:t>
      </w:r>
    </w:p>
    <w:p w14:paraId="5E068083">
      <w:pPr>
        <w:numPr>
          <w:ilvl w:val="0"/>
          <w:numId w:val="4"/>
        </w:numPr>
        <w:autoSpaceDE w:val="0"/>
        <w:autoSpaceDN w:val="0"/>
        <w:adjustRightInd w:val="0"/>
        <w:spacing w:line="300" w:lineRule="auto"/>
        <w:jc w:val="left"/>
        <w:rPr>
          <w:rFonts w:hint="default" w:ascii="Times New Roman" w:hAnsi="Times New Roman" w:eastAsia="黑体" w:cs="Times New Roman"/>
          <w:b/>
          <w:kern w:val="0"/>
          <w:sz w:val="28"/>
          <w:szCs w:val="28"/>
        </w:rPr>
      </w:pPr>
      <w:r>
        <w:rPr>
          <w:rFonts w:hint="default" w:ascii="Times New Roman" w:hAnsi="Times New Roman" w:eastAsia="黑体" w:cs="Times New Roman"/>
          <w:b/>
          <w:kern w:val="0"/>
          <w:sz w:val="28"/>
          <w:szCs w:val="28"/>
        </w:rPr>
        <w:t>Detailed steps of the experiment</w:t>
      </w:r>
    </w:p>
    <w:p w14:paraId="3F23116A">
      <w:pPr>
        <w:ind w:firstLine="0"/>
      </w:pPr>
      <w:r>
        <w:rPr>
          <w:rFonts w:ascii="Times New Roman" w:hAnsi="Times New Roman" w:eastAsia="Times New Roman"/>
          <w:sz w:val="24"/>
          <w:szCs w:val="24"/>
        </w:rPr>
        <w:t>The Kubernetes command-line environment has been checked here, confirming that kubectl is available before any Istio resources are installed or configured in the cluster.</w:t>
      </w:r>
    </w:p>
    <w:p w14:paraId="6852841C">
      <w:pPr>
        <w:widowControl w:val="0"/>
        <w:numPr>
          <w:ilvl w:val="0"/>
          <w:numId w:val="0"/>
        </w:numPr>
        <w:autoSpaceDE w:val="0"/>
        <w:autoSpaceDN w:val="0"/>
        <w:adjustRightInd w:val="0"/>
        <w:spacing w:line="300" w:lineRule="auto"/>
        <w:jc w:val="left"/>
      </w:pPr>
      <w:r>
        <w:drawing>
          <wp:inline distT="0" distB="0" distL="114300" distR="114300">
            <wp:extent cx="5272405" cy="510540"/>
            <wp:effectExtent l="0" t="0" r="10795" b="1016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4"/>
                    <a:stretch>
                      <a:fillRect/>
                    </a:stretch>
                  </pic:blipFill>
                  <pic:spPr>
                    <a:xfrm>
                      <a:off x="0" y="0"/>
                      <a:ext cx="5272405" cy="510540"/>
                    </a:xfrm>
                    <a:prstGeom prst="rect">
                      <a:avLst/>
                    </a:prstGeom>
                    <a:noFill/>
                    <a:ln>
                      <a:noFill/>
                    </a:ln>
                  </pic:spPr>
                </pic:pic>
              </a:graphicData>
            </a:graphic>
          </wp:inline>
        </w:drawing>
      </w:r>
    </w:p>
    <w:p w14:paraId="30311B52">
      <w:pPr>
        <w:widowControl w:val="0"/>
        <w:numPr>
          <w:ilvl w:val="0"/>
          <w:numId w:val="0"/>
        </w:numPr>
        <w:autoSpaceDE w:val="0"/>
        <w:autoSpaceDN w:val="0"/>
        <w:adjustRightInd w:val="0"/>
        <w:spacing w:line="300" w:lineRule="auto"/>
        <w:jc w:val="left"/>
      </w:pPr>
    </w:p>
    <w:p w14:paraId="24C6E58E">
      <w:pPr>
        <w:ind w:firstLine="0"/>
      </w:pPr>
      <w:r>
        <w:rPr>
          <w:rFonts w:ascii="Times New Roman" w:hAnsi="Times New Roman" w:eastAsia="Times New Roman"/>
          <w:sz w:val="24"/>
          <w:szCs w:val="24"/>
        </w:rPr>
        <w:t>Istio has been successfully downloaded and extracted from the official repository, and the required control-plane and sidecar images are being pulled locally to support the later service mesh deployment.</w:t>
      </w:r>
    </w:p>
    <w:p w14:paraId="38B6DED7">
      <w:pPr>
        <w:widowControl w:val="0"/>
        <w:numPr>
          <w:ilvl w:val="0"/>
          <w:numId w:val="0"/>
        </w:numPr>
        <w:autoSpaceDE w:val="0"/>
        <w:autoSpaceDN w:val="0"/>
        <w:adjustRightInd w:val="0"/>
        <w:spacing w:line="300" w:lineRule="auto"/>
        <w:jc w:val="left"/>
      </w:pPr>
      <w:r>
        <w:drawing>
          <wp:inline distT="0" distB="0" distL="114300" distR="114300">
            <wp:extent cx="5269865" cy="2645410"/>
            <wp:effectExtent l="0" t="0" r="635" b="889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5"/>
                    <a:stretch>
                      <a:fillRect/>
                    </a:stretch>
                  </pic:blipFill>
                  <pic:spPr>
                    <a:xfrm>
                      <a:off x="0" y="0"/>
                      <a:ext cx="5269865" cy="2645410"/>
                    </a:xfrm>
                    <a:prstGeom prst="rect">
                      <a:avLst/>
                    </a:prstGeom>
                    <a:noFill/>
                    <a:ln>
                      <a:noFill/>
                    </a:ln>
                  </pic:spPr>
                </pic:pic>
              </a:graphicData>
            </a:graphic>
          </wp:inline>
        </w:drawing>
      </w:r>
    </w:p>
    <w:p w14:paraId="471BE20E">
      <w:pPr>
        <w:widowControl w:val="0"/>
        <w:numPr>
          <w:ilvl w:val="0"/>
          <w:numId w:val="0"/>
        </w:numPr>
        <w:autoSpaceDE w:val="0"/>
        <w:autoSpaceDN w:val="0"/>
        <w:adjustRightInd w:val="0"/>
        <w:spacing w:line="300" w:lineRule="auto"/>
        <w:jc w:val="left"/>
      </w:pPr>
    </w:p>
    <w:p w14:paraId="72D3FDB0">
      <w:pPr>
        <w:ind w:firstLine="0"/>
      </w:pPr>
      <w:r>
        <w:rPr>
          <w:rFonts w:ascii="Times New Roman" w:hAnsi="Times New Roman" w:eastAsia="Times New Roman"/>
          <w:sz w:val="24"/>
          <w:szCs w:val="24"/>
        </w:rPr>
        <w:t>The required Istio images have been loaded into the local Kubernetes cluster, which ensures that the cluster can start Istio components without repeatedly downloading images during the experiment.</w:t>
      </w:r>
    </w:p>
    <w:p w14:paraId="6FBEF72C">
      <w:pPr>
        <w:widowControl w:val="0"/>
        <w:numPr>
          <w:ilvl w:val="0"/>
          <w:numId w:val="0"/>
        </w:numPr>
        <w:autoSpaceDE w:val="0"/>
        <w:autoSpaceDN w:val="0"/>
        <w:adjustRightInd w:val="0"/>
        <w:spacing w:line="300" w:lineRule="auto"/>
        <w:jc w:val="left"/>
      </w:pPr>
      <w:r>
        <w:drawing>
          <wp:inline distT="0" distB="0" distL="114300" distR="114300">
            <wp:extent cx="5270500" cy="813435"/>
            <wp:effectExtent l="0" t="0" r="0" b="1206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6"/>
                    <a:stretch>
                      <a:fillRect/>
                    </a:stretch>
                  </pic:blipFill>
                  <pic:spPr>
                    <a:xfrm>
                      <a:off x="0" y="0"/>
                      <a:ext cx="5270500" cy="813435"/>
                    </a:xfrm>
                    <a:prstGeom prst="rect">
                      <a:avLst/>
                    </a:prstGeom>
                    <a:noFill/>
                    <a:ln>
                      <a:noFill/>
                    </a:ln>
                  </pic:spPr>
                </pic:pic>
              </a:graphicData>
            </a:graphic>
          </wp:inline>
        </w:drawing>
      </w:r>
    </w:p>
    <w:p w14:paraId="2E3E9518">
      <w:pPr>
        <w:widowControl w:val="0"/>
        <w:numPr>
          <w:ilvl w:val="0"/>
          <w:numId w:val="0"/>
        </w:numPr>
        <w:autoSpaceDE w:val="0"/>
        <w:autoSpaceDN w:val="0"/>
        <w:adjustRightInd w:val="0"/>
        <w:spacing w:line="300" w:lineRule="auto"/>
        <w:jc w:val="left"/>
      </w:pPr>
      <w:bookmarkStart w:id="0" w:name="_GoBack"/>
      <w:bookmarkEnd w:id="0"/>
    </w:p>
    <w:p w14:paraId="3D912F92">
      <w:pPr>
        <w:ind w:firstLine="0"/>
      </w:pPr>
      <w:r>
        <w:rPr>
          <w:rFonts w:ascii="Times New Roman" w:hAnsi="Times New Roman" w:eastAsia="Times New Roman"/>
          <w:sz w:val="24"/>
          <w:szCs w:val="24"/>
        </w:rPr>
        <w:t>The Istio control-plane pod has been restarted and verified in the istio-system namespace, showing that the core service mesh component is running normally after the image and environment preparation.</w:t>
      </w:r>
    </w:p>
    <w:p w14:paraId="3C94D4C4">
      <w:pPr>
        <w:widowControl w:val="0"/>
        <w:numPr>
          <w:ilvl w:val="0"/>
          <w:numId w:val="0"/>
        </w:numPr>
        <w:autoSpaceDE w:val="0"/>
        <w:autoSpaceDN w:val="0"/>
        <w:adjustRightInd w:val="0"/>
        <w:spacing w:line="300" w:lineRule="auto"/>
        <w:jc w:val="left"/>
      </w:pPr>
      <w:r>
        <w:drawing>
          <wp:inline distT="0" distB="0" distL="114300" distR="114300">
            <wp:extent cx="5270500" cy="953770"/>
            <wp:effectExtent l="0" t="0" r="0" b="1143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7"/>
                    <a:stretch>
                      <a:fillRect/>
                    </a:stretch>
                  </pic:blipFill>
                  <pic:spPr>
                    <a:xfrm>
                      <a:off x="0" y="0"/>
                      <a:ext cx="5270500" cy="953770"/>
                    </a:xfrm>
                    <a:prstGeom prst="rect">
                      <a:avLst/>
                    </a:prstGeom>
                    <a:noFill/>
                    <a:ln>
                      <a:noFill/>
                    </a:ln>
                  </pic:spPr>
                </pic:pic>
              </a:graphicData>
            </a:graphic>
          </wp:inline>
        </w:drawing>
      </w:r>
    </w:p>
    <w:p w14:paraId="51E13207">
      <w:pPr>
        <w:widowControl w:val="0"/>
        <w:numPr>
          <w:ilvl w:val="0"/>
          <w:numId w:val="0"/>
        </w:numPr>
        <w:autoSpaceDE w:val="0"/>
        <w:autoSpaceDN w:val="0"/>
        <w:adjustRightInd w:val="0"/>
        <w:spacing w:line="300" w:lineRule="auto"/>
        <w:jc w:val="left"/>
      </w:pPr>
    </w:p>
    <w:p w14:paraId="5639EF37">
      <w:pPr>
        <w:ind w:firstLine="0"/>
      </w:pPr>
      <w:r>
        <w:rPr>
          <w:rFonts w:ascii="Times New Roman" w:hAnsi="Times New Roman" w:eastAsia="Times New Roman"/>
          <w:sz w:val="24"/>
          <w:szCs w:val="24"/>
        </w:rPr>
        <w:t>The default namespace has been labeled for automatic Istio sidecar injection, so new application pods created in this namespace can join the service mesh and be managed by Envoy proxies.</w:t>
      </w:r>
    </w:p>
    <w:p w14:paraId="101CD2CC">
      <w:pPr>
        <w:widowControl w:val="0"/>
        <w:numPr>
          <w:ilvl w:val="0"/>
          <w:numId w:val="0"/>
        </w:numPr>
        <w:autoSpaceDE w:val="0"/>
        <w:autoSpaceDN w:val="0"/>
        <w:adjustRightInd w:val="0"/>
        <w:spacing w:line="300" w:lineRule="auto"/>
        <w:jc w:val="left"/>
      </w:pPr>
      <w:r>
        <w:drawing>
          <wp:inline distT="0" distB="0" distL="114300" distR="114300">
            <wp:extent cx="5270500" cy="829310"/>
            <wp:effectExtent l="0" t="0" r="0" b="889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8"/>
                    <a:stretch>
                      <a:fillRect/>
                    </a:stretch>
                  </pic:blipFill>
                  <pic:spPr>
                    <a:xfrm>
                      <a:off x="0" y="0"/>
                      <a:ext cx="5270500" cy="829310"/>
                    </a:xfrm>
                    <a:prstGeom prst="rect">
                      <a:avLst/>
                    </a:prstGeom>
                    <a:noFill/>
                    <a:ln>
                      <a:noFill/>
                    </a:ln>
                  </pic:spPr>
                </pic:pic>
              </a:graphicData>
            </a:graphic>
          </wp:inline>
        </w:drawing>
      </w:r>
    </w:p>
    <w:p w14:paraId="0BA9D2A2">
      <w:pPr>
        <w:widowControl w:val="0"/>
        <w:numPr>
          <w:ilvl w:val="0"/>
          <w:numId w:val="0"/>
        </w:numPr>
        <w:autoSpaceDE w:val="0"/>
        <w:autoSpaceDN w:val="0"/>
        <w:adjustRightInd w:val="0"/>
        <w:spacing w:line="300" w:lineRule="auto"/>
        <w:jc w:val="left"/>
      </w:pPr>
    </w:p>
    <w:p w14:paraId="46727F64">
      <w:pPr>
        <w:ind w:firstLine="0"/>
      </w:pPr>
      <w:r>
        <w:rPr>
          <w:rFonts w:ascii="Times New Roman" w:hAnsi="Times New Roman" w:eastAsia="Times New Roman"/>
          <w:sz w:val="24"/>
          <w:szCs w:val="24"/>
        </w:rPr>
        <w:t>The Bookinfo application is now reachable through the browser, and the product page displays book details and review information, confirming that the sample microservices application has been deployed and exposed successfully.</w:t>
      </w:r>
    </w:p>
    <w:p w14:paraId="7F86BE92">
      <w:pPr>
        <w:widowControl w:val="0"/>
        <w:numPr>
          <w:ilvl w:val="0"/>
          <w:numId w:val="0"/>
        </w:numPr>
        <w:autoSpaceDE w:val="0"/>
        <w:autoSpaceDN w:val="0"/>
        <w:adjustRightInd w:val="0"/>
        <w:spacing w:line="300" w:lineRule="auto"/>
        <w:jc w:val="left"/>
      </w:pPr>
      <w:r>
        <w:drawing>
          <wp:inline distT="0" distB="0" distL="114300" distR="114300">
            <wp:extent cx="5271770" cy="2920365"/>
            <wp:effectExtent l="0" t="0" r="11430" b="63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9"/>
                    <a:stretch>
                      <a:fillRect/>
                    </a:stretch>
                  </pic:blipFill>
                  <pic:spPr>
                    <a:xfrm>
                      <a:off x="0" y="0"/>
                      <a:ext cx="5271770" cy="2920365"/>
                    </a:xfrm>
                    <a:prstGeom prst="rect">
                      <a:avLst/>
                    </a:prstGeom>
                    <a:noFill/>
                    <a:ln>
                      <a:noFill/>
                    </a:ln>
                  </pic:spPr>
                </pic:pic>
              </a:graphicData>
            </a:graphic>
          </wp:inline>
        </w:drawing>
      </w:r>
    </w:p>
    <w:p w14:paraId="76A87C3F">
      <w:pPr>
        <w:widowControl w:val="0"/>
        <w:numPr>
          <w:ilvl w:val="0"/>
          <w:numId w:val="0"/>
        </w:numPr>
        <w:autoSpaceDE w:val="0"/>
        <w:autoSpaceDN w:val="0"/>
        <w:adjustRightInd w:val="0"/>
        <w:spacing w:line="300" w:lineRule="auto"/>
        <w:jc w:val="left"/>
      </w:pPr>
    </w:p>
    <w:p w14:paraId="4CE4B475">
      <w:pPr>
        <w:ind w:firstLine="0"/>
      </w:pPr>
      <w:r>
        <w:rPr>
          <w:rFonts w:ascii="Times New Roman" w:hAnsi="Times New Roman" w:eastAsia="Times New Roman"/>
          <w:sz w:val="24"/>
          <w:szCs w:val="24"/>
        </w:rPr>
        <w:t>The initial VirtualService configuration has been applied to route all Bookinfo service traffic to version v1, providing a stable baseline before testing more specific request-routing rules.</w:t>
      </w:r>
    </w:p>
    <w:p w14:paraId="3A49E5D6">
      <w:pPr>
        <w:widowControl w:val="0"/>
        <w:numPr>
          <w:ilvl w:val="0"/>
          <w:numId w:val="0"/>
        </w:numPr>
        <w:autoSpaceDE w:val="0"/>
        <w:autoSpaceDN w:val="0"/>
        <w:adjustRightInd w:val="0"/>
        <w:spacing w:line="300" w:lineRule="auto"/>
        <w:jc w:val="left"/>
      </w:pPr>
      <w:r>
        <w:drawing>
          <wp:inline distT="0" distB="0" distL="114300" distR="114300">
            <wp:extent cx="5266690" cy="736600"/>
            <wp:effectExtent l="0" t="0" r="3810" b="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10"/>
                    <a:stretch>
                      <a:fillRect/>
                    </a:stretch>
                  </pic:blipFill>
                  <pic:spPr>
                    <a:xfrm>
                      <a:off x="0" y="0"/>
                      <a:ext cx="5266690" cy="736600"/>
                    </a:xfrm>
                    <a:prstGeom prst="rect">
                      <a:avLst/>
                    </a:prstGeom>
                    <a:noFill/>
                    <a:ln>
                      <a:noFill/>
                    </a:ln>
                  </pic:spPr>
                </pic:pic>
              </a:graphicData>
            </a:graphic>
          </wp:inline>
        </w:drawing>
      </w:r>
    </w:p>
    <w:p w14:paraId="5D2C71F3">
      <w:pPr>
        <w:widowControl w:val="0"/>
        <w:numPr>
          <w:ilvl w:val="0"/>
          <w:numId w:val="0"/>
        </w:numPr>
        <w:autoSpaceDE w:val="0"/>
        <w:autoSpaceDN w:val="0"/>
        <w:adjustRightInd w:val="0"/>
        <w:spacing w:line="300" w:lineRule="auto"/>
        <w:jc w:val="left"/>
      </w:pPr>
    </w:p>
    <w:p w14:paraId="2DE05EE3">
      <w:pPr>
        <w:ind w:firstLine="0"/>
      </w:pPr>
      <w:r>
        <w:rPr>
          <w:rFonts w:ascii="Times New Roman" w:hAnsi="Times New Roman" w:eastAsia="Times New Roman"/>
          <w:sz w:val="24"/>
          <w:szCs w:val="24"/>
        </w:rPr>
        <w:t>The review section is displayed without star ratings, which matches the expected behavior after directing reviews traffic to version v1.</w:t>
      </w:r>
    </w:p>
    <w:p w14:paraId="6E13F326">
      <w:pPr>
        <w:widowControl w:val="0"/>
        <w:numPr>
          <w:ilvl w:val="0"/>
          <w:numId w:val="0"/>
        </w:numPr>
        <w:autoSpaceDE w:val="0"/>
        <w:autoSpaceDN w:val="0"/>
        <w:adjustRightInd w:val="0"/>
        <w:spacing w:line="300" w:lineRule="auto"/>
        <w:jc w:val="left"/>
      </w:pPr>
      <w:r>
        <w:drawing>
          <wp:inline distT="0" distB="0" distL="114300" distR="114300">
            <wp:extent cx="5273040" cy="1303655"/>
            <wp:effectExtent l="0" t="0" r="10160" b="4445"/>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11"/>
                    <a:stretch>
                      <a:fillRect/>
                    </a:stretch>
                  </pic:blipFill>
                  <pic:spPr>
                    <a:xfrm>
                      <a:off x="0" y="0"/>
                      <a:ext cx="5273040" cy="1303655"/>
                    </a:xfrm>
                    <a:prstGeom prst="rect">
                      <a:avLst/>
                    </a:prstGeom>
                    <a:noFill/>
                    <a:ln>
                      <a:noFill/>
                    </a:ln>
                  </pic:spPr>
                </pic:pic>
              </a:graphicData>
            </a:graphic>
          </wp:inline>
        </w:drawing>
      </w:r>
    </w:p>
    <w:p w14:paraId="4680F940">
      <w:pPr>
        <w:widowControl w:val="0"/>
        <w:numPr>
          <w:ilvl w:val="0"/>
          <w:numId w:val="0"/>
        </w:numPr>
        <w:autoSpaceDE w:val="0"/>
        <w:autoSpaceDN w:val="0"/>
        <w:adjustRightInd w:val="0"/>
        <w:spacing w:line="300" w:lineRule="auto"/>
        <w:jc w:val="left"/>
      </w:pPr>
    </w:p>
    <w:p w14:paraId="300A36A0">
      <w:pPr>
        <w:ind w:firstLine="0"/>
      </w:pPr>
      <w:r>
        <w:rPr>
          <w:rFonts w:ascii="Times New Roman" w:hAnsi="Times New Roman" w:eastAsia="Times New Roman"/>
          <w:sz w:val="24"/>
          <w:szCs w:val="24"/>
        </w:rPr>
        <w:t>The user-based routing rule has been applied for the reviews service, allowing requests from the specified test user to be directed to a different service version.</w:t>
      </w:r>
    </w:p>
    <w:p w14:paraId="23ECABBC">
      <w:pPr>
        <w:widowControl w:val="0"/>
        <w:numPr>
          <w:ilvl w:val="0"/>
          <w:numId w:val="0"/>
        </w:numPr>
        <w:autoSpaceDE w:val="0"/>
        <w:autoSpaceDN w:val="0"/>
        <w:adjustRightInd w:val="0"/>
        <w:spacing w:line="300" w:lineRule="auto"/>
        <w:jc w:val="left"/>
      </w:pPr>
      <w:r>
        <w:drawing>
          <wp:inline distT="0" distB="0" distL="114300" distR="114300">
            <wp:extent cx="5270500" cy="397510"/>
            <wp:effectExtent l="0" t="0" r="0" b="8890"/>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12"/>
                    <a:stretch>
                      <a:fillRect/>
                    </a:stretch>
                  </pic:blipFill>
                  <pic:spPr>
                    <a:xfrm>
                      <a:off x="0" y="0"/>
                      <a:ext cx="5270500" cy="397510"/>
                    </a:xfrm>
                    <a:prstGeom prst="rect">
                      <a:avLst/>
                    </a:prstGeom>
                    <a:noFill/>
                    <a:ln>
                      <a:noFill/>
                    </a:ln>
                  </pic:spPr>
                </pic:pic>
              </a:graphicData>
            </a:graphic>
          </wp:inline>
        </w:drawing>
      </w:r>
    </w:p>
    <w:p w14:paraId="25DADF71">
      <w:pPr>
        <w:ind w:firstLine="0"/>
      </w:pPr>
      <w:r>
        <w:rPr>
          <w:rFonts w:ascii="Times New Roman" w:hAnsi="Times New Roman" w:eastAsia="Times New Roman"/>
          <w:sz w:val="24"/>
          <w:szCs w:val="24"/>
        </w:rPr>
        <w:t>The review section now shows black star ratings after the routing rule takes effect, indicating that the request has reached reviews version v2 under the configured user condition.</w:t>
      </w:r>
    </w:p>
    <w:p w14:paraId="5E000B46">
      <w:pPr>
        <w:widowControl w:val="0"/>
        <w:numPr>
          <w:ilvl w:val="0"/>
          <w:numId w:val="0"/>
        </w:numPr>
        <w:autoSpaceDE w:val="0"/>
        <w:autoSpaceDN w:val="0"/>
        <w:adjustRightInd w:val="0"/>
        <w:spacing w:line="300" w:lineRule="auto"/>
        <w:jc w:val="left"/>
      </w:pPr>
      <w:r>
        <w:drawing>
          <wp:inline distT="0" distB="0" distL="114300" distR="114300">
            <wp:extent cx="5266055" cy="1255395"/>
            <wp:effectExtent l="0" t="0" r="4445" b="1905"/>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13"/>
                    <a:stretch>
                      <a:fillRect/>
                    </a:stretch>
                  </pic:blipFill>
                  <pic:spPr>
                    <a:xfrm>
                      <a:off x="0" y="0"/>
                      <a:ext cx="5266055" cy="1255395"/>
                    </a:xfrm>
                    <a:prstGeom prst="rect">
                      <a:avLst/>
                    </a:prstGeom>
                    <a:noFill/>
                    <a:ln>
                      <a:noFill/>
                    </a:ln>
                  </pic:spPr>
                </pic:pic>
              </a:graphicData>
            </a:graphic>
          </wp:inline>
        </w:drawing>
      </w:r>
    </w:p>
    <w:p w14:paraId="69A376A0">
      <w:pPr>
        <w:widowControl w:val="0"/>
        <w:numPr>
          <w:ilvl w:val="0"/>
          <w:numId w:val="0"/>
        </w:numPr>
        <w:autoSpaceDE w:val="0"/>
        <w:autoSpaceDN w:val="0"/>
        <w:adjustRightInd w:val="0"/>
        <w:spacing w:line="300" w:lineRule="auto"/>
        <w:jc w:val="left"/>
      </w:pPr>
    </w:p>
    <w:p w14:paraId="6395902C">
      <w:pPr>
        <w:ind w:firstLine="0"/>
      </w:pPr>
      <w:r>
        <w:rPr>
          <w:rFonts w:ascii="Times New Roman" w:hAnsi="Times New Roman" w:eastAsia="Times New Roman"/>
          <w:sz w:val="24"/>
          <w:szCs w:val="24"/>
        </w:rPr>
        <w:t>The traffic-shifting rules have been updated for the reviews service, first splitting traffic between versions and then moving traffic toward version v3.</w:t>
      </w:r>
    </w:p>
    <w:p w14:paraId="755D9A57">
      <w:pPr>
        <w:widowControl w:val="0"/>
        <w:numPr>
          <w:ilvl w:val="0"/>
          <w:numId w:val="0"/>
        </w:numPr>
        <w:autoSpaceDE w:val="0"/>
        <w:autoSpaceDN w:val="0"/>
        <w:adjustRightInd w:val="0"/>
        <w:spacing w:line="300" w:lineRule="auto"/>
        <w:jc w:val="left"/>
      </w:pPr>
      <w:r>
        <w:drawing>
          <wp:inline distT="0" distB="0" distL="114300" distR="114300">
            <wp:extent cx="5266690" cy="1553845"/>
            <wp:effectExtent l="0" t="0" r="3810" b="8255"/>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14"/>
                    <a:stretch>
                      <a:fillRect/>
                    </a:stretch>
                  </pic:blipFill>
                  <pic:spPr>
                    <a:xfrm>
                      <a:off x="0" y="0"/>
                      <a:ext cx="5266690" cy="1553845"/>
                    </a:xfrm>
                    <a:prstGeom prst="rect">
                      <a:avLst/>
                    </a:prstGeom>
                    <a:noFill/>
                    <a:ln>
                      <a:noFill/>
                    </a:ln>
                  </pic:spPr>
                </pic:pic>
              </a:graphicData>
            </a:graphic>
          </wp:inline>
        </w:drawing>
      </w:r>
    </w:p>
    <w:p w14:paraId="7547AFBA">
      <w:pPr>
        <w:ind w:firstLine="0"/>
      </w:pPr>
      <w:r>
        <w:rPr>
          <w:rFonts w:ascii="Times New Roman" w:hAnsi="Times New Roman" w:eastAsia="Times New Roman"/>
          <w:sz w:val="24"/>
          <w:szCs w:val="24"/>
        </w:rPr>
        <w:t>The review section shows red star ratings, demonstrating that traffic has been shifted to reviews version v3 and the new service version is being served.</w:t>
      </w:r>
    </w:p>
    <w:p w14:paraId="0C8B27E4">
      <w:pPr>
        <w:widowControl w:val="0"/>
        <w:numPr>
          <w:ilvl w:val="0"/>
          <w:numId w:val="0"/>
        </w:numPr>
        <w:autoSpaceDE w:val="0"/>
        <w:autoSpaceDN w:val="0"/>
        <w:adjustRightInd w:val="0"/>
        <w:spacing w:line="300" w:lineRule="auto"/>
        <w:jc w:val="left"/>
      </w:pPr>
      <w:r>
        <w:drawing>
          <wp:inline distT="0" distB="0" distL="114300" distR="114300">
            <wp:extent cx="5259705" cy="1238250"/>
            <wp:effectExtent l="0" t="0" r="10795" b="6350"/>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15"/>
                    <a:stretch>
                      <a:fillRect/>
                    </a:stretch>
                  </pic:blipFill>
                  <pic:spPr>
                    <a:xfrm>
                      <a:off x="0" y="0"/>
                      <a:ext cx="5259705" cy="1238250"/>
                    </a:xfrm>
                    <a:prstGeom prst="rect">
                      <a:avLst/>
                    </a:prstGeom>
                    <a:noFill/>
                    <a:ln>
                      <a:noFill/>
                    </a:ln>
                  </pic:spPr>
                </pic:pic>
              </a:graphicData>
            </a:graphic>
          </wp:inline>
        </w:drawing>
      </w:r>
    </w:p>
    <w:p w14:paraId="22C7C36B">
      <w:pPr>
        <w:widowControl w:val="0"/>
        <w:numPr>
          <w:ilvl w:val="0"/>
          <w:numId w:val="0"/>
        </w:numPr>
        <w:autoSpaceDE w:val="0"/>
        <w:autoSpaceDN w:val="0"/>
        <w:adjustRightInd w:val="0"/>
        <w:spacing w:line="300" w:lineRule="auto"/>
        <w:jc w:val="left"/>
      </w:pPr>
    </w:p>
    <w:p w14:paraId="4EAFE27A">
      <w:pPr>
        <w:ind w:firstLine="0"/>
      </w:pPr>
      <w:r>
        <w:rPr>
          <w:rFonts w:ascii="Times New Roman" w:hAnsi="Times New Roman" w:eastAsia="Times New Roman"/>
          <w:sz w:val="24"/>
          <w:szCs w:val="24"/>
        </w:rPr>
        <w:t>The fault-injection configuration has been applied to the ratings service, introducing controlled delay and failure behavior for the selected request path.</w:t>
      </w:r>
    </w:p>
    <w:p w14:paraId="31F637BC">
      <w:pPr>
        <w:widowControl w:val="0"/>
        <w:numPr>
          <w:ilvl w:val="0"/>
          <w:numId w:val="0"/>
        </w:numPr>
        <w:autoSpaceDE w:val="0"/>
        <w:autoSpaceDN w:val="0"/>
        <w:adjustRightInd w:val="0"/>
        <w:spacing w:line="300" w:lineRule="auto"/>
        <w:jc w:val="left"/>
      </w:pPr>
      <w:r>
        <w:drawing>
          <wp:inline distT="0" distB="0" distL="114300" distR="114300">
            <wp:extent cx="5270500" cy="1428115"/>
            <wp:effectExtent l="0" t="0" r="0" b="6985"/>
            <wp:docPr id="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pic:cNvPicPr>
                      <a:picLocks noChangeAspect="1"/>
                    </pic:cNvPicPr>
                  </pic:nvPicPr>
                  <pic:blipFill>
                    <a:blip r:embed="rId16"/>
                    <a:stretch>
                      <a:fillRect/>
                    </a:stretch>
                  </pic:blipFill>
                  <pic:spPr>
                    <a:xfrm>
                      <a:off x="0" y="0"/>
                      <a:ext cx="5270500" cy="1428115"/>
                    </a:xfrm>
                    <a:prstGeom prst="rect">
                      <a:avLst/>
                    </a:prstGeom>
                    <a:noFill/>
                    <a:ln>
                      <a:noFill/>
                    </a:ln>
                  </pic:spPr>
                </pic:pic>
              </a:graphicData>
            </a:graphic>
          </wp:inline>
        </w:drawing>
      </w:r>
    </w:p>
    <w:p w14:paraId="59226552">
      <w:pPr>
        <w:ind w:firstLine="0"/>
      </w:pPr>
      <w:r>
        <w:rPr>
          <w:rFonts w:ascii="Times New Roman" w:hAnsi="Times New Roman" w:eastAsia="Times New Roman"/>
          <w:sz w:val="24"/>
          <w:szCs w:val="24"/>
        </w:rPr>
        <w:t>The product page reports an error when fetching reviews, showing how the application behaves when the downstream ratings service is affected by injected faults.</w:t>
      </w:r>
    </w:p>
    <w:p w14:paraId="76C7484E">
      <w:pPr>
        <w:widowControl w:val="0"/>
        <w:numPr>
          <w:ilvl w:val="0"/>
          <w:numId w:val="0"/>
        </w:numPr>
        <w:autoSpaceDE w:val="0"/>
        <w:autoSpaceDN w:val="0"/>
        <w:adjustRightInd w:val="0"/>
        <w:spacing w:line="300" w:lineRule="auto"/>
        <w:jc w:val="left"/>
      </w:pPr>
      <w:r>
        <w:drawing>
          <wp:inline distT="0" distB="0" distL="114300" distR="114300">
            <wp:extent cx="5268595" cy="487045"/>
            <wp:effectExtent l="0" t="0" r="1905" b="8255"/>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17"/>
                    <a:stretch>
                      <a:fillRect/>
                    </a:stretch>
                  </pic:blipFill>
                  <pic:spPr>
                    <a:xfrm>
                      <a:off x="0" y="0"/>
                      <a:ext cx="5268595" cy="487045"/>
                    </a:xfrm>
                    <a:prstGeom prst="rect">
                      <a:avLst/>
                    </a:prstGeom>
                    <a:noFill/>
                    <a:ln>
                      <a:noFill/>
                    </a:ln>
                  </pic:spPr>
                </pic:pic>
              </a:graphicData>
            </a:graphic>
          </wp:inline>
        </w:drawing>
      </w:r>
    </w:p>
    <w:p w14:paraId="2ECEE43E">
      <w:pPr>
        <w:ind w:firstLine="0"/>
      </w:pPr>
      <w:r>
        <w:rPr>
          <w:rFonts w:ascii="Times New Roman" w:hAnsi="Times New Roman" w:eastAsia="Times New Roman"/>
          <w:sz w:val="24"/>
          <w:szCs w:val="24"/>
        </w:rPr>
        <w:t>The final routing adjustment restores the reviews service configuration after the fault-injection test, preparing the application for continued validation or cleanup.</w:t>
      </w:r>
    </w:p>
    <w:p w14:paraId="60DA199A">
      <w:pPr>
        <w:widowControl w:val="0"/>
        <w:numPr>
          <w:ilvl w:val="0"/>
          <w:numId w:val="0"/>
        </w:numPr>
        <w:autoSpaceDE w:val="0"/>
        <w:autoSpaceDN w:val="0"/>
        <w:adjustRightInd w:val="0"/>
        <w:spacing w:line="300" w:lineRule="auto"/>
        <w:jc w:val="left"/>
        <w:rPr>
          <w:rFonts w:hint="default"/>
        </w:rPr>
      </w:pPr>
      <w:r>
        <w:drawing>
          <wp:inline distT="0" distB="0" distL="114300" distR="114300">
            <wp:extent cx="5262880" cy="1280160"/>
            <wp:effectExtent l="0" t="0" r="7620" b="2540"/>
            <wp:docPr id="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pic:cNvPicPr>
                      <a:picLocks noChangeAspect="1"/>
                    </pic:cNvPicPr>
                  </pic:nvPicPr>
                  <pic:blipFill>
                    <a:blip r:embed="rId18"/>
                    <a:stretch>
                      <a:fillRect/>
                    </a:stretch>
                  </pic:blipFill>
                  <pic:spPr>
                    <a:xfrm>
                      <a:off x="0" y="0"/>
                      <a:ext cx="5262880" cy="1280160"/>
                    </a:xfrm>
                    <a:prstGeom prst="rect">
                      <a:avLst/>
                    </a:prstGeom>
                    <a:noFill/>
                    <a:ln>
                      <a:noFill/>
                    </a:ln>
                  </pic:spPr>
                </pic:pic>
              </a:graphicData>
            </a:graphic>
          </wp:inline>
        </w:drawing>
      </w:r>
    </w:p>
    <w:p w14:paraId="2C571B58">
      <w:pPr>
        <w:autoSpaceDE w:val="0"/>
        <w:autoSpaceDN w:val="0"/>
        <w:adjustRightInd w:val="0"/>
        <w:spacing w:line="300" w:lineRule="auto"/>
        <w:jc w:val="left"/>
        <w:rPr>
          <w:rFonts w:hint="default" w:ascii="Times New Roman" w:hAnsi="Times New Roman" w:eastAsia="黑体" w:cs="Times New Roman"/>
          <w:b/>
          <w:kern w:val="0"/>
          <w:sz w:val="28"/>
          <w:szCs w:val="28"/>
        </w:rPr>
      </w:pPr>
      <w:r>
        <w:rPr>
          <w:rFonts w:hint="default" w:ascii="Times New Roman" w:hAnsi="Times New Roman" w:eastAsia="黑体" w:cs="Times New Roman"/>
          <w:b/>
          <w:kern w:val="0"/>
          <w:sz w:val="28"/>
          <w:szCs w:val="28"/>
        </w:rPr>
        <w:t>四、Reflection</w:t>
      </w:r>
    </w:p>
    <w:p w14:paraId="658AFE6C">
      <w:pPr>
        <w:numPr>
          <w:ilvl w:val="0"/>
          <w:numId w:val="0"/>
        </w:numPr>
        <w:autoSpaceDE w:val="0"/>
        <w:autoSpaceDN w:val="0"/>
        <w:adjustRightInd w:val="0"/>
        <w:spacing w:line="300" w:lineRule="auto"/>
        <w:jc w:val="both"/>
        <w:rPr>
          <w:rFonts w:hint="default" w:eastAsia="黑体" w:cs="Times New Roman"/>
          <w:b w:val="0"/>
          <w:bCs/>
          <w:kern w:val="0"/>
          <w:sz w:val="24"/>
          <w:szCs w:val="24"/>
          <w:lang w:val="en-US" w:eastAsia="zh-CN"/>
        </w:rPr>
      </w:pPr>
      <w:r>
        <w:rPr>
          <w:rFonts w:hint="eastAsia" w:eastAsia="黑体" w:cs="Times New Roman"/>
          <w:b w:val="0"/>
          <w:bCs/>
          <w:kern w:val="0"/>
          <w:sz w:val="24"/>
          <w:szCs w:val="24"/>
          <w:lang w:val="en-US" w:eastAsia="zh-CN"/>
        </w:rPr>
        <w:t>1. Through this experiment, I gained valuable hands-on experience in managing traffic and ensuring the resilience of a microservices architecture using Istio. By implementing traffic shifting, I learned how to smoothly transition between different versions of services, which is essential for canary deployments and reducing risks in production environments. The request routing task helped me understand how to direct traffic based on specific conditions, such as headers or version labels, which is crucial for enabling more flexible and dynamic application behaviors. Additionally, fault injection allowed me to simulate real-world failures, providing insights into how Istio</w:t>
      </w:r>
      <w:r>
        <w:rPr>
          <w:rFonts w:hint="default" w:eastAsia="黑体" w:cs="Times New Roman"/>
          <w:b w:val="0"/>
          <w:bCs/>
          <w:kern w:val="0"/>
          <w:sz w:val="24"/>
          <w:szCs w:val="24"/>
          <w:lang w:val="en-US" w:eastAsia="zh-CN"/>
        </w:rPr>
        <w:t>’</w:t>
      </w:r>
      <w:r>
        <w:rPr>
          <w:rFonts w:hint="eastAsia" w:eastAsia="黑体" w:cs="Times New Roman"/>
          <w:b w:val="0"/>
          <w:bCs/>
          <w:kern w:val="0"/>
          <w:sz w:val="24"/>
          <w:szCs w:val="24"/>
          <w:lang w:val="en-US" w:eastAsia="zh-CN"/>
        </w:rPr>
        <w:t>s failure recovery mechanisms work and how they can be leveraged to improve system resilience.</w:t>
      </w:r>
    </w:p>
    <w:p w14:paraId="1931121B">
      <w:pPr>
        <w:numPr>
          <w:ilvl w:val="0"/>
          <w:numId w:val="0"/>
        </w:numPr>
        <w:autoSpaceDE w:val="0"/>
        <w:autoSpaceDN w:val="0"/>
        <w:adjustRightInd w:val="0"/>
        <w:spacing w:line="300" w:lineRule="auto"/>
        <w:jc w:val="both"/>
        <w:rPr>
          <w:rFonts w:hint="eastAsia" w:eastAsia="黑体" w:cs="Times New Roman"/>
          <w:b w:val="0"/>
          <w:bCs/>
          <w:kern w:val="0"/>
          <w:sz w:val="24"/>
          <w:szCs w:val="24"/>
          <w:lang w:val="en-US" w:eastAsia="zh-CN"/>
        </w:rPr>
      </w:pPr>
      <w:r>
        <w:rPr>
          <w:rFonts w:hint="eastAsia" w:eastAsia="黑体" w:cs="Times New Roman"/>
          <w:b w:val="0"/>
          <w:bCs/>
          <w:kern w:val="0"/>
          <w:sz w:val="24"/>
          <w:szCs w:val="24"/>
          <w:lang w:val="en-US" w:eastAsia="zh-CN"/>
        </w:rPr>
        <w:t>2. Configuring circuit breaking was another key takeaway, as it taught me how to prevent cascading failures by quickly failing requests to unhealthy service instances. This helps maintain the stability of the system, especially during heavy load or network disruptions. Furthermore, I explore Istio</w:t>
      </w:r>
      <w:r>
        <w:rPr>
          <w:rFonts w:hint="default" w:eastAsia="黑体" w:cs="Times New Roman"/>
          <w:b w:val="0"/>
          <w:bCs/>
          <w:kern w:val="0"/>
          <w:sz w:val="24"/>
          <w:szCs w:val="24"/>
          <w:lang w:val="en-US" w:eastAsia="zh-CN"/>
        </w:rPr>
        <w:t>’</w:t>
      </w:r>
      <w:r>
        <w:rPr>
          <w:rFonts w:hint="eastAsia" w:eastAsia="黑体" w:cs="Times New Roman"/>
          <w:b w:val="0"/>
          <w:bCs/>
          <w:kern w:val="0"/>
          <w:sz w:val="24"/>
          <w:szCs w:val="24"/>
          <w:lang w:val="en-US" w:eastAsia="zh-CN"/>
        </w:rPr>
        <w:t xml:space="preserve">s observability tools, which provided a deeper understanding of traffic patterns and system health through real-time metrics. </w:t>
      </w:r>
    </w:p>
    <w:p w14:paraId="495896AC">
      <w:pPr>
        <w:numPr>
          <w:ilvl w:val="0"/>
          <w:numId w:val="0"/>
        </w:numPr>
        <w:autoSpaceDE w:val="0"/>
        <w:autoSpaceDN w:val="0"/>
        <w:adjustRightInd w:val="0"/>
        <w:spacing w:line="300" w:lineRule="auto"/>
        <w:jc w:val="both"/>
        <w:rPr>
          <w:rFonts w:hint="eastAsia" w:eastAsia="黑体" w:cs="Times New Roman"/>
          <w:b w:val="0"/>
          <w:bCs/>
          <w:kern w:val="0"/>
          <w:sz w:val="24"/>
          <w:szCs w:val="24"/>
          <w:lang w:val="en-US" w:eastAsia="zh-CN"/>
        </w:rPr>
      </w:pPr>
      <w:r>
        <w:rPr>
          <w:rFonts w:hint="eastAsia" w:eastAsia="黑体" w:cs="Times New Roman"/>
          <w:b w:val="0"/>
          <w:bCs/>
          <w:kern w:val="0"/>
          <w:sz w:val="24"/>
          <w:szCs w:val="24"/>
          <w:lang w:val="en-US" w:eastAsia="zh-CN"/>
        </w:rPr>
        <w:t xml:space="preserve">3. The load balancing configurations demonstrated how Istio efficiently distributes traffic across multiple service instances, ensuring high availability and fault tolerance. Overall, this experiment gave me a comprehensive understanding of how Istio can be used to manage, secure, and optimize traffic in a microservices architecture. </w:t>
      </w:r>
    </w:p>
    <w:p w14:paraId="7AADE4AB">
      <w:pPr>
        <w:numPr>
          <w:ilvl w:val="0"/>
          <w:numId w:val="0"/>
        </w:numPr>
        <w:autoSpaceDE w:val="0"/>
        <w:autoSpaceDN w:val="0"/>
        <w:adjustRightInd w:val="0"/>
        <w:spacing w:line="300" w:lineRule="auto"/>
        <w:jc w:val="both"/>
        <w:rPr>
          <w:rFonts w:hint="eastAsia" w:eastAsia="黑体" w:cs="Times New Roman"/>
          <w:b w:val="0"/>
          <w:bCs/>
          <w:kern w:val="0"/>
          <w:sz w:val="24"/>
          <w:szCs w:val="24"/>
          <w:lang w:val="en-US" w:eastAsia="zh-CN"/>
        </w:rPr>
      </w:pPr>
      <w:r>
        <w:rPr>
          <w:rFonts w:hint="eastAsia" w:eastAsia="黑体" w:cs="Times New Roman"/>
          <w:b w:val="0"/>
          <w:bCs/>
          <w:kern w:val="0"/>
          <w:sz w:val="24"/>
          <w:szCs w:val="24"/>
          <w:lang w:val="en-US" w:eastAsia="zh-CN"/>
        </w:rPr>
        <w:t xml:space="preserve">4. This experiment also highlighted the importance of observability in a microservices environment. By integrating Istio's telemetry features, I gained firsthand experience in monitoring the traffic flow and understanding service performance through metrics such as request count, latency, and error rates. </w:t>
      </w:r>
    </w:p>
    <w:p w14:paraId="3FFD1198">
      <w:pPr>
        <w:numPr>
          <w:ilvl w:val="0"/>
          <w:numId w:val="0"/>
        </w:numPr>
        <w:autoSpaceDE w:val="0"/>
        <w:autoSpaceDN w:val="0"/>
        <w:adjustRightInd w:val="0"/>
        <w:spacing w:line="300" w:lineRule="auto"/>
        <w:jc w:val="both"/>
        <w:rPr>
          <w:rFonts w:hint="eastAsia" w:eastAsia="黑体" w:cs="Times New Roman"/>
          <w:b w:val="0"/>
          <w:bCs/>
          <w:kern w:val="0"/>
          <w:sz w:val="24"/>
          <w:szCs w:val="24"/>
          <w:lang w:val="en-US" w:eastAsia="zh-CN"/>
        </w:rPr>
      </w:pPr>
      <w:r>
        <w:rPr>
          <w:rFonts w:hint="eastAsia" w:eastAsia="黑体" w:cs="Times New Roman"/>
          <w:b w:val="0"/>
          <w:bCs/>
          <w:kern w:val="0"/>
          <w:sz w:val="24"/>
          <w:szCs w:val="24"/>
          <w:lang w:val="en-US" w:eastAsia="zh-CN"/>
        </w:rPr>
        <w:t xml:space="preserve">5. Additionally, configuring security with Istio helped me appreciate the critical role of service-to-service authentication and encryption in modern architectures. This step emphasized the growing need for robust security measures in cloud-native environments, where services often interact over shared networks. </w:t>
      </w:r>
    </w:p>
    <w:p w14:paraId="69D4217E">
      <w:pPr>
        <w:numPr>
          <w:ilvl w:val="0"/>
          <w:numId w:val="0"/>
        </w:numPr>
        <w:autoSpaceDE w:val="0"/>
        <w:autoSpaceDN w:val="0"/>
        <w:adjustRightInd w:val="0"/>
        <w:spacing w:line="300" w:lineRule="auto"/>
        <w:jc w:val="both"/>
        <w:rPr>
          <w:rFonts w:hint="eastAsia" w:eastAsia="黑体" w:cs="Times New Roman"/>
          <w:b w:val="0"/>
          <w:bCs/>
          <w:kern w:val="0"/>
          <w:sz w:val="24"/>
          <w:szCs w:val="24"/>
          <w:lang w:val="en-US" w:eastAsia="zh-CN"/>
        </w:rPr>
      </w:pPr>
    </w:p>
    <w:p w14:paraId="4809967E">
      <w:pPr>
        <w:numPr>
          <w:ilvl w:val="0"/>
          <w:numId w:val="0"/>
        </w:numPr>
        <w:autoSpaceDE w:val="0"/>
        <w:autoSpaceDN w:val="0"/>
        <w:adjustRightInd w:val="0"/>
        <w:spacing w:line="300" w:lineRule="auto"/>
        <w:jc w:val="center"/>
        <w:rPr>
          <w:rFonts w:hint="eastAsia" w:ascii="Times New Roman" w:eastAsia="宋体"/>
          <w:b/>
          <w:bCs/>
          <w:sz w:val="28"/>
          <w:lang w:val="en-US" w:eastAsia="zh-CN"/>
        </w:rPr>
      </w:pPr>
      <w:r>
        <w:rPr>
          <w:rFonts w:hint="eastAsia"/>
          <w:b/>
          <w:bCs/>
          <w:sz w:val="28"/>
        </w:rPr>
        <w:t>附录</w:t>
      </w:r>
      <w:r>
        <w:rPr>
          <w:rFonts w:hint="eastAsia" w:ascii="Times New Roman" w:eastAsia="宋体"/>
          <w:b/>
          <w:bCs/>
          <w:sz w:val="28"/>
          <w:lang w:val="en-US" w:eastAsia="zh-CN"/>
        </w:rPr>
        <w:t xml:space="preserve"> 程序命令代码</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108" w:type="dxa"/>
          <w:bottom w:w="0" w:type="dxa"/>
          <w:right w:w="108" w:type="dxa"/>
        </w:tblCellMar>
      </w:tblPr>
      <w:tblGrid>
        <w:gridCol w:w="8522"/>
      </w:tblGrid>
      <w:tr w14:paraId="5D31138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op w:val="single" w:color="auto" w:sz="8" w:space="0"/>
              <w:left w:val="single" w:color="auto" w:sz="8" w:space="0"/>
              <w:bottom w:val="single" w:color="auto" w:sz="8" w:space="0"/>
              <w:right w:val="single" w:color="auto" w:sz="8" w:space="0"/>
            </w:tcBorders>
            <w:shd w:val="clear" w:color="auto" w:fill="D7D7D7" w:themeFill="background1" w:themeFillShade="D8"/>
          </w:tcPr>
          <w:p w14:paraId="28DEC495">
            <w:pPr>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default" w:eastAsia="宋体"/>
                <w:sz w:val="28"/>
                <w:vertAlign w:val="baseline"/>
                <w:lang w:val="en-US" w:eastAsia="zh-CN"/>
              </w:rPr>
            </w:pPr>
            <w:r>
              <w:rPr>
                <w:rFonts w:hint="default" w:ascii="Times New Roman" w:hAnsi="Times New Roman" w:eastAsia="宋体" w:cs="Times New Roman"/>
                <w:sz w:val="24"/>
                <w:szCs w:val="24"/>
                <w:vertAlign w:val="baseline"/>
                <w:lang w:val="en-US" w:eastAsia="zh-CN"/>
              </w:rPr>
              <w:t>附录</w:t>
            </w:r>
            <w:r>
              <w:rPr>
                <w:rFonts w:hint="eastAsia" w:ascii="Times New Roman" w:hAnsi="Times New Roman" w:cs="Times New Roman"/>
                <w:sz w:val="24"/>
                <w:szCs w:val="24"/>
                <w:vertAlign w:val="baseline"/>
                <w:lang w:val="en-US" w:eastAsia="zh-CN"/>
              </w:rPr>
              <w:t>1：工具检查</w:t>
            </w:r>
          </w:p>
        </w:tc>
      </w:tr>
      <w:tr w14:paraId="23F2450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op w:val="single" w:color="auto" w:sz="8" w:space="0"/>
              <w:left w:val="single" w:color="auto" w:sz="8" w:space="0"/>
              <w:bottom w:val="single" w:color="auto" w:sz="8" w:space="0"/>
              <w:right w:val="single" w:color="auto" w:sz="8" w:space="0"/>
            </w:tcBorders>
          </w:tcPr>
          <w:p w14:paraId="616D61E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version --client</w:t>
            </w:r>
          </w:p>
          <w:p w14:paraId="707DEE8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cluster-info</w:t>
            </w:r>
          </w:p>
          <w:p w14:paraId="3FDB742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istioctl version</w:t>
            </w:r>
          </w:p>
        </w:tc>
      </w:tr>
    </w:tbl>
    <w:p w14:paraId="00DC61DA">
      <w:pPr>
        <w:numPr>
          <w:ilvl w:val="0"/>
          <w:numId w:val="0"/>
        </w:numPr>
        <w:autoSpaceDE w:val="0"/>
        <w:autoSpaceDN w:val="0"/>
        <w:adjustRightInd w:val="0"/>
        <w:spacing w:line="300" w:lineRule="auto"/>
        <w:jc w:val="left"/>
        <w:rPr>
          <w:rFonts w:hint="default" w:ascii="Times New Roman" w:eastAsia="宋体"/>
          <w:b/>
          <w:bCs/>
          <w:sz w:val="28"/>
          <w:lang w:val="en-US" w:eastAsia="zh-C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108" w:type="dxa"/>
          <w:bottom w:w="0" w:type="dxa"/>
          <w:right w:w="108" w:type="dxa"/>
        </w:tblCellMar>
      </w:tblPr>
      <w:tblGrid>
        <w:gridCol w:w="8522"/>
      </w:tblGrid>
      <w:tr w14:paraId="626DCA3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op w:val="single" w:color="auto" w:sz="8" w:space="0"/>
              <w:left w:val="single" w:color="auto" w:sz="8" w:space="0"/>
              <w:bottom w:val="single" w:color="auto" w:sz="8" w:space="0"/>
              <w:right w:val="single" w:color="auto" w:sz="8" w:space="0"/>
            </w:tcBorders>
            <w:shd w:val="clear" w:color="auto" w:fill="D7D7D7" w:themeFill="background1" w:themeFillShade="D8"/>
          </w:tcPr>
          <w:p w14:paraId="2077E49D">
            <w:pPr>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default" w:eastAsia="宋体"/>
                <w:sz w:val="28"/>
                <w:vertAlign w:val="baseline"/>
                <w:lang w:val="en-US" w:eastAsia="zh-CN"/>
              </w:rPr>
            </w:pPr>
            <w:r>
              <w:rPr>
                <w:rFonts w:hint="default" w:ascii="Times New Roman" w:hAnsi="Times New Roman" w:eastAsia="宋体" w:cs="Times New Roman"/>
                <w:sz w:val="24"/>
                <w:szCs w:val="24"/>
                <w:vertAlign w:val="baseline"/>
                <w:lang w:val="en-US" w:eastAsia="zh-CN"/>
              </w:rPr>
              <w:t>附录</w:t>
            </w:r>
            <w:r>
              <w:rPr>
                <w:rFonts w:hint="eastAsia" w:ascii="Times New Roman" w:hAnsi="Times New Roman" w:cs="Times New Roman"/>
                <w:sz w:val="24"/>
                <w:szCs w:val="24"/>
                <w:vertAlign w:val="baseline"/>
                <w:lang w:val="en-US" w:eastAsia="zh-CN"/>
              </w:rPr>
              <w:t>2：Istio安装、命名空间注入</w:t>
            </w:r>
          </w:p>
        </w:tc>
      </w:tr>
      <w:tr w14:paraId="3A31050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op w:val="single" w:color="auto" w:sz="8" w:space="0"/>
              <w:left w:val="single" w:color="auto" w:sz="8" w:space="0"/>
              <w:bottom w:val="single" w:color="auto" w:sz="8" w:space="0"/>
              <w:right w:val="single" w:color="auto" w:sz="8" w:space="0"/>
            </w:tcBorders>
          </w:tcPr>
          <w:p w14:paraId="6DF5CDE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istioctl install --set profile=demo -y</w:t>
            </w:r>
          </w:p>
          <w:p w14:paraId="687C423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label namespace default istio-injection=enabled</w:t>
            </w:r>
          </w:p>
          <w:p w14:paraId="15922F7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get pods -n istio-system</w:t>
            </w:r>
          </w:p>
          <w:p w14:paraId="416B975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get svc -n istio-system</w:t>
            </w:r>
          </w:p>
          <w:p w14:paraId="01FFAC3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describe pod -n istio-system -l app=istiod</w:t>
            </w:r>
          </w:p>
          <w:p w14:paraId="2DC21BA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describe pod -n default -l app=details</w:t>
            </w:r>
          </w:p>
        </w:tc>
      </w:tr>
    </w:tbl>
    <w:p w14:paraId="51F7EF5B">
      <w:pPr>
        <w:numPr>
          <w:ilvl w:val="0"/>
          <w:numId w:val="0"/>
        </w:numPr>
        <w:autoSpaceDE w:val="0"/>
        <w:autoSpaceDN w:val="0"/>
        <w:adjustRightInd w:val="0"/>
        <w:spacing w:line="300" w:lineRule="auto"/>
        <w:jc w:val="left"/>
        <w:rPr>
          <w:rFonts w:hint="default" w:ascii="Times New Roman" w:eastAsia="宋体"/>
          <w:b/>
          <w:bCs/>
          <w:sz w:val="28"/>
          <w:lang w:val="en-US" w:eastAsia="zh-C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108" w:type="dxa"/>
          <w:bottom w:w="0" w:type="dxa"/>
          <w:right w:w="108" w:type="dxa"/>
        </w:tblCellMar>
      </w:tblPr>
      <w:tblGrid>
        <w:gridCol w:w="8522"/>
      </w:tblGrid>
      <w:tr w14:paraId="58F9559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op w:val="single" w:color="auto" w:sz="8" w:space="0"/>
              <w:left w:val="single" w:color="auto" w:sz="8" w:space="0"/>
              <w:bottom w:val="single" w:color="auto" w:sz="8" w:space="0"/>
              <w:right w:val="single" w:color="auto" w:sz="8" w:space="0"/>
            </w:tcBorders>
            <w:shd w:val="clear" w:color="auto" w:fill="D7D7D7" w:themeFill="background1" w:themeFillShade="D8"/>
          </w:tcPr>
          <w:p w14:paraId="46C70967">
            <w:pPr>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default" w:eastAsia="宋体"/>
                <w:sz w:val="28"/>
                <w:vertAlign w:val="baseline"/>
                <w:lang w:val="en-US" w:eastAsia="zh-CN"/>
              </w:rPr>
            </w:pPr>
            <w:r>
              <w:rPr>
                <w:rFonts w:hint="default" w:ascii="Times New Roman" w:hAnsi="Times New Roman" w:eastAsia="宋体" w:cs="Times New Roman"/>
                <w:sz w:val="24"/>
                <w:szCs w:val="24"/>
                <w:vertAlign w:val="baseline"/>
                <w:lang w:val="en-US" w:eastAsia="zh-CN"/>
              </w:rPr>
              <w:t>附录</w:t>
            </w:r>
            <w:r>
              <w:rPr>
                <w:rFonts w:hint="eastAsia" w:ascii="Times New Roman" w:hAnsi="Times New Roman" w:cs="Times New Roman"/>
                <w:sz w:val="24"/>
                <w:szCs w:val="24"/>
                <w:vertAlign w:val="baseline"/>
                <w:lang w:val="en-US" w:eastAsia="zh-CN"/>
              </w:rPr>
              <w:t>3：Bookinfo基础部署</w:t>
            </w:r>
          </w:p>
        </w:tc>
      </w:tr>
      <w:tr w14:paraId="006FBA2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op w:val="single" w:color="auto" w:sz="8" w:space="0"/>
              <w:left w:val="single" w:color="auto" w:sz="8" w:space="0"/>
              <w:bottom w:val="single" w:color="auto" w:sz="8" w:space="0"/>
              <w:right w:val="single" w:color="auto" w:sz="8" w:space="0"/>
            </w:tcBorders>
          </w:tcPr>
          <w:p w14:paraId="1F1D227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apply -f samples/bookinfo/platform/kube/bookinfo.yaml</w:t>
            </w:r>
          </w:p>
          <w:p w14:paraId="46AB6E6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get pods</w:t>
            </w:r>
          </w:p>
          <w:p w14:paraId="18794FE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get services</w:t>
            </w:r>
          </w:p>
          <w:p w14:paraId="609BF67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get pods -w</w:t>
            </w:r>
          </w:p>
          <w:p w14:paraId="20DE7BF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apply -f samples/bookinfo/networking/destination-rule-all.yaml</w:t>
            </w:r>
          </w:p>
          <w:p w14:paraId="42CE1F8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get destinationrules</w:t>
            </w:r>
          </w:p>
          <w:p w14:paraId="240875C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get destinationrules -o yaml</w:t>
            </w:r>
          </w:p>
          <w:p w14:paraId="568A274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apply -f samples/bookinfo/networking/bookinfo-gateway.yaml</w:t>
            </w:r>
          </w:p>
          <w:p w14:paraId="3A253BF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get gateway</w:t>
            </w:r>
          </w:p>
          <w:p w14:paraId="03CB455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get virtualservice</w:t>
            </w:r>
          </w:p>
          <w:p w14:paraId="296A5A9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get svc -n istio-system</w:t>
            </w:r>
          </w:p>
        </w:tc>
      </w:tr>
    </w:tbl>
    <w:p w14:paraId="167A440B">
      <w:pPr>
        <w:numPr>
          <w:ilvl w:val="0"/>
          <w:numId w:val="0"/>
        </w:numPr>
        <w:autoSpaceDE w:val="0"/>
        <w:autoSpaceDN w:val="0"/>
        <w:adjustRightInd w:val="0"/>
        <w:spacing w:line="300" w:lineRule="auto"/>
        <w:jc w:val="left"/>
        <w:rPr>
          <w:rFonts w:hint="default" w:ascii="Times New Roman" w:eastAsia="宋体"/>
          <w:b/>
          <w:bCs/>
          <w:sz w:val="28"/>
          <w:lang w:val="en-US" w:eastAsia="zh-C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108" w:type="dxa"/>
          <w:bottom w:w="0" w:type="dxa"/>
          <w:right w:w="108" w:type="dxa"/>
        </w:tblCellMar>
      </w:tblPr>
      <w:tblGrid>
        <w:gridCol w:w="8522"/>
      </w:tblGrid>
      <w:tr w14:paraId="3888387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PrEx>
        <w:tc>
          <w:tcPr>
            <w:tcW w:w="8522" w:type="dxa"/>
            <w:tcBorders>
              <w:top w:val="single" w:color="auto" w:sz="8" w:space="0"/>
              <w:left w:val="single" w:color="auto" w:sz="8" w:space="0"/>
              <w:bottom w:val="single" w:color="auto" w:sz="8" w:space="0"/>
              <w:right w:val="single" w:color="auto" w:sz="8" w:space="0"/>
            </w:tcBorders>
            <w:shd w:val="clear" w:color="auto" w:fill="D7D7D7" w:themeFill="background1" w:themeFillShade="D8"/>
          </w:tcPr>
          <w:p w14:paraId="5C77CB20">
            <w:pPr>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default" w:eastAsia="宋体"/>
                <w:sz w:val="28"/>
                <w:vertAlign w:val="baseline"/>
                <w:lang w:val="en-US" w:eastAsia="zh-CN"/>
              </w:rPr>
            </w:pPr>
            <w:r>
              <w:rPr>
                <w:rFonts w:hint="default" w:ascii="Times New Roman" w:hAnsi="Times New Roman" w:eastAsia="宋体" w:cs="Times New Roman"/>
                <w:sz w:val="24"/>
                <w:szCs w:val="24"/>
                <w:vertAlign w:val="baseline"/>
                <w:lang w:val="en-US" w:eastAsia="zh-CN"/>
              </w:rPr>
              <w:t>附录</w:t>
            </w:r>
            <w:r>
              <w:rPr>
                <w:rFonts w:hint="eastAsia" w:ascii="Times New Roman" w:hAnsi="Times New Roman" w:cs="Times New Roman"/>
                <w:sz w:val="24"/>
                <w:szCs w:val="24"/>
                <w:vertAlign w:val="baseline"/>
                <w:lang w:val="en-US" w:eastAsia="zh-CN"/>
              </w:rPr>
              <w:t>4：WSL、kind场景访问方式</w:t>
            </w:r>
          </w:p>
        </w:tc>
      </w:tr>
      <w:tr w14:paraId="3D6744D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op w:val="single" w:color="auto" w:sz="8" w:space="0"/>
              <w:left w:val="single" w:color="auto" w:sz="8" w:space="0"/>
              <w:bottom w:val="single" w:color="auto" w:sz="8" w:space="0"/>
              <w:right w:val="single" w:color="auto" w:sz="8" w:space="0"/>
            </w:tcBorders>
          </w:tcPr>
          <w:p w14:paraId="1A98C70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port-forward svc/istio-ingressgateway -n istio-system 8080:80</w:t>
            </w:r>
          </w:p>
          <w:p w14:paraId="485765F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浏览器访问：http://localhost:8080/productpage</w:t>
            </w:r>
          </w:p>
        </w:tc>
      </w:tr>
    </w:tbl>
    <w:p w14:paraId="21A5FD70">
      <w:pPr>
        <w:numPr>
          <w:ilvl w:val="0"/>
          <w:numId w:val="0"/>
        </w:numPr>
        <w:autoSpaceDE w:val="0"/>
        <w:autoSpaceDN w:val="0"/>
        <w:adjustRightInd w:val="0"/>
        <w:spacing w:line="300" w:lineRule="auto"/>
        <w:jc w:val="left"/>
        <w:rPr>
          <w:rFonts w:hint="default" w:ascii="Times New Roman" w:eastAsia="宋体"/>
          <w:b/>
          <w:bCs/>
          <w:sz w:val="28"/>
          <w:lang w:val="en-US" w:eastAsia="zh-C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108" w:type="dxa"/>
          <w:bottom w:w="0" w:type="dxa"/>
          <w:right w:w="108" w:type="dxa"/>
        </w:tblCellMar>
      </w:tblPr>
      <w:tblGrid>
        <w:gridCol w:w="8522"/>
      </w:tblGrid>
      <w:tr w14:paraId="7BF6DED1">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PrEx>
        <w:tc>
          <w:tcPr>
            <w:tcW w:w="8522" w:type="dxa"/>
            <w:tcBorders>
              <w:top w:val="single" w:color="auto" w:sz="8" w:space="0"/>
              <w:left w:val="single" w:color="auto" w:sz="8" w:space="0"/>
              <w:bottom w:val="single" w:color="auto" w:sz="8" w:space="0"/>
              <w:right w:val="single" w:color="auto" w:sz="8" w:space="0"/>
            </w:tcBorders>
            <w:shd w:val="clear" w:color="auto" w:fill="D7D7D7" w:themeFill="background1" w:themeFillShade="D8"/>
          </w:tcPr>
          <w:p w14:paraId="6C397CF8">
            <w:pPr>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default" w:eastAsia="宋体"/>
                <w:sz w:val="28"/>
                <w:vertAlign w:val="baseline"/>
                <w:lang w:val="en-US" w:eastAsia="zh-CN"/>
              </w:rPr>
            </w:pPr>
            <w:r>
              <w:rPr>
                <w:rFonts w:hint="default" w:ascii="Times New Roman" w:hAnsi="Times New Roman" w:eastAsia="宋体" w:cs="Times New Roman"/>
                <w:sz w:val="24"/>
                <w:szCs w:val="24"/>
                <w:vertAlign w:val="baseline"/>
                <w:lang w:val="en-US" w:eastAsia="zh-CN"/>
              </w:rPr>
              <w:t>附录</w:t>
            </w:r>
            <w:r>
              <w:rPr>
                <w:rFonts w:hint="eastAsia" w:cs="Times New Roman"/>
                <w:sz w:val="24"/>
                <w:szCs w:val="24"/>
                <w:vertAlign w:val="baseline"/>
                <w:lang w:val="en-US" w:eastAsia="zh-CN"/>
              </w:rPr>
              <w:t>5</w:t>
            </w:r>
            <w:r>
              <w:rPr>
                <w:rFonts w:hint="eastAsia" w:ascii="Times New Roman" w:hAnsi="Times New Roman" w:cs="Times New Roman"/>
                <w:sz w:val="24"/>
                <w:szCs w:val="24"/>
                <w:vertAlign w:val="baseline"/>
                <w:lang w:val="en-US" w:eastAsia="zh-CN"/>
              </w:rPr>
              <w:t>：Request Routing请求路由</w:t>
            </w:r>
          </w:p>
        </w:tc>
      </w:tr>
      <w:tr w14:paraId="66D1641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op w:val="single" w:color="auto" w:sz="8" w:space="0"/>
              <w:left w:val="single" w:color="auto" w:sz="8" w:space="0"/>
              <w:bottom w:val="single" w:color="auto" w:sz="8" w:space="0"/>
              <w:right w:val="single" w:color="auto" w:sz="8" w:space="0"/>
            </w:tcBorders>
          </w:tcPr>
          <w:p w14:paraId="4C3F0F0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apply -f samples/bookinfo/networking/virtual-service-all-v1.yaml</w:t>
            </w:r>
          </w:p>
          <w:p w14:paraId="07B12AC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get virtualservices -o yaml</w:t>
            </w:r>
          </w:p>
          <w:p w14:paraId="2D1BE0B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get destinationrules -o yaml</w:t>
            </w:r>
          </w:p>
          <w:p w14:paraId="51D1822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apply -f samples/bookinfo/networking/virtual-service-reviews-test-v2.yaml</w:t>
            </w:r>
          </w:p>
          <w:p w14:paraId="6F12F40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get virtualservice reviews -o yaml</w:t>
            </w:r>
          </w:p>
          <w:p w14:paraId="531DA91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apply -f samples/bookinfo/networking/virtual-service-reviews-50-v3.yaml</w:t>
            </w:r>
          </w:p>
          <w:p w14:paraId="0F823DC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get virtualservice reviews -o yaml</w:t>
            </w:r>
          </w:p>
          <w:p w14:paraId="59F1944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apply -f samples/bookinfo/networking/virtual-service-reviews-v3.yaml</w:t>
            </w:r>
          </w:p>
          <w:p w14:paraId="06C968C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get virtualservice reviews -o yaml</w:t>
            </w:r>
          </w:p>
        </w:tc>
      </w:tr>
    </w:tbl>
    <w:p w14:paraId="6E71435F">
      <w:pPr>
        <w:numPr>
          <w:ilvl w:val="0"/>
          <w:numId w:val="0"/>
        </w:numPr>
        <w:autoSpaceDE w:val="0"/>
        <w:autoSpaceDN w:val="0"/>
        <w:adjustRightInd w:val="0"/>
        <w:spacing w:line="300" w:lineRule="auto"/>
        <w:jc w:val="left"/>
        <w:rPr>
          <w:rFonts w:hint="default" w:ascii="Times New Roman" w:eastAsia="宋体"/>
          <w:b/>
          <w:bCs/>
          <w:sz w:val="28"/>
          <w:lang w:val="en-US" w:eastAsia="zh-C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108" w:type="dxa"/>
          <w:bottom w:w="0" w:type="dxa"/>
          <w:right w:w="108" w:type="dxa"/>
        </w:tblCellMar>
      </w:tblPr>
      <w:tblGrid>
        <w:gridCol w:w="8522"/>
      </w:tblGrid>
      <w:tr w14:paraId="373E6DC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op w:val="single" w:color="auto" w:sz="8" w:space="0"/>
              <w:left w:val="single" w:color="auto" w:sz="8" w:space="0"/>
              <w:bottom w:val="single" w:color="auto" w:sz="8" w:space="0"/>
              <w:right w:val="single" w:color="auto" w:sz="8" w:space="0"/>
            </w:tcBorders>
            <w:shd w:val="clear" w:color="auto" w:fill="D7D7D7" w:themeFill="background1" w:themeFillShade="D8"/>
          </w:tcPr>
          <w:p w14:paraId="57FED241">
            <w:pPr>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default" w:eastAsia="宋体"/>
                <w:sz w:val="28"/>
                <w:vertAlign w:val="baseline"/>
                <w:lang w:val="en-US" w:eastAsia="zh-CN"/>
              </w:rPr>
            </w:pPr>
            <w:r>
              <w:rPr>
                <w:rFonts w:hint="default" w:ascii="Times New Roman" w:hAnsi="Times New Roman" w:eastAsia="宋体" w:cs="Times New Roman"/>
                <w:sz w:val="24"/>
                <w:szCs w:val="24"/>
                <w:vertAlign w:val="baseline"/>
                <w:lang w:val="en-US" w:eastAsia="zh-CN"/>
              </w:rPr>
              <w:t>附录</w:t>
            </w:r>
            <w:r>
              <w:rPr>
                <w:rFonts w:hint="eastAsia" w:cs="Times New Roman"/>
                <w:sz w:val="24"/>
                <w:szCs w:val="24"/>
                <w:vertAlign w:val="baseline"/>
                <w:lang w:val="en-US" w:eastAsia="zh-CN"/>
              </w:rPr>
              <w:t>6</w:t>
            </w:r>
            <w:r>
              <w:rPr>
                <w:rFonts w:hint="eastAsia" w:ascii="Times New Roman" w:hAnsi="Times New Roman" w:cs="Times New Roman"/>
                <w:sz w:val="24"/>
                <w:szCs w:val="24"/>
                <w:vertAlign w:val="baseline"/>
                <w:lang w:val="en-US" w:eastAsia="zh-CN"/>
              </w:rPr>
              <w:t>：Fault Injection故障注入</w:t>
            </w:r>
          </w:p>
        </w:tc>
      </w:tr>
      <w:tr w14:paraId="28EA7B0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op w:val="single" w:color="auto" w:sz="8" w:space="0"/>
              <w:left w:val="single" w:color="auto" w:sz="8" w:space="0"/>
              <w:bottom w:val="single" w:color="auto" w:sz="8" w:space="0"/>
              <w:right w:val="single" w:color="auto" w:sz="8" w:space="0"/>
            </w:tcBorders>
          </w:tcPr>
          <w:p w14:paraId="0901FCA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apply -f samples/bookinfo/networking/virtual-service-all-v1.yaml</w:t>
            </w:r>
          </w:p>
          <w:p w14:paraId="5BFB6FF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apply -f samples/bookinfo/networking/virtual-service-reviews-test-v2.yaml</w:t>
            </w:r>
          </w:p>
          <w:p w14:paraId="14A5170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get virtualservice reviews -o yaml</w:t>
            </w:r>
          </w:p>
          <w:p w14:paraId="05055AD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apply -f samples/bookinfo/networking/virtual-service-ratings-test-delay.yaml</w:t>
            </w:r>
          </w:p>
          <w:p w14:paraId="324675F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get virtualservice ratings -o yaml</w:t>
            </w:r>
          </w:p>
          <w:p w14:paraId="35B4194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apply -f samples/bookinfo/networking/virtual-service-ratings-test-abort.yaml</w:t>
            </w:r>
          </w:p>
          <w:p w14:paraId="1E86313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get virtualservice ratings -o yaml</w:t>
            </w:r>
          </w:p>
        </w:tc>
      </w:tr>
    </w:tbl>
    <w:p w14:paraId="48597647">
      <w:pPr>
        <w:numPr>
          <w:ilvl w:val="0"/>
          <w:numId w:val="0"/>
        </w:numPr>
        <w:autoSpaceDE w:val="0"/>
        <w:autoSpaceDN w:val="0"/>
        <w:adjustRightInd w:val="0"/>
        <w:spacing w:line="300" w:lineRule="auto"/>
        <w:jc w:val="left"/>
        <w:rPr>
          <w:rFonts w:hint="default" w:ascii="Times New Roman" w:eastAsia="宋体"/>
          <w:b/>
          <w:bCs/>
          <w:sz w:val="28"/>
          <w:lang w:val="en-US" w:eastAsia="zh-C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108" w:type="dxa"/>
          <w:bottom w:w="0" w:type="dxa"/>
          <w:right w:w="108" w:type="dxa"/>
        </w:tblCellMar>
      </w:tblPr>
      <w:tblGrid>
        <w:gridCol w:w="8522"/>
      </w:tblGrid>
      <w:tr w14:paraId="35B4A85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op w:val="single" w:color="auto" w:sz="8" w:space="0"/>
              <w:left w:val="single" w:color="auto" w:sz="8" w:space="0"/>
              <w:bottom w:val="single" w:color="auto" w:sz="8" w:space="0"/>
              <w:right w:val="single" w:color="auto" w:sz="8" w:space="0"/>
            </w:tcBorders>
            <w:shd w:val="clear" w:color="auto" w:fill="D7D7D7" w:themeFill="background1" w:themeFillShade="D8"/>
          </w:tcPr>
          <w:p w14:paraId="41E7DE8C">
            <w:pPr>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default" w:eastAsia="宋体"/>
                <w:sz w:val="28"/>
                <w:vertAlign w:val="baseline"/>
                <w:lang w:val="en-US" w:eastAsia="zh-CN"/>
              </w:rPr>
            </w:pPr>
            <w:r>
              <w:rPr>
                <w:rFonts w:hint="default" w:ascii="Times New Roman" w:hAnsi="Times New Roman" w:eastAsia="宋体" w:cs="Times New Roman"/>
                <w:sz w:val="24"/>
                <w:szCs w:val="24"/>
                <w:vertAlign w:val="baseline"/>
                <w:lang w:val="en-US" w:eastAsia="zh-CN"/>
              </w:rPr>
              <w:t>附录</w:t>
            </w:r>
            <w:r>
              <w:rPr>
                <w:rFonts w:hint="eastAsia" w:cs="Times New Roman"/>
                <w:sz w:val="24"/>
                <w:szCs w:val="24"/>
                <w:vertAlign w:val="baseline"/>
                <w:lang w:val="en-US" w:eastAsia="zh-CN"/>
              </w:rPr>
              <w:t>7</w:t>
            </w:r>
            <w:r>
              <w:rPr>
                <w:rFonts w:hint="eastAsia" w:ascii="Times New Roman" w:hAnsi="Times New Roman" w:cs="Times New Roman"/>
                <w:sz w:val="24"/>
                <w:szCs w:val="24"/>
                <w:vertAlign w:val="baseline"/>
                <w:lang w:val="en-US" w:eastAsia="zh-CN"/>
              </w:rPr>
              <w:t>：Circuit Breaking熔断</w:t>
            </w:r>
          </w:p>
        </w:tc>
      </w:tr>
      <w:tr w14:paraId="6E0E2C1F">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op w:val="single" w:color="auto" w:sz="8" w:space="0"/>
              <w:left w:val="single" w:color="auto" w:sz="8" w:space="0"/>
              <w:bottom w:val="single" w:color="auto" w:sz="8" w:space="0"/>
              <w:right w:val="single" w:color="auto" w:sz="8" w:space="0"/>
            </w:tcBorders>
          </w:tcPr>
          <w:p w14:paraId="2F45663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apply -f samples/httpbin/httpbin.yaml</w:t>
            </w:r>
          </w:p>
          <w:p w14:paraId="33E1A5C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get pods -l app=httpbin</w:t>
            </w:r>
          </w:p>
          <w:p w14:paraId="368156A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get svc httpbin</w:t>
            </w:r>
          </w:p>
          <w:p w14:paraId="2B4743B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apply -f samples/httpbin/sample-client/fortio-deploy.yaml</w:t>
            </w:r>
          </w:p>
          <w:p w14:paraId="686CDE9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get pods -l app=fortio</w:t>
            </w:r>
          </w:p>
          <w:p w14:paraId="2878E79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export FORTIO_POD=$(kubectl get pods -l app=fortio -o 'jsonpath={.items[0].metadata.name}')</w:t>
            </w:r>
          </w:p>
          <w:p w14:paraId="0BF83DE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exec "$FORTIO_POD" -c fortio -- /usr/bin/fortio curl -quiet http://httpbin:8000/get</w:t>
            </w:r>
          </w:p>
          <w:p w14:paraId="0D2CF49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exec "$FORTIO_POD" -c fortio -- /usr/bin/fortio load -c 2 -qps 0 -n 20 -loglevel Warning http://httpbin:8000/get</w:t>
            </w:r>
          </w:p>
          <w:p w14:paraId="7F079EF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 xml:space="preserve">kubectl exec "$FORTIO_POD" -c fortio -- /usr/bin/fortio load -c 3 -qps 0 -n 30 -loglevel Warning </w:t>
            </w:r>
            <w:r>
              <w:rPr>
                <w:rFonts w:hint="eastAsia"/>
                <w:sz w:val="28"/>
                <w:vertAlign w:val="baseline"/>
              </w:rPr>
              <w:fldChar w:fldCharType="begin"/>
            </w:r>
            <w:r>
              <w:rPr>
                <w:rFonts w:hint="eastAsia"/>
                <w:sz w:val="28"/>
                <w:vertAlign w:val="baseline"/>
              </w:rPr>
              <w:instrText xml:space="preserve"> HYPERLINK "http://httpbin:8000/get" </w:instrText>
            </w:r>
            <w:r>
              <w:rPr>
                <w:rFonts w:hint="eastAsia"/>
                <w:sz w:val="28"/>
                <w:vertAlign w:val="baseline"/>
              </w:rPr>
              <w:fldChar w:fldCharType="separate"/>
            </w:r>
            <w:r>
              <w:rPr>
                <w:rFonts w:hint="eastAsia"/>
                <w:sz w:val="28"/>
                <w:vertAlign w:val="baseline"/>
              </w:rPr>
              <w:t>http://httpbin:8000/get</w:t>
            </w:r>
            <w:r>
              <w:rPr>
                <w:rFonts w:hint="eastAsia"/>
                <w:sz w:val="28"/>
                <w:vertAlign w:val="baseline"/>
              </w:rPr>
              <w:fldChar w:fldCharType="end"/>
            </w:r>
          </w:p>
          <w:p w14:paraId="2E959DB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exec "$FORTIO_POD" -c istio-proxy -- pilot-agent request GET stats | grep httpbin | grep pending</w:t>
            </w:r>
          </w:p>
        </w:tc>
      </w:tr>
    </w:tbl>
    <w:p w14:paraId="4CBF8AD4">
      <w:pPr>
        <w:numPr>
          <w:ilvl w:val="0"/>
          <w:numId w:val="0"/>
        </w:numPr>
        <w:autoSpaceDE w:val="0"/>
        <w:autoSpaceDN w:val="0"/>
        <w:adjustRightInd w:val="0"/>
        <w:spacing w:line="300" w:lineRule="auto"/>
        <w:jc w:val="left"/>
        <w:rPr>
          <w:rFonts w:hint="default" w:ascii="Times New Roman" w:eastAsia="宋体"/>
          <w:b/>
          <w:bCs/>
          <w:sz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BA1DA5"/>
    <w:multiLevelType w:val="singleLevel"/>
    <w:tmpl w:val="9FBA1DA5"/>
    <w:lvl w:ilvl="0" w:tentative="0">
      <w:start w:val="3"/>
      <w:numFmt w:val="chineseCounting"/>
      <w:suff w:val="nothing"/>
      <w:lvlText w:val="%1、"/>
      <w:lvlJc w:val="left"/>
      <w:rPr>
        <w:rFonts w:hint="eastAsia"/>
      </w:rPr>
    </w:lvl>
  </w:abstractNum>
  <w:abstractNum w:abstractNumId="1">
    <w:nsid w:val="FAB4AE5E"/>
    <w:multiLevelType w:val="singleLevel"/>
    <w:tmpl w:val="FAB4AE5E"/>
    <w:lvl w:ilvl="0" w:tentative="0">
      <w:start w:val="2"/>
      <w:numFmt w:val="chineseCounting"/>
      <w:suff w:val="nothing"/>
      <w:lvlText w:val="%1、"/>
      <w:lvlJc w:val="left"/>
      <w:rPr>
        <w:rFonts w:hint="eastAsia"/>
      </w:rPr>
    </w:lvl>
  </w:abstractNum>
  <w:abstractNum w:abstractNumId="2">
    <w:nsid w:val="FD5FCBD1"/>
    <w:multiLevelType w:val="singleLevel"/>
    <w:tmpl w:val="FD5FCBD1"/>
    <w:lvl w:ilvl="0" w:tentative="0">
      <w:start w:val="1"/>
      <w:numFmt w:val="decimal"/>
      <w:lvlText w:val="(%1)"/>
      <w:lvlJc w:val="left"/>
      <w:pPr>
        <w:ind w:left="425" w:hanging="425"/>
      </w:pPr>
      <w:rPr>
        <w:rFonts w:hint="default"/>
      </w:rPr>
    </w:lvl>
  </w:abstractNum>
  <w:abstractNum w:abstractNumId="3">
    <w:nsid w:val="5BEB0DCD"/>
    <w:multiLevelType w:val="singleLevel"/>
    <w:tmpl w:val="5BEB0DCD"/>
    <w:lvl w:ilvl="0" w:tentative="0">
      <w:start w:val="1"/>
      <w:numFmt w:val="decimal"/>
      <w:lvlText w:val="%1."/>
      <w:lvlJc w:val="left"/>
      <w:pPr>
        <w:ind w:left="425" w:hanging="425"/>
      </w:pPr>
      <w:rPr>
        <w:rFont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F38ABC"/>
    <w:rsid w:val="00002352"/>
    <w:rsid w:val="00006D73"/>
    <w:rsid w:val="00022D34"/>
    <w:rsid w:val="0007075C"/>
    <w:rsid w:val="00073CF1"/>
    <w:rsid w:val="00080767"/>
    <w:rsid w:val="00080E9F"/>
    <w:rsid w:val="00094F22"/>
    <w:rsid w:val="00097395"/>
    <w:rsid w:val="001141DD"/>
    <w:rsid w:val="00135410"/>
    <w:rsid w:val="00156FBD"/>
    <w:rsid w:val="001C7634"/>
    <w:rsid w:val="002108B1"/>
    <w:rsid w:val="0023056B"/>
    <w:rsid w:val="00247BC7"/>
    <w:rsid w:val="00274E15"/>
    <w:rsid w:val="00291CEF"/>
    <w:rsid w:val="002974CA"/>
    <w:rsid w:val="002A3E19"/>
    <w:rsid w:val="002C5A6A"/>
    <w:rsid w:val="002D634B"/>
    <w:rsid w:val="002F376E"/>
    <w:rsid w:val="00373199"/>
    <w:rsid w:val="00396D7C"/>
    <w:rsid w:val="003A58C6"/>
    <w:rsid w:val="003D2396"/>
    <w:rsid w:val="00404A01"/>
    <w:rsid w:val="00426C69"/>
    <w:rsid w:val="0045606C"/>
    <w:rsid w:val="004704CF"/>
    <w:rsid w:val="00485F00"/>
    <w:rsid w:val="00496887"/>
    <w:rsid w:val="004E6309"/>
    <w:rsid w:val="004E70C6"/>
    <w:rsid w:val="005062C6"/>
    <w:rsid w:val="0056706B"/>
    <w:rsid w:val="00587E88"/>
    <w:rsid w:val="005A2A32"/>
    <w:rsid w:val="005A6540"/>
    <w:rsid w:val="005A6DEF"/>
    <w:rsid w:val="005D7931"/>
    <w:rsid w:val="005E6E6D"/>
    <w:rsid w:val="005F49C1"/>
    <w:rsid w:val="005F5282"/>
    <w:rsid w:val="00637398"/>
    <w:rsid w:val="00656474"/>
    <w:rsid w:val="00683CB7"/>
    <w:rsid w:val="00690212"/>
    <w:rsid w:val="006B0465"/>
    <w:rsid w:val="006E2014"/>
    <w:rsid w:val="006E4E01"/>
    <w:rsid w:val="00700686"/>
    <w:rsid w:val="00712DFA"/>
    <w:rsid w:val="00713CAC"/>
    <w:rsid w:val="00724ACE"/>
    <w:rsid w:val="00730340"/>
    <w:rsid w:val="007A13C3"/>
    <w:rsid w:val="00867A6F"/>
    <w:rsid w:val="008919A7"/>
    <w:rsid w:val="00894BCB"/>
    <w:rsid w:val="008F2D05"/>
    <w:rsid w:val="00912D51"/>
    <w:rsid w:val="00980816"/>
    <w:rsid w:val="009A68F7"/>
    <w:rsid w:val="009D041F"/>
    <w:rsid w:val="009D0D0E"/>
    <w:rsid w:val="00A11A0A"/>
    <w:rsid w:val="00A2758F"/>
    <w:rsid w:val="00A33556"/>
    <w:rsid w:val="00A44CC0"/>
    <w:rsid w:val="00A67ECB"/>
    <w:rsid w:val="00A90B2F"/>
    <w:rsid w:val="00A934C2"/>
    <w:rsid w:val="00B36BA3"/>
    <w:rsid w:val="00B4413D"/>
    <w:rsid w:val="00B87EB0"/>
    <w:rsid w:val="00BE5B05"/>
    <w:rsid w:val="00C150F9"/>
    <w:rsid w:val="00C2378D"/>
    <w:rsid w:val="00CC0FFF"/>
    <w:rsid w:val="00D4279E"/>
    <w:rsid w:val="00D661DF"/>
    <w:rsid w:val="00DE4CCC"/>
    <w:rsid w:val="00DF7E04"/>
    <w:rsid w:val="00E008EB"/>
    <w:rsid w:val="00E3768B"/>
    <w:rsid w:val="00E65CBA"/>
    <w:rsid w:val="00E91E10"/>
    <w:rsid w:val="00EB22FA"/>
    <w:rsid w:val="00EF0E44"/>
    <w:rsid w:val="00F126DB"/>
    <w:rsid w:val="00F14B9F"/>
    <w:rsid w:val="00F84070"/>
    <w:rsid w:val="00F84A67"/>
    <w:rsid w:val="00FF30CE"/>
    <w:rsid w:val="00FF3405"/>
    <w:rsid w:val="073477C5"/>
    <w:rsid w:val="0F5600DD"/>
    <w:rsid w:val="10C52736"/>
    <w:rsid w:val="145C66D9"/>
    <w:rsid w:val="17A565E8"/>
    <w:rsid w:val="1AB16453"/>
    <w:rsid w:val="1B0E083C"/>
    <w:rsid w:val="1C180F75"/>
    <w:rsid w:val="20B93F92"/>
    <w:rsid w:val="28A056CD"/>
    <w:rsid w:val="28FE0406"/>
    <w:rsid w:val="30CA37A4"/>
    <w:rsid w:val="311F619F"/>
    <w:rsid w:val="33684F28"/>
    <w:rsid w:val="35FC1D42"/>
    <w:rsid w:val="36E0137F"/>
    <w:rsid w:val="3DCA3D01"/>
    <w:rsid w:val="3FE66657"/>
    <w:rsid w:val="4069476C"/>
    <w:rsid w:val="40921320"/>
    <w:rsid w:val="45BF4DF6"/>
    <w:rsid w:val="45D45A3F"/>
    <w:rsid w:val="51BC6BCC"/>
    <w:rsid w:val="55000F39"/>
    <w:rsid w:val="5B8F292E"/>
    <w:rsid w:val="5F9A19CF"/>
    <w:rsid w:val="65124163"/>
    <w:rsid w:val="67381B1B"/>
    <w:rsid w:val="67490067"/>
    <w:rsid w:val="74EA1EF7"/>
    <w:rsid w:val="77F38ABC"/>
    <w:rsid w:val="79013A79"/>
    <w:rsid w:val="79AC0634"/>
    <w:rsid w:val="7A420984"/>
    <w:rsid w:val="7FAB60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22"/>
    <w:qFormat/>
    <w:uiPriority w:val="0"/>
    <w:rPr>
      <w:sz w:val="18"/>
      <w:szCs w:val="18"/>
    </w:rPr>
  </w:style>
  <w:style w:type="paragraph" w:styleId="5">
    <w:name w:val="footer"/>
    <w:basedOn w:val="1"/>
    <w:link w:val="18"/>
    <w:qFormat/>
    <w:uiPriority w:val="0"/>
    <w:pPr>
      <w:tabs>
        <w:tab w:val="center" w:pos="4153"/>
        <w:tab w:val="right" w:pos="8306"/>
      </w:tabs>
      <w:snapToGrid w:val="0"/>
      <w:jc w:val="left"/>
    </w:pPr>
    <w:rPr>
      <w:sz w:val="18"/>
      <w:szCs w:val="18"/>
    </w:rPr>
  </w:style>
  <w:style w:type="paragraph" w:styleId="6">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FollowedHyperlink"/>
    <w:basedOn w:val="11"/>
    <w:qFormat/>
    <w:uiPriority w:val="0"/>
    <w:rPr>
      <w:color w:val="954F72" w:themeColor="followedHyperlink"/>
      <w:u w:val="single"/>
      <w14:textFill>
        <w14:solidFill>
          <w14:schemeClr w14:val="folHlink"/>
        </w14:solidFill>
      </w14:textFill>
    </w:rPr>
  </w:style>
  <w:style w:type="character" w:styleId="14">
    <w:name w:val="Emphasis"/>
    <w:basedOn w:val="11"/>
    <w:qFormat/>
    <w:uiPriority w:val="0"/>
    <w:rPr>
      <w:i/>
    </w:rPr>
  </w:style>
  <w:style w:type="character" w:styleId="15">
    <w:name w:val="Hyperlink"/>
    <w:basedOn w:val="11"/>
    <w:qFormat/>
    <w:uiPriority w:val="0"/>
    <w:rPr>
      <w:color w:val="0563C1" w:themeColor="hyperlink"/>
      <w:u w:val="single"/>
      <w14:textFill>
        <w14:solidFill>
          <w14:schemeClr w14:val="hlink"/>
        </w14:solidFill>
      </w14:textFill>
    </w:rPr>
  </w:style>
  <w:style w:type="character" w:styleId="16">
    <w:name w:val="HTML Code"/>
    <w:basedOn w:val="11"/>
    <w:qFormat/>
    <w:uiPriority w:val="0"/>
    <w:rPr>
      <w:rFonts w:ascii="Courier New" w:hAnsi="Courier New"/>
      <w:sz w:val="20"/>
    </w:rPr>
  </w:style>
  <w:style w:type="character" w:customStyle="1" w:styleId="17">
    <w:name w:val="页眉 字符"/>
    <w:basedOn w:val="11"/>
    <w:link w:val="6"/>
    <w:qFormat/>
    <w:uiPriority w:val="0"/>
    <w:rPr>
      <w:kern w:val="2"/>
      <w:sz w:val="18"/>
      <w:szCs w:val="18"/>
    </w:rPr>
  </w:style>
  <w:style w:type="character" w:customStyle="1" w:styleId="18">
    <w:name w:val="页脚 字符"/>
    <w:basedOn w:val="11"/>
    <w:link w:val="5"/>
    <w:qFormat/>
    <w:uiPriority w:val="0"/>
    <w:rPr>
      <w:kern w:val="2"/>
      <w:sz w:val="18"/>
      <w:szCs w:val="18"/>
    </w:rPr>
  </w:style>
  <w:style w:type="paragraph" w:customStyle="1" w:styleId="19">
    <w:name w:val="reader-word-layer reader-word-s1-21"/>
    <w:basedOn w:val="1"/>
    <w:qFormat/>
    <w:uiPriority w:val="0"/>
    <w:pPr>
      <w:widowControl/>
      <w:spacing w:before="100" w:beforeAutospacing="1" w:after="100" w:afterAutospacing="1"/>
      <w:jc w:val="left"/>
    </w:pPr>
    <w:rPr>
      <w:rFonts w:ascii="宋体" w:hAnsi="宋体" w:cs="宋体"/>
      <w:kern w:val="0"/>
      <w:sz w:val="24"/>
    </w:rPr>
  </w:style>
  <w:style w:type="paragraph" w:customStyle="1" w:styleId="20">
    <w:name w:val="reader-word-layer reader-word-s1-30"/>
    <w:basedOn w:val="1"/>
    <w:qFormat/>
    <w:uiPriority w:val="0"/>
    <w:pPr>
      <w:widowControl/>
      <w:spacing w:before="100" w:beforeAutospacing="1" w:after="100" w:afterAutospacing="1"/>
      <w:jc w:val="left"/>
    </w:pPr>
    <w:rPr>
      <w:rFonts w:ascii="宋体" w:hAnsi="宋体" w:cs="宋体"/>
      <w:kern w:val="0"/>
      <w:sz w:val="24"/>
    </w:rPr>
  </w:style>
  <w:style w:type="paragraph" w:styleId="21">
    <w:name w:val="List Paragraph"/>
    <w:basedOn w:val="1"/>
    <w:qFormat/>
    <w:uiPriority w:val="99"/>
    <w:pPr>
      <w:ind w:firstLine="420" w:firstLineChars="200"/>
    </w:pPr>
  </w:style>
  <w:style w:type="character" w:customStyle="1" w:styleId="22">
    <w:name w:val="批注框文本 字符"/>
    <w:basedOn w:val="11"/>
    <w:link w:val="4"/>
    <w:qFormat/>
    <w:uiPriority w:val="0"/>
    <w:rPr>
      <w:kern w:val="2"/>
      <w:sz w:val="18"/>
      <w:szCs w:val="18"/>
    </w:rPr>
  </w:style>
  <w:style w:type="character" w:customStyle="1" w:styleId="23">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1695</Words>
  <Characters>10593</Characters>
  <Lines>11</Lines>
  <Paragraphs>3</Paragraphs>
  <TotalTime>8</TotalTime>
  <ScaleCrop>false</ScaleCrop>
  <LinksUpToDate>false</LinksUpToDate>
  <CharactersWithSpaces>12191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2021-03-31T00:57:00Z</dcterms:created>
  <dc:creator>apple</dc:creator>
  <cp:lastModifiedBy>nxdxwj</cp:lastModifiedBy>
  <dcterms:modified xsi:type="dcterms:W3CDTF">2026-04-27T14:08:43Z</dcterms:modified>
  <cp:revision>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eyJoZGlkIjoiNzk0Y2Y4YjczMzE0ZmMwNDllZTRlNTAwYTQzZGZiMzEiLCJ1c2VySWQiOiIxNTA5NDIxMjYxIn0=</vt:lpwstr>
  </property>
  <property fmtid="{D5CDD505-2E9C-101B-9397-08002B2CF9AE}" pid="4" name="ICV">
    <vt:lpwstr>7254019B42A54E3E99188D508A4298F8_12</vt:lpwstr>
  </property>
</Properties>
</file>