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784AE">
      <w:pPr>
        <w:jc w:val="center"/>
        <w:rPr>
          <w:rFonts w:hint="default" w:ascii="Times New Roman" w:hAnsi="Times New Roman" w:eastAsia="黑体" w:cs="Times New Roman"/>
          <w:sz w:val="44"/>
          <w:szCs w:val="44"/>
        </w:rPr>
      </w:pPr>
      <w:r>
        <w:rPr>
          <w:rFonts w:hint="default" w:ascii="Times New Roman" w:hAnsi="Times New Roman" w:eastAsia="黑体" w:cs="Times New Roman"/>
          <w:sz w:val="44"/>
          <w:szCs w:val="44"/>
        </w:rPr>
        <w:t xml:space="preserve">  Laboratory report of Nanjing University of Information Science and Technology</w:t>
      </w:r>
    </w:p>
    <w:p w14:paraId="2749EC24">
      <w:pPr>
        <w:jc w:val="center"/>
        <w:rPr>
          <w:rFonts w:hint="default" w:ascii="Times New Roman" w:hAnsi="Times New Roman" w:eastAsia="黑体" w:cs="Times New Roman"/>
          <w:sz w:val="44"/>
          <w:szCs w:val="44"/>
        </w:rPr>
      </w:pPr>
    </w:p>
    <w:p w14:paraId="00178264">
      <w:pPr>
        <w:jc w:val="center"/>
        <w:rPr>
          <w:rFonts w:hint="default" w:ascii="Times New Roman" w:hAnsi="Times New Roman" w:cs="Times New Roman"/>
          <w:szCs w:val="21"/>
          <w:u w:val="single"/>
        </w:rPr>
      </w:pPr>
      <w:r>
        <w:rPr>
          <w:rFonts w:hint="default" w:ascii="Times New Roman" w:hAnsi="Times New Roman" w:cs="Times New Roman"/>
          <w:szCs w:val="21"/>
        </w:rPr>
        <w:t xml:space="preserve">Experiment Title </w:t>
      </w:r>
      <w:r>
        <w:rPr>
          <w:rFonts w:hint="default" w:ascii="Times New Roman" w:hAnsi="Times New Roman" w:cs="Times New Roman"/>
          <w:szCs w:val="21"/>
          <w:u w:val="single"/>
        </w:rPr>
        <w:t xml:space="preserve"> </w:t>
      </w:r>
      <w:r>
        <w:rPr>
          <w:rFonts w:hint="eastAsia" w:cs="Times New Roman"/>
          <w:szCs w:val="21"/>
          <w:u w:val="single"/>
          <w:lang w:val="en-US" w:eastAsia="zh-CN"/>
        </w:rPr>
        <w:t>Cloud Computing</w:t>
      </w:r>
    </w:p>
    <w:p w14:paraId="59F4EE41">
      <w:pPr>
        <w:jc w:val="center"/>
        <w:rPr>
          <w:rFonts w:hint="default" w:ascii="Times New Roman" w:hAnsi="Times New Roman" w:cs="Times New Roman"/>
          <w:szCs w:val="21"/>
        </w:rPr>
      </w:pPr>
      <w:r>
        <w:rPr>
          <w:rFonts w:hint="default" w:ascii="Times New Roman" w:hAnsi="Times New Roman" w:cs="Times New Roman"/>
          <w:szCs w:val="21"/>
        </w:rPr>
        <w:t>Data</w:t>
      </w:r>
      <w:r>
        <w:rPr>
          <w:rFonts w:hint="default" w:ascii="Times New Roman" w:hAnsi="Times New Roman" w:cs="Times New Roman"/>
          <w:szCs w:val="21"/>
          <w:u w:val="single"/>
        </w:rPr>
        <w:t xml:space="preserve">     </w:t>
      </w:r>
      <w:r>
        <w:rPr>
          <w:rFonts w:hint="eastAsia" w:cs="Times New Roman"/>
          <w:szCs w:val="21"/>
          <w:u w:val="single"/>
          <w:lang w:val="en-US" w:eastAsia="zh-CN"/>
        </w:rPr>
        <w:t>2026/4/16</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Class </w:t>
      </w:r>
      <w:r>
        <w:rPr>
          <w:rFonts w:hint="default" w:ascii="Times New Roman" w:hAnsi="Times New Roman" w:cs="Times New Roman"/>
          <w:szCs w:val="21"/>
          <w:u w:val="single"/>
        </w:rPr>
        <w:t xml:space="preserve">   </w:t>
      </w:r>
      <w:r>
        <w:rPr>
          <w:rFonts w:hint="eastAsia" w:cs="Times New Roman"/>
          <w:szCs w:val="21"/>
          <w:u w:val="single"/>
          <w:lang w:val="en-US" w:eastAsia="zh-CN"/>
        </w:rPr>
        <w:t>AI 1</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 xml:space="preserve">  </w:t>
      </w:r>
      <w:r>
        <w:rPr>
          <w:rFonts w:hint="default" w:ascii="Times New Roman" w:hAnsi="Times New Roman" w:cs="Times New Roman"/>
          <w:szCs w:val="21"/>
          <w:u w:val="single"/>
        </w:rPr>
        <w:t xml:space="preserve">                         </w:t>
      </w:r>
      <w:r>
        <w:rPr>
          <w:rFonts w:hint="default" w:ascii="Times New Roman" w:hAnsi="Times New Roman" w:cs="Times New Roman"/>
          <w:szCs w:val="21"/>
        </w:rPr>
        <w:t>Name</w:t>
      </w:r>
      <w:r>
        <w:rPr>
          <w:rFonts w:hint="default" w:ascii="Times New Roman" w:hAnsi="Times New Roman" w:cs="Times New Roman"/>
          <w:szCs w:val="21"/>
          <w:u w:val="single"/>
        </w:rPr>
        <w:t xml:space="preserve">      </w:t>
      </w:r>
      <w:r>
        <w:rPr>
          <w:rFonts w:hint="eastAsia" w:cs="Times New Roman"/>
          <w:szCs w:val="21"/>
          <w:u w:val="single"/>
          <w:lang w:val="en-US" w:eastAsia="zh-CN"/>
        </w:rPr>
        <w:t>Weijie Xu</w:t>
      </w:r>
      <w:r>
        <w:rPr>
          <w:rFonts w:hint="default" w:ascii="Times New Roman" w:hAnsi="Times New Roman" w:cs="Times New Roman"/>
          <w:szCs w:val="21"/>
          <w:u w:val="single"/>
        </w:rPr>
        <w:t xml:space="preserve">       </w:t>
      </w:r>
      <w:r>
        <w:rPr>
          <w:rFonts w:hint="default" w:ascii="Times New Roman" w:hAnsi="Times New Roman" w:cs="Times New Roman"/>
          <w:szCs w:val="21"/>
        </w:rPr>
        <w:t>ID</w:t>
      </w:r>
      <w:r>
        <w:rPr>
          <w:rFonts w:hint="default" w:ascii="Times New Roman" w:hAnsi="Times New Roman" w:cs="Times New Roman"/>
          <w:szCs w:val="21"/>
          <w:u w:val="single"/>
        </w:rPr>
        <w:t xml:space="preserve">     </w:t>
      </w:r>
      <w:r>
        <w:rPr>
          <w:rFonts w:hint="eastAsia" w:cs="Times New Roman"/>
          <w:szCs w:val="21"/>
          <w:u w:val="single"/>
          <w:lang w:val="en-US" w:eastAsia="zh-CN"/>
        </w:rPr>
        <w:t>202383910029</w:t>
      </w:r>
      <w:r>
        <w:rPr>
          <w:rFonts w:hint="default" w:ascii="Times New Roman" w:hAnsi="Times New Roman" w:cs="Times New Roman"/>
          <w:szCs w:val="21"/>
          <w:u w:val="single"/>
        </w:rPr>
        <w:t xml:space="preserve">       </w:t>
      </w:r>
      <w:r>
        <w:rPr>
          <w:rFonts w:hint="default" w:ascii="Times New Roman" w:hAnsi="Times New Roman" w:cs="Times New Roman"/>
          <w:color w:val="FFFFFF" w:themeColor="background1"/>
          <w:szCs w:val="21"/>
          <w:u w:val="single"/>
          <w14:textFill>
            <w14:solidFill>
              <w14:schemeClr w14:val="bg1"/>
            </w14:solidFill>
          </w14:textFill>
        </w:rPr>
        <w:t>2</w:t>
      </w:r>
    </w:p>
    <w:p w14:paraId="246510E7">
      <w:pPr>
        <w:rPr>
          <w:rFonts w:hint="default" w:ascii="Times New Roman" w:hAnsi="Times New Roman" w:cs="Times New Roman"/>
        </w:rPr>
      </w:pPr>
      <w:r>
        <w:rPr>
          <w:rFonts w:hint="default" w:ascii="Times New Roman" w:hAnsi="Times New Roman" w:cs="Times New Roman"/>
        </w:rPr>
        <w:t xml:space="preserve"> </w:t>
      </w:r>
    </w:p>
    <w:p w14:paraId="544626DD">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一、Experimental purpose</w:t>
      </w:r>
    </w:p>
    <w:p w14:paraId="4BFD61AD">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To understand the fundamental architecture and workflow of Istio service mesh.This includes gaining insight into the overall structure of Istio, particularly the interaction between the control plane and the data plane, as well as how sidecar proxies enable transparent communication between services.</w:t>
      </w:r>
    </w:p>
    <w:p w14:paraId="7C11E263">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To learn the installation and configuration process of Istio in a Kubernetes cluster.This involves performing a complete deployment of Istio using standard tools such as istioctl, and configuring the cluster environment to support service mesh functionalities.</w:t>
      </w:r>
    </w:p>
    <w:p w14:paraId="32003333">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To explore automatic sidecar injection and its role in traffic interception.This step focuses on understanding how Istio automatically injects Envoy sidecar proxies into application pods, and how these proxies intercept all inbound and outbound traffic.</w:t>
      </w:r>
    </w:p>
    <w:p w14:paraId="3A07B8F8">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To verify internal service communication within a microservices architecture.The experiment examines how services communicate with each other inside the Kubernetes cluster under the control of Istio.</w:t>
      </w:r>
    </w:p>
    <w:p w14:paraId="2E30B4EA">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To implement external access using Kubernetes Gateway API. This part aims to configure and deploy a Gateway resource to expose internal services to external clients.</w:t>
      </w:r>
    </w:p>
    <w:p w14:paraId="32FCB86C">
      <w:pPr>
        <w:pStyle w:val="17"/>
        <w:numPr>
          <w:ilvl w:val="0"/>
          <w:numId w:val="1"/>
        </w:numPr>
        <w:shd w:val="clear" w:color="auto" w:fill="FFFFFF"/>
        <w:spacing w:before="0" w:beforeAutospacing="0" w:after="0" w:afterAutospacing="0"/>
        <w:ind w:left="425" w:leftChars="0" w:hanging="425" w:firstLineChars="0"/>
        <w:jc w:val="both"/>
        <w:rPr>
          <w:rFonts w:hint="default" w:ascii="Times New Roman" w:hAnsi="Times New Roman" w:cs="Times New Roman"/>
          <w:sz w:val="24"/>
          <w:szCs w:val="24"/>
        </w:rPr>
      </w:pPr>
      <w:r>
        <w:rPr>
          <w:rFonts w:hint="eastAsia" w:ascii="Times New Roman" w:hAnsi="Times New Roman" w:cs="Times New Roman"/>
          <w:sz w:val="24"/>
          <w:szCs w:val="24"/>
          <w:lang w:val="en-US" w:eastAsia="zh-CN"/>
        </w:rPr>
        <w:t>To observe and analyze service interactions using visualization tools such as Kiali. By generating traffic and inspecting the resulting service graph, this step focuses on analyzing real-time interactions between services.</w:t>
      </w:r>
    </w:p>
    <w:p w14:paraId="04BF4CAF">
      <w:pPr>
        <w:pStyle w:val="17"/>
        <w:numPr>
          <w:ilvl w:val="0"/>
          <w:numId w:val="2"/>
        </w:numPr>
        <w:shd w:val="clear" w:color="auto" w:fill="FFFFFF"/>
        <w:spacing w:before="0" w:beforeAutospacing="0" w:after="0" w:afterAutospacing="0"/>
        <w:rPr>
          <w:rFonts w:hint="default" w:ascii="Times New Roman" w:hAnsi="Times New Roman" w:eastAsia="黑体" w:cs="Times New Roman"/>
          <w:b/>
          <w:sz w:val="28"/>
          <w:szCs w:val="28"/>
        </w:rPr>
      </w:pPr>
      <w:r>
        <w:rPr>
          <w:rFonts w:hint="default" w:ascii="Times New Roman" w:hAnsi="Times New Roman" w:eastAsia="黑体" w:cs="Times New Roman"/>
          <w:b/>
          <w:sz w:val="28"/>
          <w:szCs w:val="28"/>
        </w:rPr>
        <w:t>Experiment</w:t>
      </w:r>
      <w:r>
        <w:rPr>
          <w:rFonts w:hint="eastAsia" w:ascii="Times New Roman" w:hAnsi="Times New Roman" w:eastAsia="黑体" w:cs="Times New Roman"/>
          <w:b/>
          <w:sz w:val="28"/>
          <w:szCs w:val="28"/>
          <w:lang w:val="en-US" w:eastAsia="zh-CN"/>
        </w:rPr>
        <w:t>al</w:t>
      </w:r>
      <w:r>
        <w:rPr>
          <w:rFonts w:hint="default" w:ascii="Times New Roman" w:hAnsi="Times New Roman" w:eastAsia="黑体" w:cs="Times New Roman"/>
          <w:b/>
          <w:sz w:val="28"/>
          <w:szCs w:val="28"/>
        </w:rPr>
        <w:t xml:space="preserve"> Contents</w:t>
      </w:r>
    </w:p>
    <w:p w14:paraId="36740535">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Environment preparation and Kubernetes cluster verification</w:t>
      </w:r>
    </w:p>
    <w:p w14:paraId="613331F9">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experiment began with preparing the runtime environment and ensuring that a functional Kubernetes cluster was available. Basic commands such as kubectl cluster-info and kubectl get nodes were executed to verify cluster status, node availability, and network connectivity, providing a stable foundation for subsequent deployment.</w:t>
      </w:r>
    </w:p>
    <w:p w14:paraId="1C75708F">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Istio installation and initial configuration</w:t>
      </w:r>
    </w:p>
    <w:p w14:paraId="44F01A08">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Istio was installed using the istioctl tool with a predefined demo configuration profile. The installation process included setting up the control plane components and verifying their operational status. In addition, the system PATH was configured to ensure that Istio command-line tools could be accessed globally.</w:t>
      </w:r>
    </w:p>
    <w:p w14:paraId="00F23658">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Namespace configuration and sidecar injection setup</w:t>
      </w:r>
    </w:p>
    <w:p w14:paraId="3568D889">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default namespace was labeled to enable automatic sidecar injection. This step ensured that all subsequently deployed application pods would automatically include Envoy proxies, allowing Istio to intercept and manage traffic without requiring manual modification of application code.</w:t>
      </w:r>
    </w:p>
    <w:p w14:paraId="12F92BBD">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Deployment of the Bookinfo microservices application</w:t>
      </w:r>
    </w:p>
    <w:p w14:paraId="56D24D8F">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Bookinfo sample application was deployed to simulate a typical microservices architecture. Multiple services such as productpage, reviews, ratings, and details were created, forming a multi-tier service structure. Pod and service statuses were monitored to ensure successful deployment and proper integration with Istio.</w:t>
      </w:r>
    </w:p>
    <w:p w14:paraId="4EABB800">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Internal service communication verification</w:t>
      </w:r>
    </w:p>
    <w:p w14:paraId="63508268">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Service connectivity within the cluster was tested by issuing requests from one service pod to another. The response results were examined to confirm that service discovery and routing mechanisms were functioning correctly under the Istio service mesh environment.</w:t>
      </w:r>
    </w:p>
    <w:p w14:paraId="01FA93E3">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Installation of Gateway API CRDs and external access configuration</w:t>
      </w:r>
    </w:p>
    <w:p w14:paraId="01EEE20C">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Gateway API custom resource definitions were installed to support modern ingress management. A Gateway resource was then configured to expose the Bookinfo application, enabling external access through a unified entry point and demonstrating how traffic is routed into the cluster.</w:t>
      </w:r>
    </w:p>
    <w:p w14:paraId="678A5B24">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Access validation through port forwarding</w:t>
      </w:r>
    </w:p>
    <w:p w14:paraId="3F1EB1F4">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Port forwarding was used to map the gateway service to a local port, allowing the application to be accessed via a browser. The successful rendering of the Bookinfo interface confirmed that external traffic could reach internal services correctly through the configured gateway.</w:t>
      </w:r>
    </w:p>
    <w:p w14:paraId="71B0437E">
      <w:pPr>
        <w:pStyle w:val="17"/>
        <w:numPr>
          <w:ilvl w:val="0"/>
          <w:numId w:val="3"/>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4"/>
          <w:szCs w:val="24"/>
        </w:rPr>
      </w:pPr>
      <w:r>
        <w:rPr>
          <w:rFonts w:hint="default" w:ascii="Times New Roman" w:hAnsi="Times New Roman" w:eastAsia="黑体" w:cs="Times New Roman"/>
          <w:b/>
          <w:kern w:val="0"/>
          <w:sz w:val="24"/>
          <w:szCs w:val="24"/>
        </w:rPr>
        <w:t>Visualization and traffic analysis using Kiali</w:t>
      </w:r>
    </w:p>
    <w:p w14:paraId="27125E7E">
      <w:pPr>
        <w:pStyle w:val="17"/>
        <w:widowControl/>
        <w:numPr>
          <w:ilvl w:val="0"/>
          <w:numId w:val="0"/>
        </w:numPr>
        <w:shd w:val="clear" w:color="auto" w:fill="FFFFFF"/>
        <w:spacing w:before="0" w:beforeAutospacing="0" w:after="0" w:afterAutospacing="0"/>
        <w:jc w:val="both"/>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The Kiali dashboard was deployed and accessed to visualize service interactions. By generating multiple requests to the application, traffic flow and service dependencies were observed in real time, providing an intuitive understanding of how requests propagate within the service mesh.</w:t>
      </w:r>
    </w:p>
    <w:p w14:paraId="59D72222">
      <w:pPr>
        <w:numPr>
          <w:ilvl w:val="0"/>
          <w:numId w:val="4"/>
        </w:num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Detailed steps of the experiment</w:t>
      </w:r>
    </w:p>
    <w:p w14:paraId="6863EFBC">
      <w:pPr>
        <w:widowControl/>
        <w:numPr>
          <w:ilvl w:val="0"/>
          <w:numId w:val="0"/>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val="0"/>
          <w:bCs/>
          <w:kern w:val="0"/>
          <w:sz w:val="24"/>
          <w:szCs w:val="24"/>
          <w:lang w:val="en-US" w:eastAsia="zh-CN" w:bidi="ar-SA"/>
        </w:rPr>
      </w:pPr>
      <w:r>
        <w:rPr>
          <w:rFonts w:hint="default" w:ascii="Times New Roman" w:hAnsi="Times New Roman" w:eastAsia="黑体" w:cs="Times New Roman"/>
          <w:b w:val="0"/>
          <w:bCs/>
          <w:kern w:val="0"/>
          <w:sz w:val="24"/>
          <w:szCs w:val="24"/>
          <w:lang w:val="en-US" w:eastAsia="zh-CN" w:bidi="ar-SA"/>
        </w:rPr>
        <w:t>Minikube is started to create a local Kubernetes cluster on the machine, which sets up the control plane and necessary system components inside a Docker container. Although there is a warning about failing to access the external image registry, the cluster still starts successfully using available resources.</w:t>
      </w:r>
    </w:p>
    <w:p w14:paraId="1F11DD32">
      <w:pPr>
        <w:widowControl/>
        <w:numPr>
          <w:ilvl w:val="0"/>
          <w:numId w:val="0"/>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kern w:val="0"/>
          <w:sz w:val="28"/>
          <w:szCs w:val="28"/>
        </w:rPr>
      </w:pPr>
      <w:r>
        <w:rPr>
          <w:rFonts w:hint="default" w:ascii="Times New Roman" w:hAnsi="Times New Roman" w:eastAsia="黑体" w:cs="Times New Roman"/>
          <w:b w:val="0"/>
          <w:bCs/>
          <w:kern w:val="0"/>
          <w:sz w:val="24"/>
          <w:szCs w:val="24"/>
          <w:lang w:val="en-US" w:eastAsia="zh-CN" w:bidi="ar-SA"/>
        </w:rPr>
        <w:t>Then, the cluster status is checked, showing that the Kubernetes control plane and CoreDNS service are running normally. This means the environment is ready for deploying applications or continuing with Istio installation.</w:t>
      </w:r>
    </w:p>
    <w:p w14:paraId="03EA2F78">
      <w:pPr>
        <w:widowControl w:val="0"/>
        <w:numPr>
          <w:ilvl w:val="0"/>
          <w:numId w:val="0"/>
        </w:numPr>
        <w:autoSpaceDE w:val="0"/>
        <w:autoSpaceDN w:val="0"/>
        <w:adjustRightInd w:val="0"/>
        <w:spacing w:line="300" w:lineRule="auto"/>
        <w:jc w:val="left"/>
      </w:pPr>
      <w:r>
        <w:drawing>
          <wp:inline distT="0" distB="0" distL="114300" distR="114300">
            <wp:extent cx="5269865" cy="2087880"/>
            <wp:effectExtent l="0" t="0" r="6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865" cy="2087880"/>
                    </a:xfrm>
                    <a:prstGeom prst="rect">
                      <a:avLst/>
                    </a:prstGeom>
                    <a:noFill/>
                    <a:ln>
                      <a:noFill/>
                    </a:ln>
                  </pic:spPr>
                </pic:pic>
              </a:graphicData>
            </a:graphic>
          </wp:inline>
        </w:drawing>
      </w:r>
      <w:r>
        <w:drawing>
          <wp:inline distT="0" distB="0" distL="114300" distR="114300">
            <wp:extent cx="5266690" cy="514985"/>
            <wp:effectExtent l="0" t="0" r="381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514985"/>
                    </a:xfrm>
                    <a:prstGeom prst="rect">
                      <a:avLst/>
                    </a:prstGeom>
                    <a:noFill/>
                    <a:ln>
                      <a:noFill/>
                    </a:ln>
                  </pic:spPr>
                </pic:pic>
              </a:graphicData>
            </a:graphic>
          </wp:inline>
        </w:drawing>
      </w:r>
    </w:p>
    <w:p w14:paraId="18428FEF">
      <w:pPr>
        <w:widowControl/>
        <w:numPr>
          <w:ilvl w:val="0"/>
          <w:numId w:val="0"/>
        </w:numPr>
        <w:shd w:val="clear" w:color="auto" w:fill="FFFFFF"/>
        <w:spacing w:before="0" w:beforeAutospacing="0" w:after="0" w:afterAutospacing="0"/>
        <w:ind w:left="0" w:leftChars="0" w:firstLine="0" w:firstLineChars="0"/>
        <w:jc w:val="both"/>
        <w:rPr>
          <w:rFonts w:hint="default"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Istio has been successfully downloaded and extracted from the official repository. The system also indicates the location of the installed files and reminds you to add the bin directory to the environment path so that the istioctl tool can be used globally.</w:t>
      </w:r>
    </w:p>
    <w:p w14:paraId="584ECCAA">
      <w:pPr>
        <w:widowControl w:val="0"/>
        <w:numPr>
          <w:ilvl w:val="0"/>
          <w:numId w:val="0"/>
        </w:numPr>
        <w:autoSpaceDE w:val="0"/>
        <w:autoSpaceDN w:val="0"/>
        <w:adjustRightInd w:val="0"/>
        <w:spacing w:line="300" w:lineRule="auto"/>
        <w:jc w:val="left"/>
      </w:pPr>
      <w:r>
        <w:drawing>
          <wp:inline distT="0" distB="0" distL="114300" distR="114300">
            <wp:extent cx="5272405" cy="1977390"/>
            <wp:effectExtent l="0" t="0" r="1079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1977390"/>
                    </a:xfrm>
                    <a:prstGeom prst="rect">
                      <a:avLst/>
                    </a:prstGeom>
                    <a:noFill/>
                    <a:ln>
                      <a:noFill/>
                    </a:ln>
                  </pic:spPr>
                </pic:pic>
              </a:graphicData>
            </a:graphic>
          </wp:inline>
        </w:drawing>
      </w:r>
    </w:p>
    <w:p w14:paraId="0DBAF531">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istioctl tool is working correctly, but Istio has not been installed in the Kubernetes cluster yet. The message indicates that there are no running Istio components in the istio-system namespace.</w:t>
      </w:r>
    </w:p>
    <w:p w14:paraId="75FF46F8">
      <w:pPr>
        <w:widowControl w:val="0"/>
        <w:numPr>
          <w:ilvl w:val="0"/>
          <w:numId w:val="0"/>
        </w:numPr>
        <w:autoSpaceDE w:val="0"/>
        <w:autoSpaceDN w:val="0"/>
        <w:adjustRightInd w:val="0"/>
        <w:spacing w:line="300" w:lineRule="auto"/>
        <w:jc w:val="left"/>
      </w:pPr>
      <w:r>
        <w:drawing>
          <wp:inline distT="0" distB="0" distL="114300" distR="114300">
            <wp:extent cx="5268595" cy="4044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8595" cy="404495"/>
                    </a:xfrm>
                    <a:prstGeom prst="rect">
                      <a:avLst/>
                    </a:prstGeom>
                    <a:noFill/>
                    <a:ln>
                      <a:noFill/>
                    </a:ln>
                  </pic:spPr>
                </pic:pic>
              </a:graphicData>
            </a:graphic>
          </wp:inline>
        </w:drawing>
      </w:r>
    </w:p>
    <w:p w14:paraId="7D200466">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Istio has been successfully installed into the Kubernetes cluster using the demo configuration. Core components such as the control plane and ingress/egress gateways are now running, which means the service mesh environment is ready for use. The warning only indicates that the version may be outdated, but it does not affect the current setup.</w:t>
      </w:r>
    </w:p>
    <w:p w14:paraId="701ECB01">
      <w:pPr>
        <w:widowControl w:val="0"/>
        <w:numPr>
          <w:ilvl w:val="0"/>
          <w:numId w:val="0"/>
        </w:numPr>
        <w:autoSpaceDE w:val="0"/>
        <w:autoSpaceDN w:val="0"/>
        <w:adjustRightInd w:val="0"/>
        <w:spacing w:line="300" w:lineRule="auto"/>
        <w:jc w:val="left"/>
      </w:pPr>
      <w:r>
        <w:drawing>
          <wp:inline distT="0" distB="0" distL="114300" distR="114300">
            <wp:extent cx="5269865" cy="1256030"/>
            <wp:effectExtent l="0" t="0" r="63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865" cy="1256030"/>
                    </a:xfrm>
                    <a:prstGeom prst="rect">
                      <a:avLst/>
                    </a:prstGeom>
                    <a:noFill/>
                    <a:ln>
                      <a:noFill/>
                    </a:ln>
                  </pic:spPr>
                </pic:pic>
              </a:graphicData>
            </a:graphic>
          </wp:inline>
        </w:drawing>
      </w:r>
    </w:p>
    <w:p w14:paraId="7FE99177">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Gateway API has been successfully installed into the Kubernetes cluster. The output shows that multiple Custom Resource Definitions, such as gateways and routes, have been created, which are required for managing traffic routing in Istio.</w:t>
      </w:r>
    </w:p>
    <w:p w14:paraId="39A941E4">
      <w:pPr>
        <w:widowControl w:val="0"/>
        <w:numPr>
          <w:ilvl w:val="0"/>
          <w:numId w:val="0"/>
        </w:numPr>
        <w:autoSpaceDE w:val="0"/>
        <w:autoSpaceDN w:val="0"/>
        <w:adjustRightInd w:val="0"/>
        <w:spacing w:line="300" w:lineRule="auto"/>
        <w:jc w:val="left"/>
      </w:pPr>
      <w:r>
        <w:drawing>
          <wp:inline distT="0" distB="0" distL="114300" distR="114300">
            <wp:extent cx="5270500" cy="23749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0500" cy="2374900"/>
                    </a:xfrm>
                    <a:prstGeom prst="rect">
                      <a:avLst/>
                    </a:prstGeom>
                    <a:noFill/>
                    <a:ln>
                      <a:noFill/>
                    </a:ln>
                  </pic:spPr>
                </pic:pic>
              </a:graphicData>
            </a:graphic>
          </wp:inline>
        </w:drawing>
      </w:r>
    </w:p>
    <w:p w14:paraId="7B474C8B">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Bookinfo microservices application has been successfully deployed into the Kubernetes cluster. Multiple services, deployments, and service accounts are created, indicating that all components of the application are now running and ready for further testing and access.</w:t>
      </w:r>
    </w:p>
    <w:p w14:paraId="329C77A4">
      <w:pPr>
        <w:widowControl w:val="0"/>
        <w:numPr>
          <w:ilvl w:val="0"/>
          <w:numId w:val="0"/>
        </w:numPr>
        <w:autoSpaceDE w:val="0"/>
        <w:autoSpaceDN w:val="0"/>
        <w:adjustRightInd w:val="0"/>
        <w:spacing w:line="300" w:lineRule="auto"/>
        <w:jc w:val="left"/>
      </w:pPr>
      <w:r>
        <w:drawing>
          <wp:inline distT="0" distB="0" distL="114300" distR="114300">
            <wp:extent cx="5269230" cy="2135505"/>
            <wp:effectExtent l="0" t="0" r="1270"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230" cy="2135505"/>
                    </a:xfrm>
                    <a:prstGeom prst="rect">
                      <a:avLst/>
                    </a:prstGeom>
                    <a:noFill/>
                    <a:ln>
                      <a:noFill/>
                    </a:ln>
                  </pic:spPr>
                </pic:pic>
              </a:graphicData>
            </a:graphic>
          </wp:inline>
        </w:drawing>
      </w:r>
    </w:p>
    <w:p w14:paraId="293FDB5A">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services have been created successfully, but most pods are still in the “ContainerCreating” state, which means they are starting up and pulling images. Only one pod is already running, indicating the deployment is in progress.</w:t>
      </w:r>
    </w:p>
    <w:p w14:paraId="4A7C8D0A">
      <w:pPr>
        <w:widowControl w:val="0"/>
        <w:numPr>
          <w:ilvl w:val="0"/>
          <w:numId w:val="0"/>
        </w:numPr>
        <w:autoSpaceDE w:val="0"/>
        <w:autoSpaceDN w:val="0"/>
        <w:adjustRightInd w:val="0"/>
        <w:spacing w:line="300" w:lineRule="auto"/>
        <w:jc w:val="left"/>
      </w:pPr>
      <w:r>
        <w:drawing>
          <wp:inline distT="0" distB="0" distL="114300" distR="114300">
            <wp:extent cx="5271135" cy="2139315"/>
            <wp:effectExtent l="0" t="0" r="1206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1135" cy="2139315"/>
                    </a:xfrm>
                    <a:prstGeom prst="rect">
                      <a:avLst/>
                    </a:prstGeom>
                    <a:noFill/>
                    <a:ln>
                      <a:noFill/>
                    </a:ln>
                  </pic:spPr>
                </pic:pic>
              </a:graphicData>
            </a:graphic>
          </wp:inline>
        </w:drawing>
      </w:r>
    </w:p>
    <w:p w14:paraId="660A9B50">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request to the Bookinfo application is successful, and the returned page title confirms that the service is working correctly. This indicates that the microservices can communicate with each other and the application is running as expected.</w:t>
      </w:r>
    </w:p>
    <w:p w14:paraId="281CE1C5">
      <w:pPr>
        <w:widowControl w:val="0"/>
        <w:numPr>
          <w:ilvl w:val="0"/>
          <w:numId w:val="0"/>
        </w:numPr>
        <w:autoSpaceDE w:val="0"/>
        <w:autoSpaceDN w:val="0"/>
        <w:adjustRightInd w:val="0"/>
        <w:spacing w:line="300" w:lineRule="auto"/>
        <w:jc w:val="left"/>
      </w:pPr>
      <w:r>
        <w:drawing>
          <wp:inline distT="0" distB="0" distL="114300" distR="114300">
            <wp:extent cx="5270500" cy="903605"/>
            <wp:effectExtent l="0" t="0" r="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0500" cy="903605"/>
                    </a:xfrm>
                    <a:prstGeom prst="rect">
                      <a:avLst/>
                    </a:prstGeom>
                    <a:noFill/>
                    <a:ln>
                      <a:noFill/>
                    </a:ln>
                  </pic:spPr>
                </pic:pic>
              </a:graphicData>
            </a:graphic>
          </wp:inline>
        </w:drawing>
      </w:r>
    </w:p>
    <w:p w14:paraId="34AA1B35">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gateway configuration has been successfully applied, enabling external access to the Bookinfo application. The analysis output shows only informational warnings, mainly indicating that the namespace has not enabled automatic sidecar injection and that a service port naming convention is not fully compliant. These do not affect basic functionality but may impact advanced Istio features.</w:t>
      </w:r>
    </w:p>
    <w:p w14:paraId="618E32DF">
      <w:pPr>
        <w:widowControl w:val="0"/>
        <w:numPr>
          <w:ilvl w:val="0"/>
          <w:numId w:val="0"/>
        </w:numPr>
        <w:autoSpaceDE w:val="0"/>
        <w:autoSpaceDN w:val="0"/>
        <w:adjustRightInd w:val="0"/>
        <w:spacing w:line="300" w:lineRule="auto"/>
        <w:jc w:val="left"/>
      </w:pPr>
      <w:r>
        <w:drawing>
          <wp:inline distT="0" distB="0" distL="114300" distR="114300">
            <wp:extent cx="5266690" cy="1230630"/>
            <wp:effectExtent l="0" t="0" r="381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6690" cy="1230630"/>
                    </a:xfrm>
                    <a:prstGeom prst="rect">
                      <a:avLst/>
                    </a:prstGeom>
                    <a:noFill/>
                    <a:ln>
                      <a:noFill/>
                    </a:ln>
                  </pic:spPr>
                </pic:pic>
              </a:graphicData>
            </a:graphic>
          </wp:inline>
        </w:drawing>
      </w:r>
    </w:p>
    <w:p w14:paraId="148B23F4">
      <w:pPr>
        <w:widowControl/>
        <w:numPr>
          <w:ilvl w:val="0"/>
          <w:numId w:val="0"/>
        </w:numPr>
        <w:shd w:val="clear" w:color="auto" w:fill="FFFFFF"/>
        <w:spacing w:before="0" w:beforeAutospacing="0" w:after="0" w:afterAutospacing="0"/>
        <w:ind w:left="0" w:leftChars="0" w:firstLine="0" w:firstLineChars="0"/>
        <w:jc w:val="both"/>
        <w:rPr>
          <w:rFonts w:hint="eastAsia" w:ascii="Times New Roman" w:hAnsi="Times New Roman" w:eastAsia="黑体" w:cs="Times New Roman"/>
          <w:b w:val="0"/>
          <w:bCs/>
          <w:kern w:val="0"/>
          <w:sz w:val="24"/>
          <w:szCs w:val="24"/>
          <w:lang w:val="en-US" w:eastAsia="zh-CN" w:bidi="ar-SA"/>
        </w:rPr>
      </w:pPr>
      <w:r>
        <w:rPr>
          <w:rFonts w:hint="eastAsia" w:ascii="Times New Roman" w:hAnsi="Times New Roman" w:eastAsia="黑体" w:cs="Times New Roman"/>
          <w:b w:val="0"/>
          <w:bCs/>
          <w:kern w:val="0"/>
          <w:sz w:val="24"/>
          <w:szCs w:val="24"/>
          <w:lang w:val="en-US" w:eastAsia="zh-CN" w:bidi="ar-SA"/>
        </w:rPr>
        <w:t>The Bookinfo application is successfully accessed through the browser, and the product page is displayed correctly. This confirms that the service deployment, networking configuration, and external access are all functioning as expected.</w:t>
      </w:r>
    </w:p>
    <w:p w14:paraId="6852841C">
      <w:pPr>
        <w:widowControl w:val="0"/>
        <w:numPr>
          <w:ilvl w:val="0"/>
          <w:numId w:val="0"/>
        </w:numPr>
        <w:autoSpaceDE w:val="0"/>
        <w:autoSpaceDN w:val="0"/>
        <w:adjustRightInd w:val="0"/>
        <w:spacing w:line="300" w:lineRule="auto"/>
        <w:jc w:val="left"/>
        <w:rPr>
          <w:rFonts w:hint="default"/>
        </w:rPr>
      </w:pPr>
      <w:r>
        <w:drawing>
          <wp:inline distT="0" distB="0" distL="114300" distR="114300">
            <wp:extent cx="5268595" cy="1475740"/>
            <wp:effectExtent l="0" t="0" r="1905"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8595" cy="1475740"/>
                    </a:xfrm>
                    <a:prstGeom prst="rect">
                      <a:avLst/>
                    </a:prstGeom>
                    <a:noFill/>
                    <a:ln>
                      <a:noFill/>
                    </a:ln>
                  </pic:spPr>
                </pic:pic>
              </a:graphicData>
            </a:graphic>
          </wp:inline>
        </w:drawing>
      </w:r>
    </w:p>
    <w:p w14:paraId="2C571B58">
      <w:pPr>
        <w:autoSpaceDE w:val="0"/>
        <w:autoSpaceDN w:val="0"/>
        <w:adjustRightInd w:val="0"/>
        <w:spacing w:line="300" w:lineRule="auto"/>
        <w:jc w:val="left"/>
        <w:rPr>
          <w:rFonts w:hint="default" w:ascii="Times New Roman" w:hAnsi="Times New Roman" w:eastAsia="黑体" w:cs="Times New Roman"/>
          <w:b/>
          <w:kern w:val="0"/>
          <w:sz w:val="28"/>
          <w:szCs w:val="28"/>
        </w:rPr>
      </w:pPr>
      <w:r>
        <w:rPr>
          <w:rFonts w:hint="default" w:ascii="Times New Roman" w:hAnsi="Times New Roman" w:eastAsia="黑体" w:cs="Times New Roman"/>
          <w:b/>
          <w:kern w:val="0"/>
          <w:sz w:val="28"/>
          <w:szCs w:val="28"/>
        </w:rPr>
        <w:t>四、Reflection</w:t>
      </w:r>
    </w:p>
    <w:p w14:paraId="658AFE6C">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eastAsia" w:eastAsia="黑体" w:cs="Times New Roman"/>
          <w:b w:val="0"/>
          <w:bCs/>
          <w:kern w:val="0"/>
          <w:sz w:val="24"/>
          <w:szCs w:val="24"/>
          <w:lang w:val="en-US" w:eastAsia="zh-CN"/>
        </w:rPr>
        <w:t>1. This experiment provides a clear and practical understanding of how a service mesh operates in a Kubernetes environment. Compared with traditional microservices communication, Istio introduces an additional abstraction layer through sidecar proxies, which significantly enhances traffic control and observability. The overall workflow becomes more structured, and complex functionalities can be implemented without modifying application code.</w:t>
      </w:r>
    </w:p>
    <w:p w14:paraId="71332DE4">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eastAsia" w:eastAsia="黑体" w:cs="Times New Roman"/>
          <w:b w:val="0"/>
          <w:bCs/>
          <w:kern w:val="0"/>
          <w:sz w:val="24"/>
          <w:szCs w:val="24"/>
          <w:lang w:val="en-US" w:eastAsia="zh-CN"/>
        </w:rPr>
        <w:t>2. The installation and configuration process highlights the importance of environment consistency and dependency management. Small issues such as missing namespace labels or incorrect configurations can directly affect the behavior of the system. This reinforces the need for careful verification at each step, especially when deploying distributed systems where errors are often not immediately visible.</w:t>
      </w:r>
    </w:p>
    <w:p w14:paraId="0A9B8F14">
      <w:pPr>
        <w:numPr>
          <w:ilvl w:val="0"/>
          <w:numId w:val="0"/>
        </w:numPr>
        <w:autoSpaceDE w:val="0"/>
        <w:autoSpaceDN w:val="0"/>
        <w:adjustRightInd w:val="0"/>
        <w:spacing w:line="300" w:lineRule="auto"/>
        <w:jc w:val="both"/>
        <w:rPr>
          <w:rFonts w:hint="default" w:eastAsia="黑体" w:cs="Times New Roman"/>
          <w:b w:val="0"/>
          <w:bCs/>
          <w:kern w:val="0"/>
          <w:sz w:val="24"/>
          <w:szCs w:val="24"/>
          <w:lang w:val="en-US" w:eastAsia="zh-CN"/>
        </w:rPr>
      </w:pPr>
      <w:r>
        <w:rPr>
          <w:rFonts w:hint="eastAsia" w:eastAsia="黑体" w:cs="Times New Roman"/>
          <w:b w:val="0"/>
          <w:bCs/>
          <w:kern w:val="0"/>
          <w:sz w:val="24"/>
          <w:szCs w:val="24"/>
          <w:lang w:val="en-US" w:eastAsia="zh-CN"/>
        </w:rPr>
        <w:t>3. The concept of sidecar injection is particularly insightful. It demonstrates how infrastructure-level capabilities can be decoupled from application logic, allowing developers to focus on business functionality while delegating concerns such as routing, monitoring, and security to the service mesh. This design reflects a more scalable and maintainable approach to modern system architecture.</w:t>
      </w:r>
    </w:p>
    <w:p w14:paraId="1B0DD8FD">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4. The use of Gateway API for external access reveals a more standardized and flexible method for managing ingress traffic. Compared with traditional ingress configurations, it provides clearer abstraction and better extensibility. At the same time, it also introduces additional configuration complexity, which requires a deeper understanding of Kubernetes networking concepts.</w:t>
      </w:r>
    </w:p>
    <w:p w14:paraId="438AEC90">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r>
        <w:rPr>
          <w:rFonts w:hint="eastAsia" w:eastAsia="黑体" w:cs="Times New Roman"/>
          <w:b w:val="0"/>
          <w:bCs/>
          <w:kern w:val="0"/>
          <w:sz w:val="24"/>
          <w:szCs w:val="24"/>
          <w:lang w:val="en-US" w:eastAsia="zh-CN"/>
        </w:rPr>
        <w:t>5. The visualization through Kiali offers an intuitive perspective on service interactions, making abstract traffic flows easier to understand. Observing real-time request paths and dependencies helps identify potential bottlenecks and improves system transparency. This part of the experiment emphasizes the value of observability tools in managing and optimizing microservices systems.</w:t>
      </w:r>
    </w:p>
    <w:p w14:paraId="3C245062">
      <w:pPr>
        <w:numPr>
          <w:ilvl w:val="0"/>
          <w:numId w:val="0"/>
        </w:numPr>
        <w:autoSpaceDE w:val="0"/>
        <w:autoSpaceDN w:val="0"/>
        <w:adjustRightInd w:val="0"/>
        <w:spacing w:line="300" w:lineRule="auto"/>
        <w:jc w:val="both"/>
        <w:rPr>
          <w:rFonts w:hint="eastAsia" w:eastAsia="黑体" w:cs="Times New Roman"/>
          <w:b w:val="0"/>
          <w:bCs/>
          <w:kern w:val="0"/>
          <w:sz w:val="24"/>
          <w:szCs w:val="24"/>
          <w:lang w:val="en-US" w:eastAsia="zh-CN"/>
        </w:rPr>
      </w:pPr>
    </w:p>
    <w:p w14:paraId="4809967E">
      <w:pPr>
        <w:numPr>
          <w:ilvl w:val="0"/>
          <w:numId w:val="0"/>
        </w:numPr>
        <w:autoSpaceDE w:val="0"/>
        <w:autoSpaceDN w:val="0"/>
        <w:adjustRightInd w:val="0"/>
        <w:spacing w:line="300" w:lineRule="auto"/>
        <w:jc w:val="center"/>
        <w:rPr>
          <w:rFonts w:hint="eastAsia" w:ascii="Times New Roman" w:eastAsia="宋体"/>
          <w:b/>
          <w:bCs/>
          <w:sz w:val="28"/>
          <w:lang w:val="en-US" w:eastAsia="zh-CN"/>
        </w:rPr>
      </w:pPr>
      <w:r>
        <w:rPr>
          <w:rFonts w:hint="eastAsia"/>
          <w:b/>
          <w:bCs/>
          <w:sz w:val="28"/>
        </w:rPr>
        <w:t>附录</w:t>
      </w:r>
      <w:r>
        <w:rPr>
          <w:rFonts w:hint="eastAsia" w:ascii="Times New Roman" w:eastAsia="宋体"/>
          <w:b/>
          <w:bCs/>
          <w:sz w:val="28"/>
          <w:lang w:val="en-US" w:eastAsia="zh-CN"/>
        </w:rPr>
        <w:t xml:space="preserve"> 程序命令代码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D31138B">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8DEC495">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1：启动Minikube和Kubernetes集群</w:t>
            </w:r>
          </w:p>
        </w:tc>
      </w:tr>
      <w:tr w14:paraId="23F2450E">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04B18F5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szCs w:val="28"/>
                <w:vertAlign w:val="baseline"/>
              </w:rPr>
            </w:pPr>
            <w:r>
              <w:rPr>
                <w:rFonts w:hint="eastAsia"/>
                <w:sz w:val="28"/>
                <w:szCs w:val="28"/>
                <w:vertAlign w:val="baseline"/>
              </w:rPr>
              <w:t>minikube start</w:t>
            </w:r>
          </w:p>
          <w:p w14:paraId="1934A74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cluster-info</w:t>
            </w:r>
          </w:p>
          <w:p w14:paraId="3FDB74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cluster-info dump</w:t>
            </w:r>
          </w:p>
        </w:tc>
      </w:tr>
    </w:tbl>
    <w:p w14:paraId="00DC61DA">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626DCA3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2077E49D">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2：查看kubectl版本和下载Istio</w:t>
            </w:r>
          </w:p>
        </w:tc>
      </w:tr>
      <w:tr w14:paraId="3A310508">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19C088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szCs w:val="28"/>
                <w:vertAlign w:val="baseline"/>
              </w:rPr>
            </w:pPr>
            <w:r>
              <w:rPr>
                <w:rFonts w:hint="eastAsia"/>
                <w:sz w:val="28"/>
                <w:szCs w:val="28"/>
                <w:vertAlign w:val="baseline"/>
              </w:rPr>
              <w:t>kubectl version</w:t>
            </w:r>
          </w:p>
          <w:p w14:paraId="1A6299C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curl -L https://istio.io/downloadIstio | sh</w:t>
            </w:r>
          </w:p>
          <w:p w14:paraId="6AFB2A4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export PATH="$PATH:/home/ubuntu/cloud_lab/gitea-lab/lab04/istio-1.29.2/bin"</w:t>
            </w:r>
          </w:p>
          <w:p w14:paraId="4ACD3B6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istioctl version</w:t>
            </w:r>
          </w:p>
          <w:p w14:paraId="76C281B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istioctl install --set profile=demo -y</w:t>
            </w:r>
          </w:p>
          <w:p w14:paraId="416B975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--server-side -f "https://github.com/kubernetes-sigs/gateway-api/releases/download/v1.4.0/experimental-install.yaml"</w:t>
            </w:r>
          </w:p>
        </w:tc>
      </w:tr>
    </w:tbl>
    <w:p w14:paraId="51F7EF5B">
      <w:pPr>
        <w:numPr>
          <w:ilvl w:val="0"/>
          <w:numId w:val="0"/>
        </w:numPr>
        <w:autoSpaceDE w:val="0"/>
        <w:autoSpaceDN w:val="0"/>
        <w:adjustRightInd w:val="0"/>
        <w:spacing w:line="300" w:lineRule="auto"/>
        <w:jc w:val="left"/>
        <w:rPr>
          <w:rFonts w:hint="default" w:ascii="Times New Roman" w:eastAsia="宋体"/>
          <w:b/>
          <w:bCs/>
          <w:sz w:val="28"/>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58F95595">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46C70967">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3：部署Bookinfo示例应用</w:t>
            </w:r>
          </w:p>
        </w:tc>
      </w:tr>
      <w:tr w14:paraId="006FBA24">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5ADF51E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samples/bookinfo/platform/kube/bookinfo.yaml</w:t>
            </w:r>
          </w:p>
          <w:p w14:paraId="2A87009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pods</w:t>
            </w:r>
          </w:p>
          <w:p w14:paraId="45B90A7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get services</w:t>
            </w:r>
          </w:p>
          <w:p w14:paraId="59DACA0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eastAsia="宋体"/>
                <w:sz w:val="28"/>
                <w:vertAlign w:val="baseline"/>
                <w:lang w:val="en-US" w:eastAsia="zh-CN"/>
              </w:rPr>
            </w:pPr>
            <w:r>
              <w:rPr>
                <w:rFonts w:hint="eastAsia"/>
                <w:sz w:val="28"/>
                <w:vertAlign w:val="baseline"/>
                <w:lang w:val="en-US" w:eastAsia="zh-CN"/>
              </w:rPr>
              <w:t>// 从PowerShell中先获取 ratings Pod 名称</w:t>
            </w:r>
          </w:p>
          <w:p w14:paraId="1B350E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$pod = (kubectl get pod -n default -l app=ratings --field-selector=status.phase=Running -o jsonpath="{.items[0].metadata.name}").Trim()</w:t>
            </w:r>
          </w:p>
          <w:p w14:paraId="585F380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lang w:val="en-US" w:eastAsia="zh-CN"/>
              </w:rPr>
            </w:pPr>
            <w:r>
              <w:rPr>
                <w:rFonts w:hint="eastAsia"/>
                <w:sz w:val="28"/>
                <w:vertAlign w:val="baseline"/>
                <w:lang w:val="en-US" w:eastAsia="zh-CN"/>
              </w:rPr>
              <w:t>// 从该 Pod 内访问productpage服务</w:t>
            </w:r>
          </w:p>
          <w:p w14:paraId="3C5141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$html = kubectl exec -n default $pod -- curl -sS productpage:9080/</w:t>
            </w:r>
          </w:p>
          <w:p w14:paraId="2E42ACE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eastAsia="宋体"/>
                <w:sz w:val="28"/>
                <w:vertAlign w:val="baseline"/>
                <w:lang w:val="en-US" w:eastAsia="zh-CN"/>
              </w:rPr>
            </w:pPr>
            <w:r>
              <w:rPr>
                <w:rFonts w:hint="eastAsia"/>
                <w:sz w:val="28"/>
                <w:vertAlign w:val="baseline"/>
                <w:lang w:val="en-US" w:eastAsia="zh-CN"/>
              </w:rPr>
              <w:t>// 用正则提取 HTML 标题</w:t>
            </w:r>
          </w:p>
          <w:p w14:paraId="63B1309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$m = [regex]::Match($html, '&lt;title&gt;\s*(.*?)\s*&lt;/title&gt;', 'IgnoreCase,Singleline')</w:t>
            </w:r>
          </w:p>
          <w:p w14:paraId="609BF6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$m.Groups[1].Value</w:t>
            </w:r>
          </w:p>
        </w:tc>
      </w:tr>
    </w:tbl>
    <w:p w14:paraId="3ED63CAE">
      <w:pPr>
        <w:numPr>
          <w:ilvl w:val="0"/>
          <w:numId w:val="0"/>
        </w:numPr>
        <w:autoSpaceDE w:val="0"/>
        <w:autoSpaceDN w:val="0"/>
        <w:adjustRightInd w:val="0"/>
        <w:spacing w:line="300" w:lineRule="auto"/>
        <w:jc w:val="left"/>
        <w:rPr>
          <w:rFonts w:hint="default" w:ascii="Times New Roman" w:eastAsia="宋体"/>
          <w:b/>
          <w:bCs/>
          <w:sz w:val="28"/>
          <w:lang w:val="en-US" w:eastAsia="zh-CN"/>
        </w:rPr>
      </w:pPr>
    </w:p>
    <w:p w14:paraId="167A440B">
      <w:pPr>
        <w:numPr>
          <w:ilvl w:val="0"/>
          <w:numId w:val="0"/>
        </w:numPr>
        <w:autoSpaceDE w:val="0"/>
        <w:autoSpaceDN w:val="0"/>
        <w:adjustRightInd w:val="0"/>
        <w:spacing w:line="300" w:lineRule="auto"/>
        <w:jc w:val="left"/>
        <w:rPr>
          <w:rFonts w:hint="default" w:ascii="Times New Roman" w:eastAsia="宋体"/>
          <w:b/>
          <w:bCs/>
          <w:sz w:val="28"/>
          <w:lang w:val="en-US" w:eastAsia="zh-CN"/>
        </w:rPr>
      </w:pPr>
      <w:bookmarkStart w:id="0" w:name="_GoBack"/>
      <w:bookmarkEnd w:id="0"/>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Layout w:type="autofit"/>
        <w:tblCellMar>
          <w:top w:w="0" w:type="dxa"/>
          <w:left w:w="108" w:type="dxa"/>
          <w:bottom w:w="0" w:type="dxa"/>
          <w:right w:w="108" w:type="dxa"/>
        </w:tblCellMar>
      </w:tblPr>
      <w:tblGrid>
        <w:gridCol w:w="8522"/>
      </w:tblGrid>
      <w:tr w14:paraId="38883879">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PrEx>
        <w:tc>
          <w:tcPr>
            <w:tcW w:w="8522" w:type="dxa"/>
            <w:tcBorders>
              <w:top w:val="single" w:color="auto" w:sz="8" w:space="0"/>
              <w:left w:val="single" w:color="auto" w:sz="8" w:space="0"/>
              <w:bottom w:val="single" w:color="auto" w:sz="8" w:space="0"/>
              <w:right w:val="single" w:color="auto" w:sz="8" w:space="0"/>
            </w:tcBorders>
            <w:shd w:val="clear" w:color="auto" w:fill="D7D7D7" w:themeFill="background1" w:themeFillShade="D8"/>
          </w:tcPr>
          <w:p w14:paraId="5C77CB20">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default" w:eastAsia="宋体"/>
                <w:sz w:val="28"/>
                <w:vertAlign w:val="baseline"/>
                <w:lang w:val="en-US" w:eastAsia="zh-CN"/>
              </w:rPr>
            </w:pPr>
            <w:r>
              <w:rPr>
                <w:rFonts w:hint="default" w:ascii="Times New Roman" w:hAnsi="Times New Roman" w:eastAsia="宋体" w:cs="Times New Roman"/>
                <w:sz w:val="24"/>
                <w:szCs w:val="24"/>
                <w:vertAlign w:val="baseline"/>
                <w:lang w:val="en-US" w:eastAsia="zh-CN"/>
              </w:rPr>
              <w:t>附录</w:t>
            </w:r>
            <w:r>
              <w:rPr>
                <w:rFonts w:hint="eastAsia" w:ascii="Times New Roman" w:hAnsi="Times New Roman" w:cs="Times New Roman"/>
                <w:sz w:val="24"/>
                <w:szCs w:val="24"/>
                <w:vertAlign w:val="baseline"/>
                <w:lang w:val="en-US" w:eastAsia="zh-CN"/>
              </w:rPr>
              <w:t>4：应用Bookinfo Gateway配置</w:t>
            </w:r>
          </w:p>
        </w:tc>
      </w:tr>
      <w:tr w14:paraId="3D6744DA">
        <w:tblPrEx>
          <w:tblBorders>
            <w:top w:val="single" w:color="auto" w:sz="4" w:space="0"/>
            <w:left w:val="single" w:color="auto" w:sz="4" w:space="0"/>
            <w:bottom w:val="single" w:color="auto" w:sz="4" w:space="0"/>
            <w:right w:val="single" w:color="auto" w:sz="4" w:space="0"/>
            <w:insideH w:val="single" w:color="auto" w:sz="4" w:space="0"/>
            <w:insideV w:val="none" w:color="auto" w:sz="0" w:space="0"/>
          </w:tblBorders>
          <w:tblCellMar>
            <w:top w:w="0" w:type="dxa"/>
            <w:left w:w="108" w:type="dxa"/>
            <w:bottom w:w="0" w:type="dxa"/>
            <w:right w:w="108" w:type="dxa"/>
          </w:tblCellMar>
        </w:tblPrEx>
        <w:tc>
          <w:tcPr>
            <w:tcW w:w="8522" w:type="dxa"/>
            <w:tcBorders>
              <w:top w:val="single" w:color="auto" w:sz="8" w:space="0"/>
              <w:left w:val="single" w:color="auto" w:sz="8" w:space="0"/>
              <w:bottom w:val="single" w:color="auto" w:sz="8" w:space="0"/>
              <w:right w:val="single" w:color="auto" w:sz="8" w:space="0"/>
            </w:tcBorders>
          </w:tcPr>
          <w:p w14:paraId="5F3D845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apply -f samples/bookinfo/networking/bookinfo-gateway.yaml</w:t>
            </w:r>
          </w:p>
          <w:p w14:paraId="4E3512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istioctl analyze</w:t>
            </w:r>
          </w:p>
          <w:p w14:paraId="1A98C7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sz w:val="28"/>
                <w:vertAlign w:val="baseline"/>
              </w:rPr>
            </w:pPr>
            <w:r>
              <w:rPr>
                <w:rFonts w:hint="eastAsia"/>
                <w:sz w:val="28"/>
                <w:vertAlign w:val="baseline"/>
              </w:rPr>
              <w:t>kubectl label namespace default istio-injection=enabled</w:t>
            </w:r>
          </w:p>
        </w:tc>
      </w:tr>
    </w:tbl>
    <w:p w14:paraId="21A5FD70">
      <w:pPr>
        <w:numPr>
          <w:ilvl w:val="0"/>
          <w:numId w:val="0"/>
        </w:numPr>
        <w:autoSpaceDE w:val="0"/>
        <w:autoSpaceDN w:val="0"/>
        <w:adjustRightInd w:val="0"/>
        <w:spacing w:line="300" w:lineRule="auto"/>
        <w:jc w:val="left"/>
        <w:rPr>
          <w:rFonts w:hint="default" w:ascii="Times New Roman" w:eastAsia="宋体"/>
          <w:b/>
          <w:bCs/>
          <w:sz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A1DA5"/>
    <w:multiLevelType w:val="singleLevel"/>
    <w:tmpl w:val="9FBA1DA5"/>
    <w:lvl w:ilvl="0" w:tentative="0">
      <w:start w:val="3"/>
      <w:numFmt w:val="chineseCounting"/>
      <w:suff w:val="nothing"/>
      <w:lvlText w:val="%1、"/>
      <w:lvlJc w:val="left"/>
      <w:rPr>
        <w:rFonts w:hint="eastAsia"/>
      </w:rPr>
    </w:lvl>
  </w:abstractNum>
  <w:abstractNum w:abstractNumId="1">
    <w:nsid w:val="D38A5088"/>
    <w:multiLevelType w:val="singleLevel"/>
    <w:tmpl w:val="D38A5088"/>
    <w:lvl w:ilvl="0" w:tentative="0">
      <w:start w:val="1"/>
      <w:numFmt w:val="bullet"/>
      <w:suff w:val="space"/>
      <w:lvlText w:val=""/>
      <w:lvlJc w:val="left"/>
      <w:pPr>
        <w:ind w:left="0" w:leftChars="0" w:firstLine="0" w:firstLineChars="0"/>
      </w:pPr>
      <w:rPr>
        <w:rFonts w:hint="default" w:ascii="Wingdings" w:hAnsi="Wingdings"/>
        <w:sz w:val="16"/>
        <w:szCs w:val="16"/>
      </w:rPr>
    </w:lvl>
  </w:abstractNum>
  <w:abstractNum w:abstractNumId="2">
    <w:nsid w:val="FAB4AE5E"/>
    <w:multiLevelType w:val="singleLevel"/>
    <w:tmpl w:val="FAB4AE5E"/>
    <w:lvl w:ilvl="0" w:tentative="0">
      <w:start w:val="2"/>
      <w:numFmt w:val="chineseCounting"/>
      <w:suff w:val="nothing"/>
      <w:lvlText w:val="%1、"/>
      <w:lvlJc w:val="left"/>
      <w:rPr>
        <w:rFonts w:hint="eastAsia"/>
      </w:rPr>
    </w:lvl>
  </w:abstractNum>
  <w:abstractNum w:abstractNumId="3">
    <w:nsid w:val="FD5FCBD1"/>
    <w:multiLevelType w:val="singleLevel"/>
    <w:tmpl w:val="FD5FCBD1"/>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38ABC"/>
    <w:rsid w:val="00002352"/>
    <w:rsid w:val="00006D73"/>
    <w:rsid w:val="00022D34"/>
    <w:rsid w:val="0007075C"/>
    <w:rsid w:val="00073CF1"/>
    <w:rsid w:val="00080767"/>
    <w:rsid w:val="00080E9F"/>
    <w:rsid w:val="00094F22"/>
    <w:rsid w:val="00097395"/>
    <w:rsid w:val="001141DD"/>
    <w:rsid w:val="00135410"/>
    <w:rsid w:val="00156FBD"/>
    <w:rsid w:val="001C7634"/>
    <w:rsid w:val="002108B1"/>
    <w:rsid w:val="0023056B"/>
    <w:rsid w:val="00247BC7"/>
    <w:rsid w:val="00274E15"/>
    <w:rsid w:val="00291CEF"/>
    <w:rsid w:val="002974CA"/>
    <w:rsid w:val="002A3E19"/>
    <w:rsid w:val="002C5A6A"/>
    <w:rsid w:val="002D634B"/>
    <w:rsid w:val="002F376E"/>
    <w:rsid w:val="00373199"/>
    <w:rsid w:val="00396D7C"/>
    <w:rsid w:val="003A58C6"/>
    <w:rsid w:val="003D2396"/>
    <w:rsid w:val="00404A01"/>
    <w:rsid w:val="00426C69"/>
    <w:rsid w:val="0045606C"/>
    <w:rsid w:val="004704CF"/>
    <w:rsid w:val="00485F00"/>
    <w:rsid w:val="00496887"/>
    <w:rsid w:val="004E6309"/>
    <w:rsid w:val="004E70C6"/>
    <w:rsid w:val="005062C6"/>
    <w:rsid w:val="0056706B"/>
    <w:rsid w:val="00587E88"/>
    <w:rsid w:val="005A2A32"/>
    <w:rsid w:val="005A6540"/>
    <w:rsid w:val="005A6DEF"/>
    <w:rsid w:val="005D7931"/>
    <w:rsid w:val="005E6E6D"/>
    <w:rsid w:val="005F49C1"/>
    <w:rsid w:val="005F5282"/>
    <w:rsid w:val="00637398"/>
    <w:rsid w:val="00656474"/>
    <w:rsid w:val="00683CB7"/>
    <w:rsid w:val="00690212"/>
    <w:rsid w:val="006B0465"/>
    <w:rsid w:val="006E2014"/>
    <w:rsid w:val="006E4E01"/>
    <w:rsid w:val="00700686"/>
    <w:rsid w:val="00712DFA"/>
    <w:rsid w:val="00713CAC"/>
    <w:rsid w:val="00724ACE"/>
    <w:rsid w:val="00730340"/>
    <w:rsid w:val="007A13C3"/>
    <w:rsid w:val="00867A6F"/>
    <w:rsid w:val="008919A7"/>
    <w:rsid w:val="00894BCB"/>
    <w:rsid w:val="008F2D05"/>
    <w:rsid w:val="00912D51"/>
    <w:rsid w:val="00980816"/>
    <w:rsid w:val="009A68F7"/>
    <w:rsid w:val="009D041F"/>
    <w:rsid w:val="009D0D0E"/>
    <w:rsid w:val="00A11A0A"/>
    <w:rsid w:val="00A2758F"/>
    <w:rsid w:val="00A33556"/>
    <w:rsid w:val="00A44CC0"/>
    <w:rsid w:val="00A67ECB"/>
    <w:rsid w:val="00A90B2F"/>
    <w:rsid w:val="00A934C2"/>
    <w:rsid w:val="00B36BA3"/>
    <w:rsid w:val="00B4413D"/>
    <w:rsid w:val="00B87EB0"/>
    <w:rsid w:val="00BE5B05"/>
    <w:rsid w:val="00C150F9"/>
    <w:rsid w:val="00C2378D"/>
    <w:rsid w:val="00CC0FFF"/>
    <w:rsid w:val="00D4279E"/>
    <w:rsid w:val="00D661DF"/>
    <w:rsid w:val="00DE4CCC"/>
    <w:rsid w:val="00DF7E04"/>
    <w:rsid w:val="00E008EB"/>
    <w:rsid w:val="00E3768B"/>
    <w:rsid w:val="00E65CBA"/>
    <w:rsid w:val="00E91E10"/>
    <w:rsid w:val="00EB22FA"/>
    <w:rsid w:val="00EF0E44"/>
    <w:rsid w:val="00F126DB"/>
    <w:rsid w:val="00F14B9F"/>
    <w:rsid w:val="00F84070"/>
    <w:rsid w:val="00F84A67"/>
    <w:rsid w:val="00FF30CE"/>
    <w:rsid w:val="00FF3405"/>
    <w:rsid w:val="0F5600DD"/>
    <w:rsid w:val="10C52736"/>
    <w:rsid w:val="145C66D9"/>
    <w:rsid w:val="17A565E8"/>
    <w:rsid w:val="1AB16453"/>
    <w:rsid w:val="1B0E083C"/>
    <w:rsid w:val="20B93F92"/>
    <w:rsid w:val="28A056CD"/>
    <w:rsid w:val="30CA37A4"/>
    <w:rsid w:val="311F619F"/>
    <w:rsid w:val="33684F28"/>
    <w:rsid w:val="35FC1D42"/>
    <w:rsid w:val="36E0137F"/>
    <w:rsid w:val="3DCA3D01"/>
    <w:rsid w:val="3FE66657"/>
    <w:rsid w:val="4069476C"/>
    <w:rsid w:val="40921320"/>
    <w:rsid w:val="45BF4DF6"/>
    <w:rsid w:val="45D45A3F"/>
    <w:rsid w:val="51BC6BCC"/>
    <w:rsid w:val="55000F39"/>
    <w:rsid w:val="5B8F292E"/>
    <w:rsid w:val="65124163"/>
    <w:rsid w:val="67490067"/>
    <w:rsid w:val="74EA1EF7"/>
    <w:rsid w:val="77F38ABC"/>
    <w:rsid w:val="79013A79"/>
    <w:rsid w:val="79AC0634"/>
    <w:rsid w:val="7FAB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20"/>
    <w:uiPriority w:val="0"/>
    <w:rPr>
      <w:sz w:val="18"/>
      <w:szCs w:val="18"/>
    </w:rPr>
  </w:style>
  <w:style w:type="paragraph" w:styleId="3">
    <w:name w:val="footer"/>
    <w:basedOn w:val="1"/>
    <w:link w:val="16"/>
    <w:qFormat/>
    <w:uiPriority w:val="0"/>
    <w:pPr>
      <w:tabs>
        <w:tab w:val="center" w:pos="4153"/>
        <w:tab w:val="right" w:pos="8306"/>
      </w:tabs>
      <w:snapToGrid w:val="0"/>
      <w:jc w:val="left"/>
    </w:pPr>
    <w:rPr>
      <w:sz w:val="18"/>
      <w:szCs w:val="18"/>
    </w:rPr>
  </w:style>
  <w:style w:type="paragraph" w:styleId="4">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954F72" w:themeColor="followedHyperlink"/>
      <w:u w:val="single"/>
      <w14:textFill>
        <w14:solidFill>
          <w14:schemeClr w14:val="folHlink"/>
        </w14:solidFill>
      </w14:textFill>
    </w:rPr>
  </w:style>
  <w:style w:type="character" w:styleId="12">
    <w:name w:val="Emphasis"/>
    <w:basedOn w:val="9"/>
    <w:qFormat/>
    <w:uiPriority w:val="0"/>
    <w:rPr>
      <w:i/>
    </w:rPr>
  </w:style>
  <w:style w:type="character" w:styleId="13">
    <w:name w:val="Hyperlink"/>
    <w:basedOn w:val="9"/>
    <w:qFormat/>
    <w:uiPriority w:val="0"/>
    <w:rPr>
      <w:color w:val="0563C1" w:themeColor="hyperlink"/>
      <w:u w:val="single"/>
      <w14:textFill>
        <w14:solidFill>
          <w14:schemeClr w14:val="hlink"/>
        </w14:solidFill>
      </w14:textFill>
    </w:rPr>
  </w:style>
  <w:style w:type="character" w:styleId="14">
    <w:name w:val="HTML Code"/>
    <w:basedOn w:val="9"/>
    <w:qFormat/>
    <w:uiPriority w:val="0"/>
    <w:rPr>
      <w:rFonts w:ascii="Courier New" w:hAnsi="Courier New"/>
      <w:sz w:val="20"/>
    </w:rPr>
  </w:style>
  <w:style w:type="character" w:customStyle="1" w:styleId="15">
    <w:name w:val="页眉 字符"/>
    <w:basedOn w:val="9"/>
    <w:link w:val="4"/>
    <w:qFormat/>
    <w:uiPriority w:val="0"/>
    <w:rPr>
      <w:kern w:val="2"/>
      <w:sz w:val="18"/>
      <w:szCs w:val="18"/>
    </w:rPr>
  </w:style>
  <w:style w:type="character" w:customStyle="1" w:styleId="16">
    <w:name w:val="页脚 字符"/>
    <w:basedOn w:val="9"/>
    <w:link w:val="3"/>
    <w:qFormat/>
    <w:uiPriority w:val="0"/>
    <w:rPr>
      <w:kern w:val="2"/>
      <w:sz w:val="18"/>
      <w:szCs w:val="18"/>
    </w:rPr>
  </w:style>
  <w:style w:type="paragraph" w:customStyle="1" w:styleId="17">
    <w:name w:val="reader-word-layer reader-word-s1-21"/>
    <w:basedOn w:val="1"/>
    <w:qFormat/>
    <w:uiPriority w:val="0"/>
    <w:pPr>
      <w:widowControl/>
      <w:spacing w:before="100" w:beforeAutospacing="1" w:after="100" w:afterAutospacing="1"/>
      <w:jc w:val="left"/>
    </w:pPr>
    <w:rPr>
      <w:rFonts w:ascii="宋体" w:hAnsi="宋体" w:cs="宋体"/>
      <w:kern w:val="0"/>
      <w:sz w:val="24"/>
    </w:rPr>
  </w:style>
  <w:style w:type="paragraph" w:customStyle="1" w:styleId="18">
    <w:name w:val="reader-word-layer reader-word-s1-30"/>
    <w:basedOn w:val="1"/>
    <w:qFormat/>
    <w:uiPriority w:val="0"/>
    <w:pPr>
      <w:widowControl/>
      <w:spacing w:before="100" w:beforeAutospacing="1" w:after="100" w:afterAutospacing="1"/>
      <w:jc w:val="left"/>
    </w:pPr>
    <w:rPr>
      <w:rFonts w:ascii="宋体" w:hAnsi="宋体" w:cs="宋体"/>
      <w:kern w:val="0"/>
      <w:sz w:val="24"/>
    </w:rPr>
  </w:style>
  <w:style w:type="paragraph" w:styleId="19">
    <w:name w:val="List Paragraph"/>
    <w:basedOn w:val="1"/>
    <w:qFormat/>
    <w:uiPriority w:val="99"/>
    <w:pPr>
      <w:ind w:firstLine="420" w:firstLineChars="200"/>
    </w:pPr>
  </w:style>
  <w:style w:type="character" w:customStyle="1" w:styleId="20">
    <w:name w:val="批注框文本 字符"/>
    <w:basedOn w:val="9"/>
    <w:link w:val="2"/>
    <w:qFormat/>
    <w:uiPriority w:val="0"/>
    <w:rPr>
      <w:kern w:val="2"/>
      <w:sz w:val="18"/>
      <w:szCs w:val="18"/>
    </w:rPr>
  </w:style>
  <w:style w:type="character" w:customStyle="1" w:styleId="21">
    <w:name w:val="Unresolved Mention"/>
    <w:basedOn w:val="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1317</Words>
  <Characters>8113</Characters>
  <Lines>11</Lines>
  <Paragraphs>3</Paragraphs>
  <TotalTime>15</TotalTime>
  <ScaleCrop>false</ScaleCrop>
  <LinksUpToDate>false</LinksUpToDate>
  <CharactersWithSpaces>9457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2021-03-31T00:57:00Z</dcterms:created>
  <dc:creator>apple</dc:creator>
  <cp:lastModifiedBy>nxdxwj</cp:lastModifiedBy>
  <dcterms:modified xsi:type="dcterms:W3CDTF">2026-04-25T12:19:57Z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eyJoZGlkIjoiNzk0Y2Y4YjczMzE0ZmMwNDllZTRlNTAwYTQzZGZiMzEiLCJ1c2VySWQiOiIxNTA5NDIxMjYxIn0=</vt:lpwstr>
  </property>
  <property fmtid="{D5CDD505-2E9C-101B-9397-08002B2CF9AE}" pid="4" name="ICV">
    <vt:lpwstr>7254019B42A54E3E99188D508A4298F8_12</vt:lpwstr>
  </property>
</Properties>
</file>